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53251" w14:textId="56A4AD54" w:rsidR="00F4338E" w:rsidRPr="00F4338E" w:rsidRDefault="00BC79E1" w:rsidP="00F4338E">
      <w:pPr>
        <w:spacing w:after="0" w:line="240" w:lineRule="auto"/>
        <w:rPr>
          <w:rFonts w:asciiTheme="majorHAnsi" w:hAnsiTheme="majorHAnsi" w:cstheme="majorHAnsi"/>
          <w:sz w:val="24"/>
          <w:szCs w:val="24"/>
        </w:rPr>
      </w:pPr>
      <w:r>
        <w:rPr>
          <w:rFonts w:asciiTheme="majorHAnsi" w:hAnsiTheme="majorHAnsi" w:cstheme="majorHAnsi"/>
          <w:b/>
          <w:bCs/>
          <w:sz w:val="24"/>
          <w:szCs w:val="24"/>
        </w:rPr>
        <w:t xml:space="preserve">Online Supplementary </w:t>
      </w:r>
      <w:r w:rsidR="00F4338E" w:rsidRPr="00F4338E">
        <w:rPr>
          <w:rFonts w:asciiTheme="majorHAnsi" w:hAnsiTheme="majorHAnsi" w:cstheme="majorHAnsi"/>
          <w:b/>
          <w:bCs/>
          <w:sz w:val="24"/>
          <w:szCs w:val="24"/>
        </w:rPr>
        <w:t xml:space="preserve">Table </w:t>
      </w:r>
      <w:r w:rsidR="00393886">
        <w:rPr>
          <w:rFonts w:asciiTheme="majorHAnsi" w:hAnsiTheme="majorHAnsi" w:cstheme="majorHAnsi"/>
          <w:b/>
          <w:bCs/>
          <w:sz w:val="24"/>
          <w:szCs w:val="24"/>
        </w:rPr>
        <w:t>S</w:t>
      </w:r>
      <w:r w:rsidR="00F4338E" w:rsidRPr="00F4338E">
        <w:rPr>
          <w:rFonts w:asciiTheme="majorHAnsi" w:hAnsiTheme="majorHAnsi" w:cstheme="majorHAnsi"/>
          <w:b/>
          <w:bCs/>
          <w:sz w:val="24"/>
          <w:szCs w:val="24"/>
        </w:rPr>
        <w:t>1. Inclusion and exclusion criteria</w:t>
      </w:r>
      <w:r w:rsidR="00F4338E" w:rsidRPr="00F4338E">
        <w:rPr>
          <w:rFonts w:asciiTheme="majorHAnsi" w:hAnsiTheme="majorHAnsi" w:cstheme="majorHAnsi"/>
          <w:sz w:val="24"/>
          <w:szCs w:val="24"/>
        </w:rPr>
        <w:t>.</w:t>
      </w:r>
    </w:p>
    <w:p w14:paraId="55B83C8B" w14:textId="77777777" w:rsidR="00F4338E" w:rsidRPr="00F4338E" w:rsidRDefault="00F4338E" w:rsidP="00F4338E">
      <w:pPr>
        <w:spacing w:after="0" w:line="240" w:lineRule="auto"/>
        <w:rPr>
          <w:rFonts w:asciiTheme="majorHAnsi" w:hAnsiTheme="majorHAnsi" w:cstheme="majorHAnsi"/>
          <w:b/>
          <w:bCs/>
          <w:sz w:val="24"/>
          <w:szCs w:val="24"/>
        </w:rPr>
      </w:pPr>
    </w:p>
    <w:p w14:paraId="17F788B9" w14:textId="77777777" w:rsidR="00F4338E" w:rsidRPr="00F4338E" w:rsidRDefault="00F4338E" w:rsidP="00BC79E1">
      <w:pPr>
        <w:keepNext/>
        <w:keepLines/>
        <w:spacing w:before="60" w:after="60" w:line="480" w:lineRule="auto"/>
        <w:jc w:val="both"/>
        <w:outlineLvl w:val="1"/>
        <w:rPr>
          <w:rFonts w:asciiTheme="majorHAnsi" w:eastAsiaTheme="majorEastAsia" w:hAnsiTheme="majorHAnsi" w:cstheme="majorHAnsi"/>
          <w:color w:val="000000" w:themeColor="text1"/>
          <w:sz w:val="26"/>
          <w:szCs w:val="26"/>
        </w:rPr>
      </w:pPr>
      <w:bookmarkStart w:id="0" w:name="_Toc503815756"/>
      <w:bookmarkStart w:id="1" w:name="_Toc503816919"/>
      <w:bookmarkStart w:id="2" w:name="_Toc496024882"/>
      <w:bookmarkStart w:id="3" w:name="_Toc23323451"/>
      <w:bookmarkStart w:id="4" w:name="_Toc42925414"/>
      <w:r w:rsidRPr="00F4338E">
        <w:rPr>
          <w:rFonts w:asciiTheme="majorHAnsi" w:eastAsiaTheme="majorEastAsia" w:hAnsiTheme="majorHAnsi" w:cstheme="majorHAnsi"/>
          <w:color w:val="000000" w:themeColor="text1"/>
          <w:sz w:val="26"/>
          <w:szCs w:val="26"/>
        </w:rPr>
        <w:t>Inclusion Criteria</w:t>
      </w:r>
      <w:bookmarkEnd w:id="0"/>
      <w:bookmarkEnd w:id="1"/>
      <w:bookmarkEnd w:id="2"/>
      <w:bookmarkEnd w:id="3"/>
      <w:bookmarkEnd w:id="4"/>
    </w:p>
    <w:p w14:paraId="0E44EE16" w14:textId="77777777" w:rsidR="00F4338E" w:rsidRPr="00F4338E" w:rsidRDefault="00F4338E" w:rsidP="00F4338E">
      <w:pPr>
        <w:autoSpaceDE w:val="0"/>
        <w:autoSpaceDN w:val="0"/>
        <w:adjustRightInd w:val="0"/>
        <w:spacing w:after="0" w:line="240" w:lineRule="auto"/>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Patients satisfying the following criteria were eligible to participate in this study: </w:t>
      </w:r>
    </w:p>
    <w:p w14:paraId="056E8369" w14:textId="77777777" w:rsidR="00F4338E" w:rsidRPr="00F4338E" w:rsidRDefault="00F4338E" w:rsidP="00F4338E">
      <w:pPr>
        <w:autoSpaceDE w:val="0"/>
        <w:autoSpaceDN w:val="0"/>
        <w:adjustRightInd w:val="0"/>
        <w:spacing w:after="0" w:line="240" w:lineRule="auto"/>
        <w:ind w:left="274" w:hanging="274"/>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 Signed informed consent. </w:t>
      </w:r>
    </w:p>
    <w:p w14:paraId="7BB3F635" w14:textId="77777777" w:rsidR="00F4338E" w:rsidRPr="00F4338E" w:rsidRDefault="00F4338E" w:rsidP="00F4338E">
      <w:pPr>
        <w:autoSpaceDE w:val="0"/>
        <w:autoSpaceDN w:val="0"/>
        <w:adjustRightInd w:val="0"/>
        <w:spacing w:after="0" w:line="240" w:lineRule="auto"/>
        <w:ind w:left="274" w:hanging="274"/>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2. Patients ≥ 18 years old. </w:t>
      </w:r>
    </w:p>
    <w:p w14:paraId="41F94FC2" w14:textId="77777777" w:rsidR="00F4338E" w:rsidRPr="00F4338E" w:rsidRDefault="00F4338E" w:rsidP="00F4338E">
      <w:pPr>
        <w:autoSpaceDE w:val="0"/>
        <w:autoSpaceDN w:val="0"/>
        <w:adjustRightInd w:val="0"/>
        <w:spacing w:after="0" w:line="240" w:lineRule="auto"/>
        <w:ind w:left="274" w:hanging="274"/>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3. Performance status 0-2 (Eastern Cooperative Oncology Group classification [ECOG]). </w:t>
      </w:r>
    </w:p>
    <w:p w14:paraId="14758CBD" w14:textId="77777777" w:rsidR="00F4338E" w:rsidRPr="00F4338E" w:rsidRDefault="00F4338E" w:rsidP="00F4338E">
      <w:pPr>
        <w:autoSpaceDE w:val="0"/>
        <w:autoSpaceDN w:val="0"/>
        <w:adjustRightInd w:val="0"/>
        <w:spacing w:after="0" w:line="240" w:lineRule="auto"/>
        <w:ind w:left="274" w:hanging="274"/>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4. Willing to fulfill all follow-up requirements. </w:t>
      </w:r>
    </w:p>
    <w:p w14:paraId="7CA4D82B" w14:textId="77777777" w:rsidR="00F4338E" w:rsidRPr="00F4338E" w:rsidRDefault="00F4338E" w:rsidP="00F4338E">
      <w:pPr>
        <w:autoSpaceDE w:val="0"/>
        <w:autoSpaceDN w:val="0"/>
        <w:adjustRightInd w:val="0"/>
        <w:spacing w:after="0" w:line="240" w:lineRule="auto"/>
        <w:ind w:left="274" w:hanging="274"/>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5. Medically inoperable primary soft tissue tumor of the lung or patient election not to have surgery. (Medically inoperable was defined per the following indicators: post-op predictive FEV1 &lt; 40%; DLCO &lt; 40%; hypoxemia or hypercapnia diabetes with end-organ damage; or severe cerebral, cardiovascular, peripheral vascular disease, or chronic heart disease). </w:t>
      </w:r>
    </w:p>
    <w:p w14:paraId="5B05DB96" w14:textId="77777777" w:rsidR="00F4338E" w:rsidRPr="00F4338E" w:rsidRDefault="00F4338E" w:rsidP="00F4338E">
      <w:pPr>
        <w:autoSpaceDE w:val="0"/>
        <w:autoSpaceDN w:val="0"/>
        <w:adjustRightInd w:val="0"/>
        <w:spacing w:after="0" w:line="240" w:lineRule="auto"/>
        <w:ind w:left="274" w:hanging="274"/>
        <w:jc w:val="both"/>
        <w:rPr>
          <w:rFonts w:asciiTheme="majorHAnsi" w:hAnsiTheme="majorHAnsi" w:cstheme="majorHAnsi"/>
          <w:color w:val="000000"/>
          <w:lang w:eastAsia="en-GB"/>
        </w:rPr>
      </w:pPr>
      <w:r w:rsidRPr="00F4338E">
        <w:rPr>
          <w:rFonts w:asciiTheme="majorHAnsi" w:hAnsiTheme="majorHAnsi" w:cstheme="majorHAnsi"/>
          <w:color w:val="000000" w:themeColor="text1"/>
          <w:lang w:eastAsia="en-GB"/>
        </w:rPr>
        <w:t>6. A soft tissue tumor ≤ 2 cm in the outer two-thirds of the lung and not closer than 1 cm to the pleura. Tumor size was measured with at least 2-dimensional (2D) imaging. Only one tumor meeting the inclusion criteria were to be ablated during the day of ablation (Visit 2A). However, additional primary disease tumors may be present on the day of ablation. Note:  Outer two-thirds of the lung was defined as peripheral beyond the segmental airway, past the segmental bronchi, such that proximal endobronchial soft tissue tumors were avoided; soft tissue tumors should not be contiguous with the pleura.</w:t>
      </w:r>
    </w:p>
    <w:p w14:paraId="6647332F" w14:textId="77777777" w:rsidR="00F4338E" w:rsidRPr="00F4338E" w:rsidRDefault="00F4338E" w:rsidP="00F4338E">
      <w:pPr>
        <w:keepNext/>
        <w:keepLines/>
        <w:spacing w:before="120" w:after="60" w:line="240" w:lineRule="auto"/>
        <w:jc w:val="both"/>
        <w:outlineLvl w:val="1"/>
        <w:rPr>
          <w:rFonts w:asciiTheme="majorHAnsi" w:eastAsiaTheme="majorEastAsia" w:hAnsiTheme="majorHAnsi" w:cstheme="majorHAnsi"/>
          <w:color w:val="000000" w:themeColor="text1"/>
          <w:sz w:val="26"/>
          <w:szCs w:val="26"/>
        </w:rPr>
      </w:pPr>
      <w:bookmarkStart w:id="5" w:name="_Toc495999554"/>
      <w:bookmarkStart w:id="6" w:name="_Toc495999654"/>
      <w:bookmarkStart w:id="7" w:name="_Toc495999770"/>
      <w:bookmarkStart w:id="8" w:name="_Toc495999987"/>
      <w:bookmarkStart w:id="9" w:name="_Toc496000103"/>
      <w:bookmarkStart w:id="10" w:name="_Toc496000219"/>
      <w:bookmarkStart w:id="11" w:name="_Toc496000335"/>
      <w:bookmarkStart w:id="12" w:name="_Toc496000452"/>
      <w:bookmarkStart w:id="13" w:name="_Toc496000569"/>
      <w:bookmarkStart w:id="14" w:name="_Toc496000686"/>
      <w:bookmarkStart w:id="15" w:name="_Toc496000803"/>
      <w:bookmarkStart w:id="16" w:name="_Toc496000920"/>
      <w:bookmarkStart w:id="17" w:name="_Toc496001043"/>
      <w:bookmarkStart w:id="18" w:name="_Toc496002799"/>
      <w:bookmarkStart w:id="19" w:name="_Toc496003159"/>
      <w:bookmarkStart w:id="20" w:name="_Toc496003336"/>
      <w:bookmarkStart w:id="21" w:name="_Toc496003922"/>
      <w:bookmarkStart w:id="22" w:name="_bookmark19"/>
      <w:bookmarkStart w:id="23" w:name="_Toc503815757"/>
      <w:bookmarkStart w:id="24" w:name="_Toc503816920"/>
      <w:bookmarkStart w:id="25" w:name="_Toc496024883"/>
      <w:bookmarkStart w:id="26" w:name="_Toc23323452"/>
      <w:bookmarkStart w:id="27" w:name="_Toc4292541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F4338E">
        <w:rPr>
          <w:rFonts w:asciiTheme="majorHAnsi" w:eastAsiaTheme="majorEastAsia" w:hAnsiTheme="majorHAnsi" w:cstheme="majorHAnsi"/>
          <w:color w:val="000000" w:themeColor="text1"/>
          <w:sz w:val="26"/>
          <w:szCs w:val="26"/>
        </w:rPr>
        <w:t>Exclusion Criteria</w:t>
      </w:r>
      <w:bookmarkEnd w:id="23"/>
      <w:bookmarkEnd w:id="24"/>
      <w:bookmarkEnd w:id="25"/>
      <w:bookmarkEnd w:id="26"/>
      <w:bookmarkEnd w:id="27"/>
    </w:p>
    <w:p w14:paraId="54838816"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p>
    <w:p w14:paraId="5508910D"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Patients who meet any of the following criteria were not be eligible to participate in this study: </w:t>
      </w:r>
    </w:p>
    <w:p w14:paraId="44B1907D"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 Scheduled concurrent procedure for the target soft tissue tumor other than those indicated by the study protocol. </w:t>
      </w:r>
    </w:p>
    <w:p w14:paraId="6B00F369"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2. Pregnant or breastfeeding. </w:t>
      </w:r>
    </w:p>
    <w:p w14:paraId="1E86E17B"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3. Physical or psychological condition that would impair study participation. </w:t>
      </w:r>
    </w:p>
    <w:p w14:paraId="3784F989"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4. Patients with uncorrectable coagulopathy at time of screening. </w:t>
      </w:r>
    </w:p>
    <w:p w14:paraId="0365CC0C"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5. Patient with implantable devices, including pacemakers or other electronic implants. </w:t>
      </w:r>
    </w:p>
    <w:p w14:paraId="7351A293"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6. Prior pneumonectomy or bronchiectasis. </w:t>
      </w:r>
    </w:p>
    <w:p w14:paraId="1DD6E6C7"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7. Severe neuromuscular disease. </w:t>
      </w:r>
    </w:p>
    <w:p w14:paraId="5860200E"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8. Platelet count ≤ 50,000/mm</w:t>
      </w:r>
      <w:r w:rsidRPr="00F4338E">
        <w:rPr>
          <w:rFonts w:asciiTheme="majorHAnsi" w:hAnsiTheme="majorHAnsi" w:cstheme="majorHAnsi"/>
          <w:color w:val="000000"/>
          <w:vertAlign w:val="superscript"/>
          <w:lang w:eastAsia="en-GB"/>
        </w:rPr>
        <w:t>3</w:t>
      </w:r>
      <w:r w:rsidRPr="00F4338E">
        <w:rPr>
          <w:rFonts w:asciiTheme="majorHAnsi" w:hAnsiTheme="majorHAnsi" w:cstheme="majorHAnsi"/>
          <w:color w:val="000000"/>
          <w:lang w:eastAsia="en-GB"/>
        </w:rPr>
        <w:t xml:space="preserve">. </w:t>
      </w:r>
    </w:p>
    <w:p w14:paraId="7ABAA907"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9. ASA (American Society of Anesthesiologists) score of ≥ 4. </w:t>
      </w:r>
    </w:p>
    <w:p w14:paraId="65F3599E"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10. Inability to tolerate anesthesia. </w:t>
      </w:r>
    </w:p>
    <w:p w14:paraId="43C1E7C7"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11. Expected survival less than 6 months. </w:t>
      </w:r>
    </w:p>
    <w:p w14:paraId="00E58DEC" w14:textId="77777777" w:rsidR="00F4338E" w:rsidRPr="00F4338E" w:rsidRDefault="00F4338E" w:rsidP="00F4338E">
      <w:pPr>
        <w:autoSpaceDE w:val="0"/>
        <w:autoSpaceDN w:val="0"/>
        <w:adjustRightInd w:val="0"/>
        <w:spacing w:after="0" w:line="240" w:lineRule="auto"/>
        <w:ind w:left="270" w:hanging="27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12. Clinically significant hypertension. </w:t>
      </w:r>
    </w:p>
    <w:p w14:paraId="018234EF" w14:textId="77777777" w:rsidR="00F4338E" w:rsidRPr="00F4338E" w:rsidRDefault="00F4338E" w:rsidP="00F4338E">
      <w:pPr>
        <w:autoSpaceDE w:val="0"/>
        <w:autoSpaceDN w:val="0"/>
        <w:adjustRightInd w:val="0"/>
        <w:spacing w:after="0" w:line="240" w:lineRule="auto"/>
        <w:ind w:left="360" w:hanging="36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13. Chronic, continuous ventilator support, which uses bi-level positive airway pressure (PAP) to improve lung function for severe conditions (however, intermittent PAP for non-pulmonary conditions, such as sleep apnea, is permitted). </w:t>
      </w:r>
    </w:p>
    <w:p w14:paraId="7B357004" w14:textId="77777777" w:rsidR="00F4338E" w:rsidRPr="00F4338E" w:rsidRDefault="00F4338E" w:rsidP="00F4338E">
      <w:pPr>
        <w:autoSpaceDE w:val="0"/>
        <w:autoSpaceDN w:val="0"/>
        <w:adjustRightInd w:val="0"/>
        <w:spacing w:after="0" w:line="240" w:lineRule="auto"/>
        <w:ind w:left="360" w:hanging="36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14. Endobronchial soft tissue tumors proximal to the segmental airways. </w:t>
      </w:r>
    </w:p>
    <w:p w14:paraId="4C1741D3" w14:textId="77777777" w:rsidR="00F4338E" w:rsidRPr="00F4338E" w:rsidRDefault="00F4338E" w:rsidP="00F4338E">
      <w:pPr>
        <w:autoSpaceDE w:val="0"/>
        <w:autoSpaceDN w:val="0"/>
        <w:adjustRightInd w:val="0"/>
        <w:spacing w:after="0" w:line="240" w:lineRule="auto"/>
        <w:ind w:left="360" w:hanging="36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15. Convex probe EBUS (CP-EBUS) lymph node sampling that results in a positive diagnosis of malignancy. </w:t>
      </w:r>
    </w:p>
    <w:p w14:paraId="33450A41" w14:textId="77777777" w:rsidR="00F4338E" w:rsidRPr="00F4338E" w:rsidRDefault="00F4338E" w:rsidP="00F4338E">
      <w:pPr>
        <w:autoSpaceDE w:val="0"/>
        <w:autoSpaceDN w:val="0"/>
        <w:adjustRightInd w:val="0"/>
        <w:spacing w:after="0" w:line="240" w:lineRule="auto"/>
        <w:ind w:left="360" w:hanging="360"/>
        <w:jc w:val="both"/>
        <w:rPr>
          <w:rFonts w:asciiTheme="majorHAnsi" w:hAnsiTheme="majorHAnsi" w:cstheme="majorHAnsi"/>
          <w:color w:val="000000"/>
          <w:lang w:eastAsia="en-GB"/>
        </w:rPr>
      </w:pPr>
      <w:r w:rsidRPr="00F4338E">
        <w:rPr>
          <w:rFonts w:asciiTheme="majorHAnsi" w:hAnsiTheme="majorHAnsi" w:cstheme="majorHAnsi"/>
          <w:color w:val="000000"/>
          <w:lang w:eastAsia="en-GB"/>
        </w:rPr>
        <w:t xml:space="preserve">16. Imaging findings of active pulmonary infection. </w:t>
      </w:r>
    </w:p>
    <w:p w14:paraId="79B06733" w14:textId="263A3F96" w:rsidR="00F4338E" w:rsidRPr="00F4338E" w:rsidRDefault="00F4338E" w:rsidP="00BC79E1">
      <w:pPr>
        <w:autoSpaceDE w:val="0"/>
        <w:autoSpaceDN w:val="0"/>
        <w:adjustRightInd w:val="0"/>
        <w:spacing w:after="0" w:line="240" w:lineRule="auto"/>
        <w:ind w:left="360" w:hanging="360"/>
        <w:jc w:val="both"/>
        <w:rPr>
          <w:rFonts w:asciiTheme="majorHAnsi" w:eastAsiaTheme="majorEastAsia" w:hAnsiTheme="majorHAnsi" w:cstheme="majorHAnsi"/>
          <w:smallCaps/>
          <w:spacing w:val="-10"/>
          <w:kern w:val="28"/>
          <w:sz w:val="32"/>
          <w:szCs w:val="44"/>
        </w:rPr>
      </w:pPr>
      <w:r w:rsidRPr="00F4338E">
        <w:rPr>
          <w:rFonts w:asciiTheme="majorHAnsi" w:hAnsiTheme="majorHAnsi" w:cstheme="majorHAnsi"/>
          <w:color w:val="000000"/>
          <w:lang w:eastAsia="en-GB"/>
        </w:rPr>
        <w:t xml:space="preserve">17. The patient was judged unsuitable for study participation by the Investigator for any other reason. </w:t>
      </w:r>
    </w:p>
    <w:sectPr w:rsidR="00F4338E" w:rsidRPr="00F4338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C2994" w14:textId="77777777" w:rsidR="00C25750" w:rsidRDefault="00C25750" w:rsidP="00CA76DE">
      <w:pPr>
        <w:spacing w:after="0" w:line="240" w:lineRule="auto"/>
      </w:pPr>
      <w:r>
        <w:separator/>
      </w:r>
    </w:p>
  </w:endnote>
  <w:endnote w:type="continuationSeparator" w:id="0">
    <w:p w14:paraId="7AF5EC5C" w14:textId="77777777" w:rsidR="00C25750" w:rsidRDefault="00C25750" w:rsidP="00CA7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Light (Headings)">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C4581" w14:textId="77777777" w:rsidR="00C25750" w:rsidRDefault="00C25750" w:rsidP="00CA76DE">
      <w:pPr>
        <w:spacing w:after="0" w:line="240" w:lineRule="auto"/>
      </w:pPr>
      <w:r>
        <w:separator/>
      </w:r>
    </w:p>
  </w:footnote>
  <w:footnote w:type="continuationSeparator" w:id="0">
    <w:p w14:paraId="32A36596" w14:textId="77777777" w:rsidR="00C25750" w:rsidRDefault="00C25750" w:rsidP="00CA7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7A71C" w14:textId="48F78821" w:rsidR="00CA76DE" w:rsidRPr="00EB0B80" w:rsidRDefault="00EB0B80" w:rsidP="00F47763">
    <w:pPr>
      <w:spacing w:after="60" w:line="240" w:lineRule="auto"/>
      <w:contextualSpacing/>
      <w:jc w:val="center"/>
      <w:rPr>
        <w:rFonts w:asciiTheme="majorHAnsi" w:eastAsiaTheme="majorEastAsia" w:hAnsiTheme="majorHAnsi" w:cs="Calibri Light (Headings)"/>
        <w:b/>
        <w:bCs/>
        <w:kern w:val="28"/>
        <w:sz w:val="24"/>
        <w:szCs w:val="24"/>
      </w:rPr>
    </w:pPr>
    <w:r w:rsidRPr="00EB0B80">
      <w:rPr>
        <w:rFonts w:asciiTheme="majorHAnsi" w:hAnsiTheme="majorHAnsi" w:cstheme="majorHAnsi"/>
        <w:b/>
        <w:bCs/>
        <w:sz w:val="24"/>
        <w:szCs w:val="24"/>
      </w:rPr>
      <w:t xml:space="preserve">Novel </w:t>
    </w:r>
    <w:r w:rsidR="00CA76DE" w:rsidRPr="00EB0B80">
      <w:rPr>
        <w:rFonts w:asciiTheme="majorHAnsi" w:eastAsiaTheme="majorEastAsia" w:hAnsiTheme="majorHAnsi" w:cs="Calibri Light (Headings)"/>
        <w:b/>
        <w:bCs/>
        <w:kern w:val="28"/>
        <w:sz w:val="24"/>
        <w:szCs w:val="24"/>
      </w:rPr>
      <w:t>Image-</w:t>
    </w:r>
    <w:r w:rsidR="000425D3">
      <w:rPr>
        <w:rFonts w:asciiTheme="majorHAnsi" w:eastAsiaTheme="majorEastAsia" w:hAnsiTheme="majorHAnsi" w:cs="Calibri Light (Headings)"/>
        <w:b/>
        <w:bCs/>
        <w:kern w:val="28"/>
        <w:sz w:val="24"/>
        <w:szCs w:val="24"/>
      </w:rPr>
      <w:t>G</w:t>
    </w:r>
    <w:r w:rsidR="00CA76DE" w:rsidRPr="00EB0B80">
      <w:rPr>
        <w:rFonts w:asciiTheme="majorHAnsi" w:eastAsiaTheme="majorEastAsia" w:hAnsiTheme="majorHAnsi" w:cs="Calibri Light (Headings)"/>
        <w:b/>
        <w:bCs/>
        <w:kern w:val="28"/>
        <w:sz w:val="24"/>
        <w:szCs w:val="24"/>
      </w:rPr>
      <w:t>uided Flexible-Probe Transbronchial Microwave Ablation for Stage 1 Lung Cancer</w:t>
    </w:r>
  </w:p>
  <w:p w14:paraId="3BB1FFE8" w14:textId="07A73BE6" w:rsidR="00CA76DE" w:rsidRPr="00BC79E1" w:rsidRDefault="00CA76DE" w:rsidP="00BC79E1">
    <w:pPr>
      <w:spacing w:after="40" w:line="240" w:lineRule="auto"/>
      <w:ind w:left="-86"/>
      <w:contextualSpacing/>
      <w:jc w:val="center"/>
      <w:rPr>
        <w:rFonts w:asciiTheme="majorHAnsi" w:eastAsiaTheme="majorEastAsia" w:hAnsiTheme="majorHAnsi" w:cstheme="majorHAnsi"/>
        <w:spacing w:val="-10"/>
        <w:kern w:val="28"/>
      </w:rPr>
    </w:pPr>
    <w:r w:rsidRPr="00BC79E1">
      <w:rPr>
        <w:rFonts w:asciiTheme="majorHAnsi" w:eastAsiaTheme="majorEastAsia" w:hAnsiTheme="majorHAnsi" w:cstheme="majorHAnsi"/>
        <w:spacing w:val="-10"/>
        <w:kern w:val="28"/>
      </w:rPr>
      <w:t>Michael A</w:t>
    </w:r>
    <w:r w:rsidR="000425D3">
      <w:rPr>
        <w:rFonts w:asciiTheme="majorHAnsi" w:eastAsiaTheme="majorEastAsia" w:hAnsiTheme="majorHAnsi" w:cstheme="majorHAnsi"/>
        <w:spacing w:val="-10"/>
        <w:kern w:val="28"/>
      </w:rPr>
      <w:t>.</w:t>
    </w:r>
    <w:r w:rsidRPr="00BC79E1">
      <w:rPr>
        <w:rFonts w:asciiTheme="majorHAnsi" w:eastAsiaTheme="majorEastAsia" w:hAnsiTheme="majorHAnsi" w:cstheme="majorHAnsi"/>
        <w:spacing w:val="-10"/>
        <w:kern w:val="28"/>
      </w:rPr>
      <w:t xml:space="preserve"> Pritchett</w:t>
    </w:r>
    <w:r w:rsidR="00F47763">
      <w:rPr>
        <w:rFonts w:asciiTheme="majorHAnsi" w:eastAsiaTheme="majorEastAsia" w:hAnsiTheme="majorHAnsi" w:cstheme="majorHAnsi"/>
        <w:spacing w:val="-10"/>
        <w:kern w:val="28"/>
      </w:rPr>
      <w:t xml:space="preserve"> et al.</w:t>
    </w:r>
  </w:p>
  <w:p w14:paraId="616F02E8" w14:textId="77777777" w:rsidR="00CA76DE" w:rsidRDefault="00CA76DE" w:rsidP="00BC79E1">
    <w:pPr>
      <w:pStyle w:val="Header"/>
      <w:spacing w:after="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38E"/>
    <w:rsid w:val="00020295"/>
    <w:rsid w:val="000425D3"/>
    <w:rsid w:val="00130E91"/>
    <w:rsid w:val="0024536B"/>
    <w:rsid w:val="0025559A"/>
    <w:rsid w:val="00393886"/>
    <w:rsid w:val="004402FC"/>
    <w:rsid w:val="006C6C8A"/>
    <w:rsid w:val="008311F8"/>
    <w:rsid w:val="00BC79E1"/>
    <w:rsid w:val="00C25750"/>
    <w:rsid w:val="00CA76DE"/>
    <w:rsid w:val="00EB0B80"/>
    <w:rsid w:val="00F4338E"/>
    <w:rsid w:val="00F47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05857"/>
  <w15:chartTrackingRefBased/>
  <w15:docId w15:val="{DAFD1053-8191-4436-A165-1B2498C4D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93886"/>
    <w:pPr>
      <w:spacing w:after="0" w:line="240" w:lineRule="auto"/>
    </w:pPr>
  </w:style>
  <w:style w:type="paragraph" w:styleId="Header">
    <w:name w:val="header"/>
    <w:basedOn w:val="Normal"/>
    <w:link w:val="HeaderChar"/>
    <w:uiPriority w:val="99"/>
    <w:unhideWhenUsed/>
    <w:rsid w:val="00CA7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6DE"/>
  </w:style>
  <w:style w:type="paragraph" w:styleId="Footer">
    <w:name w:val="footer"/>
    <w:basedOn w:val="Normal"/>
    <w:link w:val="FooterChar"/>
    <w:uiPriority w:val="99"/>
    <w:unhideWhenUsed/>
    <w:rsid w:val="00CA7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7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Prifogle-Meyers, Erin [ETHUS]</dc:creator>
  <cp:keywords/>
  <dc:description/>
  <cp:lastModifiedBy>Prifogle-Meyers, Erin [ETHUS]</cp:lastModifiedBy>
  <cp:revision>2</cp:revision>
  <dcterms:created xsi:type="dcterms:W3CDTF">2022-04-20T13:45:00Z</dcterms:created>
  <dcterms:modified xsi:type="dcterms:W3CDTF">2022-04-20T13:45:00Z</dcterms:modified>
</cp:coreProperties>
</file>