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CE7C" w14:textId="77777777" w:rsidR="009F4F96" w:rsidRPr="009F4F96" w:rsidRDefault="009F4F96" w:rsidP="009F4F96">
      <w:pPr>
        <w:pStyle w:val="Caption"/>
        <w:ind w:left="-567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9F4F96">
        <w:rPr>
          <w:rFonts w:asciiTheme="minorHAnsi" w:hAnsiTheme="minorHAnsi" w:cstheme="minorHAnsi"/>
          <w:b/>
          <w:sz w:val="22"/>
          <w:szCs w:val="22"/>
        </w:rPr>
        <w:t xml:space="preserve">Supplementary Table 1. </w:t>
      </w:r>
    </w:p>
    <w:p w14:paraId="5234494E" w14:textId="77777777" w:rsidR="009F4F96" w:rsidRPr="009F4F96" w:rsidRDefault="009F4F96" w:rsidP="009F4F96">
      <w:pPr>
        <w:pStyle w:val="Caption"/>
        <w:ind w:left="-567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  <w:r w:rsidRPr="009F4F9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Clinical data used to inform transition probabilities for pregnancy and live birth based on </w:t>
      </w:r>
      <w:r w:rsidRPr="009F4F96">
        <w:rPr>
          <w:rStyle w:val="ui-provider"/>
          <w:rFonts w:asciiTheme="minorHAnsi" w:hAnsiTheme="minorHAnsi" w:cstheme="minorHAnsi"/>
          <w:color w:val="000000" w:themeColor="text1"/>
          <w:sz w:val="22"/>
          <w:szCs w:val="22"/>
        </w:rPr>
        <w:t xml:space="preserve">Grynberg et al. 2022 and </w:t>
      </w:r>
      <w:r w:rsidRPr="009F4F9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 xml:space="preserve">SNDS database </w:t>
      </w:r>
      <w:proofErr w:type="gramStart"/>
      <w:r w:rsidRPr="009F4F96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study</w:t>
      </w:r>
      <w:proofErr w:type="gramEnd"/>
    </w:p>
    <w:p w14:paraId="3AED2282" w14:textId="77777777" w:rsidR="009F4F96" w:rsidRPr="009F4F96" w:rsidRDefault="009F4F96" w:rsidP="009F4F96">
      <w:pPr>
        <w:rPr>
          <w:rFonts w:cstheme="minorHAnsi"/>
        </w:rPr>
      </w:pPr>
    </w:p>
    <w:tbl>
      <w:tblPr>
        <w:tblStyle w:val="ListTable3-Accent1"/>
        <w:tblW w:w="5719" w:type="pct"/>
        <w:tblLook w:val="04A0" w:firstRow="1" w:lastRow="0" w:firstColumn="1" w:lastColumn="0" w:noHBand="0" w:noVBand="1"/>
      </w:tblPr>
      <w:tblGrid>
        <w:gridCol w:w="1553"/>
        <w:gridCol w:w="2255"/>
        <w:gridCol w:w="2117"/>
        <w:gridCol w:w="13"/>
        <w:gridCol w:w="2242"/>
        <w:gridCol w:w="2133"/>
      </w:tblGrid>
      <w:tr w:rsidR="009F4F96" w:rsidRPr="00120637" w14:paraId="7F31DAC9" w14:textId="77777777" w:rsidTr="009137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51" w:type="pct"/>
            <w:vMerge w:val="restart"/>
          </w:tcPr>
          <w:p w14:paraId="3651A1A8" w14:textId="77777777" w:rsidR="009F4F96" w:rsidRPr="00120637" w:rsidRDefault="009F4F96" w:rsidP="009137E8">
            <w:pPr>
              <w:keepNext/>
              <w:spacing w:line="288" w:lineRule="auto"/>
              <w:jc w:val="center"/>
              <w:rPr>
                <w:rFonts w:cstheme="minorHAnsi"/>
                <w:bCs w:val="0"/>
                <w:lang w:val="en-GB" w:eastAsia="zh-TW"/>
              </w:rPr>
            </w:pPr>
            <w:bookmarkStart w:id="0" w:name="_Hlk176454475"/>
            <w:r w:rsidRPr="00120637">
              <w:rPr>
                <w:rFonts w:cstheme="minorHAnsi"/>
                <w:bCs w:val="0"/>
                <w:lang w:val="en-GB" w:eastAsia="zh-TW"/>
              </w:rPr>
              <w:t>Intervention</w:t>
            </w:r>
          </w:p>
        </w:tc>
        <w:tc>
          <w:tcPr>
            <w:tcW w:w="2128" w:type="pct"/>
            <w:gridSpan w:val="3"/>
          </w:tcPr>
          <w:p w14:paraId="74B367FE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GB" w:eastAsia="zh-TW"/>
              </w:rPr>
            </w:pPr>
            <w:r w:rsidRPr="00120637">
              <w:rPr>
                <w:rFonts w:cstheme="minorHAnsi"/>
                <w:bCs w:val="0"/>
                <w:lang w:val="en-GB" w:eastAsia="zh-TW"/>
              </w:rPr>
              <w:t>Fresh embryo transfer only</w:t>
            </w:r>
          </w:p>
        </w:tc>
        <w:tc>
          <w:tcPr>
            <w:tcW w:w="2122" w:type="pct"/>
            <w:gridSpan w:val="2"/>
          </w:tcPr>
          <w:p w14:paraId="21A983CC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lang w:val="en-GB" w:eastAsia="zh-TW"/>
              </w:rPr>
            </w:pPr>
            <w:r w:rsidRPr="00120637">
              <w:rPr>
                <w:rFonts w:cstheme="minorHAnsi"/>
                <w:bCs w:val="0"/>
                <w:lang w:val="en-GB" w:eastAsia="zh-TW"/>
              </w:rPr>
              <w:t>Cumulative embryo transfers</w:t>
            </w:r>
          </w:p>
        </w:tc>
      </w:tr>
      <w:tr w:rsidR="009F4F96" w:rsidRPr="009F4F96" w14:paraId="40291DED" w14:textId="77777777" w:rsidTr="00913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vMerge/>
          </w:tcPr>
          <w:p w14:paraId="36A33B45" w14:textId="77777777" w:rsidR="009F4F96" w:rsidRPr="00120637" w:rsidRDefault="009F4F96" w:rsidP="009137E8">
            <w:pPr>
              <w:keepNext/>
              <w:spacing w:line="288" w:lineRule="auto"/>
              <w:jc w:val="center"/>
              <w:rPr>
                <w:rFonts w:cstheme="minorHAnsi"/>
                <w:bCs w:val="0"/>
                <w:color w:val="000000" w:themeColor="text1"/>
                <w:lang w:val="en-GB" w:eastAsia="zh-TW"/>
              </w:rPr>
            </w:pPr>
          </w:p>
        </w:tc>
        <w:tc>
          <w:tcPr>
            <w:tcW w:w="1094" w:type="pct"/>
          </w:tcPr>
          <w:p w14:paraId="2F258F6C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Pregnancy rates (%) (CI)</w:t>
            </w:r>
          </w:p>
        </w:tc>
        <w:tc>
          <w:tcPr>
            <w:tcW w:w="1027" w:type="pct"/>
          </w:tcPr>
          <w:p w14:paraId="4EFBF567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Live birth rates (%) (CI)</w:t>
            </w:r>
          </w:p>
        </w:tc>
        <w:tc>
          <w:tcPr>
            <w:tcW w:w="1094" w:type="pct"/>
            <w:gridSpan w:val="2"/>
          </w:tcPr>
          <w:p w14:paraId="33026216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Pregnancy rates (%) (CI)</w:t>
            </w:r>
          </w:p>
        </w:tc>
        <w:tc>
          <w:tcPr>
            <w:tcW w:w="1028" w:type="pct"/>
          </w:tcPr>
          <w:p w14:paraId="7D79AE85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Live birth rates (%) (CI)</w:t>
            </w:r>
          </w:p>
        </w:tc>
      </w:tr>
      <w:tr w:rsidR="009F4F96" w:rsidRPr="00120637" w14:paraId="4BE0DE8C" w14:textId="77777777" w:rsidTr="009137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14:paraId="046DDF73" w14:textId="77777777" w:rsidR="009F4F96" w:rsidRPr="00120637" w:rsidRDefault="009F4F96" w:rsidP="009137E8">
            <w:pPr>
              <w:keepNext/>
              <w:spacing w:line="288" w:lineRule="auto"/>
              <w:rPr>
                <w:rFonts w:cstheme="minorHAnsi"/>
                <w:bCs w:val="0"/>
                <w:color w:val="000000" w:themeColor="text1"/>
                <w:lang w:val="en-GB" w:eastAsia="zh-TW"/>
              </w:rPr>
            </w:pPr>
            <w:proofErr w:type="spellStart"/>
            <w:r w:rsidRPr="00120637">
              <w:rPr>
                <w:rFonts w:cstheme="minorHAnsi"/>
                <w:bCs w:val="0"/>
                <w:color w:val="000000" w:themeColor="text1"/>
                <w:lang w:val="en-GB" w:eastAsia="zh-TW"/>
              </w:rPr>
              <w:t>Gonal</w:t>
            </w:r>
            <w:proofErr w:type="spellEnd"/>
            <w:r w:rsidRPr="00120637">
              <w:rPr>
                <w:rFonts w:cstheme="minorHAnsi"/>
                <w:bCs w:val="0"/>
                <w:color w:val="000000" w:themeColor="text1"/>
                <w:lang w:val="en-GB" w:eastAsia="zh-TW"/>
              </w:rPr>
              <w:t>-f</w:t>
            </w:r>
          </w:p>
        </w:tc>
        <w:tc>
          <w:tcPr>
            <w:tcW w:w="1094" w:type="pct"/>
          </w:tcPr>
          <w:p w14:paraId="0621E3CC" w14:textId="309561C9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28.00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(27</w:t>
            </w:r>
            <w:r w:rsidR="00B172E5">
              <w:rPr>
                <w:rFonts w:cstheme="minorHAnsi"/>
                <w:bCs/>
                <w:color w:val="000000" w:themeColor="text1"/>
                <w:lang w:val="en-GB" w:eastAsia="zh-TW"/>
              </w:rPr>
              <w:t>.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67; 28.34)</w:t>
            </w:r>
          </w:p>
        </w:tc>
        <w:tc>
          <w:tcPr>
            <w:tcW w:w="1027" w:type="pct"/>
          </w:tcPr>
          <w:p w14:paraId="5D2CB23E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16.65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(16.39;16.91)</w:t>
            </w:r>
          </w:p>
        </w:tc>
        <w:tc>
          <w:tcPr>
            <w:tcW w:w="1094" w:type="pct"/>
            <w:gridSpan w:val="2"/>
          </w:tcPr>
          <w:p w14:paraId="16BEEA04" w14:textId="3902A375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45</w:t>
            </w:r>
            <w:r w:rsidR="00BF0AF0">
              <w:rPr>
                <w:rFonts w:cstheme="minorHAnsi"/>
                <w:bCs/>
                <w:color w:val="000000" w:themeColor="text1"/>
                <w:lang w:val="en-GB" w:eastAsia="zh-TW"/>
              </w:rPr>
              <w:t>.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07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(44.67; 45.48)</w:t>
            </w:r>
          </w:p>
        </w:tc>
        <w:tc>
          <w:tcPr>
            <w:tcW w:w="1028" w:type="pct"/>
          </w:tcPr>
          <w:p w14:paraId="352447BD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23.60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(23.31;23.89)</w:t>
            </w:r>
          </w:p>
        </w:tc>
      </w:tr>
      <w:tr w:rsidR="009F4F96" w:rsidRPr="009F4F96" w14:paraId="5965404F" w14:textId="77777777" w:rsidTr="00913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14:paraId="0CC6863E" w14:textId="77777777" w:rsidR="009F4F96" w:rsidRPr="00120637" w:rsidRDefault="009F4F96" w:rsidP="009137E8">
            <w:pPr>
              <w:keepNext/>
              <w:spacing w:line="288" w:lineRule="auto"/>
              <w:rPr>
                <w:rFonts w:cstheme="minorHAnsi"/>
                <w:bCs w:val="0"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 w:val="0"/>
                <w:color w:val="000000" w:themeColor="text1"/>
                <w:lang w:val="en-GB" w:eastAsia="zh-TW"/>
              </w:rPr>
              <w:t>Biosimilars</w:t>
            </w:r>
          </w:p>
        </w:tc>
        <w:tc>
          <w:tcPr>
            <w:tcW w:w="1094" w:type="pct"/>
          </w:tcPr>
          <w:p w14:paraId="3718A2C9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26.60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(25.18; 28.06)</w:t>
            </w:r>
          </w:p>
        </w:tc>
        <w:tc>
          <w:tcPr>
            <w:tcW w:w="1027" w:type="pct"/>
          </w:tcPr>
          <w:p w14:paraId="4729BD94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15.15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(14.10; 16.23)</w:t>
            </w:r>
          </w:p>
        </w:tc>
        <w:tc>
          <w:tcPr>
            <w:tcW w:w="1094" w:type="pct"/>
            <w:gridSpan w:val="2"/>
          </w:tcPr>
          <w:p w14:paraId="275AB853" w14:textId="13307862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44</w:t>
            </w:r>
            <w:r w:rsidR="00BF0AF0">
              <w:rPr>
                <w:rFonts w:cstheme="minorHAnsi"/>
                <w:bCs/>
                <w:color w:val="000000" w:themeColor="text1"/>
                <w:lang w:val="en-GB" w:eastAsia="zh-TW"/>
              </w:rPr>
              <w:t>.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62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(42.88; 46.39)</w:t>
            </w:r>
          </w:p>
        </w:tc>
        <w:tc>
          <w:tcPr>
            <w:tcW w:w="1028" w:type="pct"/>
          </w:tcPr>
          <w:p w14:paraId="5E5E0EA9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21.95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(20.75; 23.17)</w:t>
            </w:r>
          </w:p>
        </w:tc>
      </w:tr>
      <w:tr w:rsidR="009F4F96" w:rsidRPr="00120637" w14:paraId="2B5A1328" w14:textId="77777777" w:rsidTr="009137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14:paraId="1C610B84" w14:textId="77777777" w:rsidR="009F4F96" w:rsidRPr="00120637" w:rsidRDefault="009F4F96" w:rsidP="009137E8">
            <w:pPr>
              <w:keepNext/>
              <w:spacing w:line="288" w:lineRule="auto"/>
              <w:rPr>
                <w:rFonts w:cstheme="minorHAnsi"/>
                <w:bCs w:val="0"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 w:val="0"/>
                <w:color w:val="000000" w:themeColor="text1"/>
                <w:lang w:val="en-GB" w:eastAsia="zh-TW"/>
              </w:rPr>
              <w:t>Urinary gonadotropins</w:t>
            </w:r>
          </w:p>
        </w:tc>
        <w:tc>
          <w:tcPr>
            <w:tcW w:w="1094" w:type="pct"/>
          </w:tcPr>
          <w:p w14:paraId="5203813F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26.04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(25.18; 26.92)</w:t>
            </w:r>
          </w:p>
        </w:tc>
        <w:tc>
          <w:tcPr>
            <w:tcW w:w="1027" w:type="pct"/>
          </w:tcPr>
          <w:p w14:paraId="6B8233DD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15.82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(15.08; 16.40)</w:t>
            </w:r>
          </w:p>
        </w:tc>
        <w:tc>
          <w:tcPr>
            <w:tcW w:w="1094" w:type="pct"/>
            <w:gridSpan w:val="2"/>
          </w:tcPr>
          <w:p w14:paraId="7D0C874A" w14:textId="63395668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>38</w:t>
            </w:r>
            <w:r w:rsidR="00BF0AF0">
              <w:rPr>
                <w:rFonts w:cstheme="minorHAnsi"/>
                <w:bCs/>
                <w:color w:val="000000" w:themeColor="text1"/>
                <w:lang w:val="en-GB" w:eastAsia="zh-TW"/>
              </w:rPr>
              <w:t>.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76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(37.97; 40.02)</w:t>
            </w:r>
          </w:p>
        </w:tc>
        <w:tc>
          <w:tcPr>
            <w:tcW w:w="1028" w:type="pct"/>
          </w:tcPr>
          <w:p w14:paraId="64AF1233" w14:textId="77777777" w:rsidR="009F4F96" w:rsidRPr="00120637" w:rsidRDefault="009F4F96" w:rsidP="009137E8">
            <w:pPr>
              <w:keepNext/>
              <w:spacing w:line="288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color w:val="000000" w:themeColor="text1"/>
                <w:lang w:val="en-GB" w:eastAsia="zh-TW"/>
              </w:rPr>
            </w:pP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t xml:space="preserve">21.00 </w:t>
            </w:r>
            <w:r w:rsidRPr="00120637">
              <w:rPr>
                <w:rFonts w:cstheme="minorHAnsi"/>
                <w:bCs/>
                <w:color w:val="000000" w:themeColor="text1"/>
                <w:lang w:val="en-GB" w:eastAsia="zh-TW"/>
              </w:rPr>
              <w:br/>
              <w:t>(20.28; 21.74)</w:t>
            </w:r>
          </w:p>
        </w:tc>
      </w:tr>
      <w:bookmarkEnd w:id="0"/>
    </w:tbl>
    <w:p w14:paraId="399DBD33" w14:textId="77777777" w:rsidR="009F4F96" w:rsidRPr="009F4F96" w:rsidRDefault="009F4F96" w:rsidP="009F4F96">
      <w:pPr>
        <w:rPr>
          <w:rFonts w:cstheme="minorHAnsi"/>
        </w:rPr>
      </w:pPr>
    </w:p>
    <w:p w14:paraId="737014EE" w14:textId="77777777" w:rsidR="009F4F96" w:rsidRPr="009F4F96" w:rsidRDefault="009F4F96" w:rsidP="009F4F96">
      <w:pPr>
        <w:spacing w:after="200" w:line="276" w:lineRule="auto"/>
        <w:rPr>
          <w:rFonts w:eastAsiaTheme="minorHAnsi" w:cstheme="minorHAnsi"/>
          <w:b/>
          <w:lang w:val="en-GB"/>
        </w:rPr>
      </w:pPr>
      <w:r w:rsidRPr="009F4F96">
        <w:rPr>
          <w:rFonts w:cstheme="minorHAnsi"/>
          <w:b/>
        </w:rPr>
        <w:br w:type="page"/>
      </w:r>
    </w:p>
    <w:p w14:paraId="2DDFF2A3" w14:textId="77777777" w:rsidR="009F4F96" w:rsidRPr="009F4F96" w:rsidRDefault="009F4F96" w:rsidP="009F4F96">
      <w:pPr>
        <w:rPr>
          <w:rFonts w:cstheme="minorHAnsi"/>
          <w:b/>
          <w:bCs/>
        </w:rPr>
      </w:pPr>
      <w:r w:rsidRPr="009F4F96">
        <w:rPr>
          <w:rFonts w:cstheme="minorHAnsi"/>
          <w:b/>
          <w:bCs/>
        </w:rPr>
        <w:lastRenderedPageBreak/>
        <w:t xml:space="preserve">Supplementary Table 2. Cost inputs </w:t>
      </w:r>
    </w:p>
    <w:tbl>
      <w:tblPr>
        <w:tblW w:w="774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456"/>
        <w:gridCol w:w="399"/>
        <w:gridCol w:w="1728"/>
        <w:gridCol w:w="2160"/>
      </w:tblGrid>
      <w:tr w:rsidR="009F4F96" w:rsidRPr="009F4F96" w14:paraId="27A89A6E" w14:textId="77777777" w:rsidTr="009137E8">
        <w:trPr>
          <w:trHeight w:val="504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C1A9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Induction phase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445E8E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C4FAC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9F4F96">
              <w:rPr>
                <w:rFonts w:cstheme="minorHAnsi"/>
                <w:b/>
                <w:bCs/>
                <w:color w:val="000000" w:themeColor="text1"/>
              </w:rPr>
              <w:t>Costs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9240C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  <w:lang w:val="en-GB"/>
              </w:rPr>
              <w:t>Reference</w:t>
            </w:r>
          </w:p>
        </w:tc>
      </w:tr>
      <w:tr w:rsidR="009F4F96" w:rsidRPr="009F4F96" w14:paraId="1598F9E4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393F0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Biological tests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34044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4E09F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€108.36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A22E2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codes 334, 330, 472, 473, 793</w:t>
            </w:r>
          </w:p>
        </w:tc>
      </w:tr>
      <w:tr w:rsidR="009F4F96" w:rsidRPr="009F4F96" w14:paraId="5FD2A826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765BD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Serological tests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6C93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14C38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€99.76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5DE01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codes 388, 4501, 3784, 4500</w:t>
            </w:r>
          </w:p>
        </w:tc>
      </w:tr>
      <w:tr w:rsidR="009F4F96" w:rsidRPr="009F4F96" w14:paraId="4B28CEB6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9A73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Stimulation monitoring and nurse cares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030D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BF3FE4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€74.27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2CAC0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codes YYY032, AIS3</w:t>
            </w:r>
          </w:p>
        </w:tc>
      </w:tr>
      <w:tr w:rsidR="009F4F96" w:rsidRPr="005B46B9" w14:paraId="5070B041" w14:textId="77777777" w:rsidTr="009137E8">
        <w:trPr>
          <w:trHeight w:val="58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8F075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Consultations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196BA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448204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€135.49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CE02C" w14:textId="77777777" w:rsidR="009F4F96" w:rsidRPr="009F4F96" w:rsidRDefault="009F4F96" w:rsidP="009137E8">
            <w:pPr>
              <w:rPr>
                <w:rFonts w:cstheme="minorHAnsi"/>
                <w:lang w:val="fr-FR"/>
              </w:rPr>
            </w:pPr>
            <w:r w:rsidRPr="009F4F96">
              <w:rPr>
                <w:rFonts w:cstheme="minorHAnsi"/>
                <w:lang w:val="fr-FR"/>
              </w:rPr>
              <w:t>Assurance maladie honoraires et données d'activités 07 Gynécologie obstétrique</w:t>
            </w:r>
          </w:p>
        </w:tc>
      </w:tr>
      <w:tr w:rsidR="009F4F96" w:rsidRPr="009F4F96" w14:paraId="2D5A1343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6974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85C38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D6D6D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AD1E2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€417.88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29BA7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</w:t>
            </w:r>
          </w:p>
        </w:tc>
      </w:tr>
      <w:tr w:rsidR="009F4F96" w:rsidRPr="009F4F96" w14:paraId="254B78C5" w14:textId="77777777" w:rsidTr="009137E8">
        <w:trPr>
          <w:trHeight w:val="252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1B0A7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2FA2B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41512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9180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7CC25AB2" w14:textId="77777777" w:rsidTr="009137E8">
        <w:trPr>
          <w:trHeight w:val="252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64E832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Stimulation phase - Oocyte retrieval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C9CB5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F69AE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849DBA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F69AE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A3B779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5B46B9" w14:paraId="2CCFCDE5" w14:textId="77777777" w:rsidTr="009137E8">
        <w:trPr>
          <w:trHeight w:val="58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1E5247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 xml:space="preserve">Monitoring, </w:t>
            </w:r>
            <w:proofErr w:type="gramStart"/>
            <w:r w:rsidRPr="009F4F96">
              <w:rPr>
                <w:rFonts w:cstheme="minorHAnsi"/>
              </w:rPr>
              <w:t>biology</w:t>
            </w:r>
            <w:proofErr w:type="gramEnd"/>
            <w:r w:rsidRPr="009F4F96">
              <w:rPr>
                <w:rFonts w:cstheme="minorHAnsi"/>
              </w:rPr>
              <w:t xml:space="preserve"> and ultrasound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47521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4" w:space="0" w:color="0F69AE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26516B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€251.72</w:t>
            </w:r>
          </w:p>
        </w:tc>
        <w:tc>
          <w:tcPr>
            <w:tcW w:w="2160" w:type="dxa"/>
            <w:tcBorders>
              <w:top w:val="single" w:sz="4" w:space="0" w:color="0F69AE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E4DE9" w14:textId="77777777" w:rsidR="009F4F96" w:rsidRPr="009F4F96" w:rsidRDefault="009F4F96" w:rsidP="009137E8">
            <w:pPr>
              <w:rPr>
                <w:rFonts w:cstheme="minorHAnsi"/>
                <w:lang w:val="fr-FR"/>
              </w:rPr>
            </w:pPr>
            <w:r w:rsidRPr="009F4F96">
              <w:rPr>
                <w:rFonts w:cstheme="minorHAnsi"/>
                <w:lang w:val="fr-FR"/>
              </w:rPr>
              <w:t>NABM codes 472, 473, 330, 334, 7402, CCAM code ZCQM007</w:t>
            </w:r>
          </w:p>
        </w:tc>
      </w:tr>
      <w:tr w:rsidR="009F4F96" w:rsidRPr="009F4F96" w14:paraId="1E98AD50" w14:textId="77777777" w:rsidTr="009137E8">
        <w:trPr>
          <w:trHeight w:val="58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A936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 xml:space="preserve">Oocyte maturation triggering 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5754B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C16B6D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€26.25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322BF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BDM-IT code 3400921709476</w:t>
            </w:r>
          </w:p>
        </w:tc>
      </w:tr>
      <w:tr w:rsidR="009F4F96" w:rsidRPr="009F4F96" w14:paraId="1D479AC9" w14:textId="77777777" w:rsidTr="009137E8">
        <w:trPr>
          <w:trHeight w:val="58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3DAB2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lastRenderedPageBreak/>
              <w:t>GnRH agonist / antagonist and final oocyte maturation triggering*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CEAB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62523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€228.89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6B667C" w14:textId="77777777" w:rsidR="009F4F96" w:rsidRPr="009F4F96" w:rsidRDefault="009F4F96" w:rsidP="009137E8">
            <w:pPr>
              <w:rPr>
                <w:rFonts w:cstheme="minorHAnsi"/>
                <w:lang w:val="en-GB"/>
              </w:rPr>
            </w:pPr>
            <w:r w:rsidRPr="009F4F96">
              <w:rPr>
                <w:rFonts w:cstheme="minorHAnsi"/>
                <w:lang w:val="en-GB"/>
              </w:rPr>
              <w:t>BDM-IT codes 3400932850266, 3400933943769, 34009352101, 3400935177902, 3400935530240</w:t>
            </w:r>
          </w:p>
        </w:tc>
      </w:tr>
      <w:tr w:rsidR="009F4F96" w:rsidRPr="009F4F96" w14:paraId="622F3D90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9CEAF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Oocyte retrieval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AFC39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AD8B8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€847.69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8E5A7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Tarif GHM 13C16J</w:t>
            </w:r>
          </w:p>
        </w:tc>
      </w:tr>
      <w:tr w:rsidR="009F4F96" w:rsidRPr="009F4F96" w14:paraId="0DA926B7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9ADE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Nurse care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725D87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AC443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€7.95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7E501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NGAP code AIS3</w:t>
            </w:r>
          </w:p>
        </w:tc>
      </w:tr>
      <w:tr w:rsidR="009F4F96" w:rsidRPr="009F4F96" w14:paraId="508C1B51" w14:textId="77777777" w:rsidTr="009137E8">
        <w:trPr>
          <w:trHeight w:val="290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3EFBAB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9AA0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D6D6D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BF53A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€1,362.49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B9E7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</w:t>
            </w:r>
          </w:p>
        </w:tc>
      </w:tr>
      <w:tr w:rsidR="009F4F96" w:rsidRPr="009F4F96" w14:paraId="4BEE6B36" w14:textId="77777777" w:rsidTr="009137E8">
        <w:trPr>
          <w:trHeight w:val="316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0E09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41B53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93AA2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B3FE1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3D63E6B7" w14:textId="77777777" w:rsidTr="009137E8"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3D39B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Oocyte fertilization method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9A4B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F69AE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1F926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F69AE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DFDE68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39E738C7" w14:textId="77777777" w:rsidTr="009137E8">
        <w:trPr>
          <w:trHeight w:val="259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6D76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ICSI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1FA2A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4" w:space="0" w:color="0F69AE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6C0C5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€689.43</w:t>
            </w:r>
          </w:p>
        </w:tc>
        <w:tc>
          <w:tcPr>
            <w:tcW w:w="2160" w:type="dxa"/>
            <w:tcBorders>
              <w:top w:val="single" w:sz="4" w:space="0" w:color="0F69AE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E4985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61</w:t>
            </w:r>
          </w:p>
        </w:tc>
      </w:tr>
      <w:tr w:rsidR="009F4F96" w:rsidRPr="009F4F96" w14:paraId="6FF7165F" w14:textId="77777777" w:rsidTr="009137E8">
        <w:trPr>
          <w:trHeight w:val="259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9EC60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IVF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E2705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DBC64E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€426.70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36FDB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60</w:t>
            </w:r>
          </w:p>
        </w:tc>
      </w:tr>
      <w:tr w:rsidR="009F4F96" w:rsidRPr="009F4F96" w14:paraId="2BDF0DCB" w14:textId="77777777" w:rsidTr="009137E8">
        <w:trPr>
          <w:trHeight w:val="259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223757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 (weighted)</w:t>
            </w:r>
          </w:p>
        </w:tc>
        <w:tc>
          <w:tcPr>
            <w:tcW w:w="399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1F61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4" w:space="0" w:color="0F69AE"/>
              <w:right w:val="single" w:sz="8" w:space="0" w:color="045876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BE44C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€604.83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4" w:space="0" w:color="0F69AE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1F3B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 (weighted by the proportions of patients with ICSI and IVF)</w:t>
            </w:r>
          </w:p>
        </w:tc>
      </w:tr>
    </w:tbl>
    <w:p w14:paraId="2720F093" w14:textId="77777777" w:rsidR="009F4F96" w:rsidRPr="009F4F96" w:rsidRDefault="009F4F96" w:rsidP="009F4F96">
      <w:pPr>
        <w:rPr>
          <w:rFonts w:cstheme="minorHAnsi"/>
        </w:rPr>
      </w:pPr>
    </w:p>
    <w:tbl>
      <w:tblPr>
        <w:tblW w:w="777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456"/>
        <w:gridCol w:w="432"/>
        <w:gridCol w:w="1728"/>
        <w:gridCol w:w="2160"/>
      </w:tblGrid>
      <w:tr w:rsidR="009F4F96" w:rsidRPr="009F4F96" w14:paraId="0F1EEE5F" w14:textId="77777777" w:rsidTr="009137E8">
        <w:trPr>
          <w:trHeight w:val="254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A0A5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Fresh embryo transfer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2BD518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9ACE9D" w14:textId="77777777" w:rsidR="009F4F96" w:rsidRPr="009F4F96" w:rsidRDefault="009F4F96" w:rsidP="009137E8">
            <w:pPr>
              <w:jc w:val="center"/>
              <w:rPr>
                <w:rFonts w:cstheme="minorHAnsi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F52F28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7B621435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B6803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lastRenderedPageBreak/>
              <w:t>Embryo transfer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20917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E39491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€82.48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75703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CCAM codes JSEC001, JSED001</w:t>
            </w:r>
          </w:p>
        </w:tc>
      </w:tr>
      <w:tr w:rsidR="009F4F96" w:rsidRPr="009F4F96" w14:paraId="31FF52E1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AE3AD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Concomitant medication (progesterone)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1491F0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F8ED0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€141.01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6873F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BDM-IT codes 3400935876782, 3400932327515, 3400935876843, 3400934839962</w:t>
            </w:r>
          </w:p>
        </w:tc>
      </w:tr>
      <w:tr w:rsidR="009F4F96" w:rsidRPr="009F4F96" w14:paraId="68F0FBC1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B572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B7611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4" w:space="0" w:color="000000"/>
              <w:right w:val="single" w:sz="8" w:space="0" w:color="045876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D5087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€223.49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4" w:space="0" w:color="000000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72987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</w:t>
            </w:r>
          </w:p>
        </w:tc>
      </w:tr>
      <w:tr w:rsidR="009F4F96" w:rsidRPr="009F4F96" w14:paraId="241A9FAD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F70189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2F09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D4823D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95062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7AFE599A" w14:textId="77777777" w:rsidTr="009137E8">
        <w:trPr>
          <w:trHeight w:val="507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6C739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Frozen thawed embryo transfer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AFCC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F9250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D0038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2F78D9EC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0737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Cryopreservation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1B56B5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A1E7D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€50.03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09F3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64</w:t>
            </w:r>
          </w:p>
        </w:tc>
      </w:tr>
      <w:tr w:rsidR="009F4F96" w:rsidRPr="009F4F96" w14:paraId="38E19E8B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4CFD83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Storage per month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A66F13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FCF45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€325.69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F59B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82</w:t>
            </w:r>
          </w:p>
        </w:tc>
      </w:tr>
      <w:tr w:rsidR="009F4F96" w:rsidRPr="009F4F96" w14:paraId="413234E5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C04E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Thawing &amp; embryo transfer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A4D38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4CCEC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€117.28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64783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83</w:t>
            </w:r>
          </w:p>
        </w:tc>
      </w:tr>
      <w:tr w:rsidR="009F4F96" w:rsidRPr="009F4F96" w14:paraId="43EAC8BC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19E5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Frozen transfer medications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244D4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73C4E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€167.26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1342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BDM-IT code 3400921709476</w:t>
            </w:r>
          </w:p>
        </w:tc>
      </w:tr>
      <w:tr w:rsidR="009F4F96" w:rsidRPr="005B46B9" w14:paraId="71801C62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3A4D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Consultation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77D66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9D2E9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€67.74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D2137" w14:textId="77777777" w:rsidR="009F4F96" w:rsidRPr="009F4F96" w:rsidRDefault="009F4F96" w:rsidP="009137E8">
            <w:pPr>
              <w:rPr>
                <w:rFonts w:cstheme="minorHAnsi"/>
                <w:lang w:val="fr-FR"/>
              </w:rPr>
            </w:pPr>
            <w:r w:rsidRPr="009F4F96">
              <w:rPr>
                <w:rFonts w:cstheme="minorHAnsi"/>
                <w:lang w:val="fr-FR"/>
              </w:rPr>
              <w:t>Assurance maladie honoraires et données d'activités 07 Gynécologie obstétrique</w:t>
            </w:r>
          </w:p>
        </w:tc>
      </w:tr>
      <w:tr w:rsidR="009F4F96" w:rsidRPr="009F4F96" w14:paraId="0C9A2940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DE0E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9B6CA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728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6380D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€737.72</w:t>
            </w:r>
          </w:p>
        </w:tc>
        <w:tc>
          <w:tcPr>
            <w:tcW w:w="216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12E4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</w:t>
            </w:r>
          </w:p>
        </w:tc>
      </w:tr>
    </w:tbl>
    <w:p w14:paraId="112D3799" w14:textId="77777777" w:rsidR="009F4F96" w:rsidRPr="009F4F96" w:rsidRDefault="009F4F96" w:rsidP="009F4F96">
      <w:pPr>
        <w:rPr>
          <w:rFonts w:cstheme="minorHAnsi"/>
        </w:rPr>
      </w:pPr>
    </w:p>
    <w:tbl>
      <w:tblPr>
        <w:tblW w:w="806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456"/>
        <w:gridCol w:w="432"/>
        <w:gridCol w:w="1872"/>
        <w:gridCol w:w="2304"/>
      </w:tblGrid>
      <w:tr w:rsidR="009F4F96" w:rsidRPr="009F4F96" w14:paraId="4F9B2D60" w14:textId="77777777" w:rsidTr="009137E8">
        <w:trPr>
          <w:trHeight w:val="254"/>
        </w:trPr>
        <w:tc>
          <w:tcPr>
            <w:tcW w:w="3456" w:type="dxa"/>
            <w:tcBorders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A96AB" w14:textId="77777777" w:rsidR="009F4F96" w:rsidRPr="009F4F96" w:rsidRDefault="009F4F96" w:rsidP="009137E8">
            <w:pPr>
              <w:rPr>
                <w:rFonts w:cstheme="minorHAnsi"/>
                <w:b/>
                <w:bCs/>
              </w:rPr>
            </w:pPr>
            <w:r w:rsidRPr="009F4F96">
              <w:rPr>
                <w:rFonts w:cstheme="minorHAnsi"/>
                <w:b/>
                <w:bCs/>
              </w:rPr>
              <w:lastRenderedPageBreak/>
              <w:t>Pregnancy</w:t>
            </w:r>
          </w:p>
        </w:tc>
        <w:tc>
          <w:tcPr>
            <w:tcW w:w="432" w:type="dxa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32C66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bottom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35F8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2304" w:type="dxa"/>
            <w:tcBorders>
              <w:bottom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A4714B" w14:textId="77777777" w:rsidR="009F4F96" w:rsidRPr="009F4F96" w:rsidRDefault="009F4F96" w:rsidP="009137E8">
            <w:pPr>
              <w:rPr>
                <w:rFonts w:cstheme="minorHAnsi"/>
                <w:lang w:val="en-GB"/>
              </w:rPr>
            </w:pPr>
          </w:p>
        </w:tc>
      </w:tr>
      <w:tr w:rsidR="009F4F96" w:rsidRPr="009F4F96" w14:paraId="2CF8EDD9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28A1A2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Blood test for BHCG (pregnancy test)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D6A97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7EF92B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€18.99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9F06A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7402</w:t>
            </w:r>
          </w:p>
        </w:tc>
      </w:tr>
      <w:tr w:rsidR="009F4F96" w:rsidRPr="009F4F96" w14:paraId="32DB599B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C9616A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Follow up during pregnancy**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AB199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0A564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€800.19</w:t>
            </w:r>
          </w:p>
        </w:tc>
        <w:tc>
          <w:tcPr>
            <w:tcW w:w="2304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5E5B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 xml:space="preserve">NABM codes 4006, 1773, 1420, 1256, CCAM codes JQQM001, JNQM001, JQQM010, JQQM018, JQQM016, ZZQX127, JJQX004, JJQX005, JQHB002, JLHA001, JKHA002, JKHA001, ZCQK002, JNQK001, Assurance </w:t>
            </w:r>
            <w:proofErr w:type="spellStart"/>
            <w:r w:rsidRPr="009F4F96">
              <w:rPr>
                <w:rFonts w:cstheme="minorHAnsi"/>
                <w:lang w:val="en-GB"/>
              </w:rPr>
              <w:t>maladie</w:t>
            </w:r>
            <w:proofErr w:type="spellEnd"/>
            <w:r w:rsidRPr="009F4F96">
              <w:rPr>
                <w:rFonts w:cstheme="minorHAnsi"/>
                <w:lang w:val="en-GB"/>
              </w:rPr>
              <w:t xml:space="preserve"> </w:t>
            </w:r>
            <w:proofErr w:type="spellStart"/>
            <w:r w:rsidRPr="009F4F96">
              <w:rPr>
                <w:rFonts w:cstheme="minorHAnsi"/>
                <w:lang w:val="en-GB"/>
              </w:rPr>
              <w:t>honoraires</w:t>
            </w:r>
            <w:proofErr w:type="spellEnd"/>
            <w:r w:rsidRPr="009F4F96">
              <w:rPr>
                <w:rFonts w:cstheme="minorHAnsi"/>
                <w:lang w:val="en-GB"/>
              </w:rPr>
              <w:t xml:space="preserve"> et données </w:t>
            </w:r>
            <w:proofErr w:type="spellStart"/>
            <w:r w:rsidRPr="009F4F96">
              <w:rPr>
                <w:rFonts w:cstheme="minorHAnsi"/>
                <w:lang w:val="en-GB"/>
              </w:rPr>
              <w:t>d'activités</w:t>
            </w:r>
            <w:proofErr w:type="spellEnd"/>
            <w:r w:rsidRPr="009F4F96">
              <w:rPr>
                <w:rFonts w:cstheme="minorHAnsi"/>
                <w:lang w:val="en-GB"/>
              </w:rPr>
              <w:t xml:space="preserve"> 21 Sage femme</w:t>
            </w:r>
          </w:p>
        </w:tc>
      </w:tr>
      <w:tr w:rsidR="009F4F96" w:rsidRPr="009F4F96" w14:paraId="6355ED5E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94FE6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Total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AF410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8" w:space="0" w:color="045876"/>
              <w:left w:val="single" w:sz="8" w:space="0" w:color="045876"/>
              <w:bottom w:val="single" w:sz="4" w:space="0" w:color="000000"/>
              <w:right w:val="single" w:sz="8" w:space="0" w:color="045876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1C48F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€819.18</w:t>
            </w:r>
          </w:p>
        </w:tc>
        <w:tc>
          <w:tcPr>
            <w:tcW w:w="2304" w:type="dxa"/>
            <w:tcBorders>
              <w:top w:val="single" w:sz="8" w:space="0" w:color="045876"/>
              <w:left w:val="single" w:sz="8" w:space="0" w:color="045876"/>
              <w:bottom w:val="single" w:sz="4" w:space="0" w:color="000000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E6502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Calculation</w:t>
            </w:r>
          </w:p>
        </w:tc>
      </w:tr>
      <w:tr w:rsidR="009F4F96" w:rsidRPr="009F4F96" w14:paraId="69BD92AF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021DC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FF8A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12B85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 </w:t>
            </w:r>
          </w:p>
        </w:tc>
        <w:tc>
          <w:tcPr>
            <w:tcW w:w="230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7D39A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3990FDB5" w14:textId="77777777" w:rsidTr="009137E8">
        <w:trPr>
          <w:trHeight w:val="254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B13850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No pregnancy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A2EC1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7065D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0177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6C5A601B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1DB8E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Blood test for BHCG (pregnancy test)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307F0C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6CC7F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€18.99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5FF583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NABM code 7402</w:t>
            </w:r>
          </w:p>
        </w:tc>
      </w:tr>
      <w:tr w:rsidR="009F4F96" w:rsidRPr="009F4F96" w14:paraId="3A472448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25CA84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71A92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32D19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2304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6250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9F4F96" w14:paraId="1BC1948B" w14:textId="77777777" w:rsidTr="009137E8">
        <w:trPr>
          <w:trHeight w:val="254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7B47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Live birth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36964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4ED63B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D520E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5B46B9" w14:paraId="59C9DDA0" w14:textId="77777777" w:rsidTr="009137E8">
        <w:trPr>
          <w:trHeight w:val="507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C4779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lastRenderedPageBreak/>
              <w:t>Live birth (weighted between single and multiple births, and natural and caesarean)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FEE8E4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393717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€2,507.56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3330B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  <w:r w:rsidRPr="009F4F96">
              <w:rPr>
                <w:rFonts w:cstheme="minorHAnsi"/>
                <w:lang w:val="it-IT"/>
              </w:rPr>
              <w:t>Tarifs GHM codes O800, O300, O301</w:t>
            </w:r>
          </w:p>
        </w:tc>
      </w:tr>
      <w:tr w:rsidR="009F4F96" w:rsidRPr="005B46B9" w14:paraId="4A29B295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8188B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E26908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  <w:tc>
          <w:tcPr>
            <w:tcW w:w="1872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43E43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  <w:lang w:val="it-IT"/>
              </w:rPr>
            </w:pPr>
          </w:p>
        </w:tc>
        <w:tc>
          <w:tcPr>
            <w:tcW w:w="2304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354876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</w:tr>
      <w:tr w:rsidR="009F4F96" w:rsidRPr="009F4F96" w14:paraId="3BE2786E" w14:textId="77777777" w:rsidTr="009137E8">
        <w:trPr>
          <w:trHeight w:val="254"/>
        </w:trPr>
        <w:tc>
          <w:tcPr>
            <w:tcW w:w="34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B4C9A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Miscarriage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90F77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C3357A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E75CDD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  <w:tr w:rsidR="009F4F96" w:rsidRPr="005B46B9" w14:paraId="4B497CCB" w14:textId="77777777" w:rsidTr="009137E8">
        <w:trPr>
          <w:trHeight w:val="254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2EE65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Miscarriage</w:t>
            </w:r>
          </w:p>
        </w:tc>
        <w:tc>
          <w:tcPr>
            <w:tcW w:w="432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0A21D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87EB1B" w14:textId="77777777" w:rsidR="009F4F96" w:rsidRPr="009F4F96" w:rsidRDefault="009F4F96" w:rsidP="009137E8">
            <w:pPr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9F4F96">
              <w:rPr>
                <w:rFonts w:cstheme="minorHAnsi"/>
                <w:b/>
                <w:bCs/>
                <w:color w:val="FFFFFF" w:themeColor="background1"/>
              </w:rPr>
              <w:t>€1,068.18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349F8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  <w:r w:rsidRPr="009F4F96">
              <w:rPr>
                <w:rFonts w:cstheme="minorHAnsi"/>
                <w:lang w:val="it-IT"/>
              </w:rPr>
              <w:t>Tarifs GHM codes O039, O009, O0490</w:t>
            </w:r>
          </w:p>
        </w:tc>
      </w:tr>
    </w:tbl>
    <w:p w14:paraId="5D455F72" w14:textId="77777777" w:rsidR="009F4F96" w:rsidRPr="009F4F96" w:rsidRDefault="009F4F96" w:rsidP="009F4F96">
      <w:pPr>
        <w:rPr>
          <w:rFonts w:cstheme="minorHAnsi"/>
          <w:lang w:val="it-IT"/>
        </w:rPr>
      </w:pPr>
    </w:p>
    <w:tbl>
      <w:tblPr>
        <w:tblW w:w="989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435"/>
        <w:gridCol w:w="450"/>
        <w:gridCol w:w="1980"/>
        <w:gridCol w:w="4032"/>
      </w:tblGrid>
      <w:tr w:rsidR="009F4F96" w:rsidRPr="005B46B9" w14:paraId="7A4CFE8F" w14:textId="77777777" w:rsidTr="009137E8">
        <w:trPr>
          <w:trHeight w:val="76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B813D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9DF6C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CF90A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AE76D" w14:textId="77777777" w:rsidR="009F4F96" w:rsidRPr="009F4F96" w:rsidRDefault="009F4F96" w:rsidP="009137E8">
            <w:pPr>
              <w:rPr>
                <w:rFonts w:cstheme="minorHAnsi"/>
                <w:lang w:val="it-IT"/>
              </w:rPr>
            </w:pPr>
          </w:p>
        </w:tc>
      </w:tr>
      <w:tr w:rsidR="009F4F96" w:rsidRPr="009F4F96" w14:paraId="4FC83DB5" w14:textId="77777777" w:rsidTr="009137E8">
        <w:trPr>
          <w:trHeight w:val="78"/>
        </w:trPr>
        <w:tc>
          <w:tcPr>
            <w:tcW w:w="34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CEBC7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OHSS severe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1368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370C9A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</w:rPr>
              <w:t>Costs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45876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EB452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  <w:lang w:val="en-GB"/>
              </w:rPr>
              <w:t>Reference</w:t>
            </w:r>
          </w:p>
        </w:tc>
      </w:tr>
      <w:tr w:rsidR="009F4F96" w:rsidRPr="009F4F96" w14:paraId="1827034D" w14:textId="77777777" w:rsidTr="009137E8"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43B78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b/>
                <w:bCs/>
                <w:lang w:val="en-GB"/>
              </w:rPr>
              <w:t>N981: Ovarian hyperstimulation</w:t>
            </w:r>
          </w:p>
        </w:tc>
        <w:tc>
          <w:tcPr>
            <w:tcW w:w="450" w:type="dxa"/>
            <w:tcBorders>
              <w:top w:val="nil"/>
              <w:left w:val="single" w:sz="4" w:space="0" w:color="000000"/>
              <w:bottom w:val="nil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A47F4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0793C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741EB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</w:rPr>
              <w:t>€1,767.70</w:t>
            </w:r>
          </w:p>
        </w:tc>
        <w:tc>
          <w:tcPr>
            <w:tcW w:w="4032" w:type="dxa"/>
            <w:tcBorders>
              <w:top w:val="single" w:sz="8" w:space="0" w:color="045876"/>
              <w:left w:val="single" w:sz="8" w:space="0" w:color="045876"/>
              <w:bottom w:val="single" w:sz="8" w:space="0" w:color="045876"/>
              <w:right w:val="single" w:sz="8" w:space="0" w:color="045876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8ABE4" w14:textId="77777777" w:rsidR="009F4F96" w:rsidRPr="009F4F96" w:rsidRDefault="009F4F96" w:rsidP="009137E8">
            <w:pPr>
              <w:rPr>
                <w:rFonts w:cstheme="minorHAnsi"/>
              </w:rPr>
            </w:pPr>
            <w:r w:rsidRPr="009F4F96">
              <w:rPr>
                <w:rFonts w:cstheme="minorHAnsi"/>
                <w:lang w:val="en-GB"/>
              </w:rPr>
              <w:t>MCO-2019 ENCC</w:t>
            </w:r>
          </w:p>
        </w:tc>
      </w:tr>
      <w:tr w:rsidR="009F4F96" w:rsidRPr="009F4F96" w14:paraId="7472A6BA" w14:textId="77777777" w:rsidTr="009137E8">
        <w:trPr>
          <w:trHeight w:val="76"/>
        </w:trPr>
        <w:tc>
          <w:tcPr>
            <w:tcW w:w="34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55" w:type="dxa"/>
              <w:bottom w:w="0" w:type="dxa"/>
              <w:right w:w="15" w:type="dxa"/>
            </w:tcMar>
            <w:vAlign w:val="bottom"/>
            <w:hideMark/>
          </w:tcPr>
          <w:p w14:paraId="2BB660AA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71C5F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1980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82E58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  <w:tc>
          <w:tcPr>
            <w:tcW w:w="4032" w:type="dxa"/>
            <w:tcBorders>
              <w:top w:val="single" w:sz="8" w:space="0" w:color="045876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16CAE6" w14:textId="77777777" w:rsidR="009F4F96" w:rsidRPr="009F4F96" w:rsidRDefault="009F4F96" w:rsidP="009137E8">
            <w:pPr>
              <w:rPr>
                <w:rFonts w:cstheme="minorHAnsi"/>
              </w:rPr>
            </w:pPr>
          </w:p>
        </w:tc>
      </w:tr>
    </w:tbl>
    <w:p w14:paraId="6D733138" w14:textId="77777777" w:rsidR="009F4F96" w:rsidRPr="009F4F96" w:rsidRDefault="009F4F96" w:rsidP="009F4F96">
      <w:pPr>
        <w:pStyle w:val="TableNotes"/>
        <w:rPr>
          <w:rFonts w:asciiTheme="minorHAnsi" w:hAnsiTheme="minorHAnsi" w:cstheme="minorHAnsi"/>
          <w:sz w:val="22"/>
          <w:szCs w:val="22"/>
        </w:rPr>
      </w:pPr>
      <w:r w:rsidRPr="009F4F96">
        <w:rPr>
          <w:rFonts w:asciiTheme="minorHAnsi" w:hAnsiTheme="minorHAnsi" w:cstheme="minorHAnsi"/>
          <w:sz w:val="22"/>
          <w:szCs w:val="22"/>
        </w:rPr>
        <w:t>ART, Assisted reproductive technology; KOL, Key opinion leader; NABM, Nomenclature of Medical Biology Acts; CCAM, Common Classification of Medical Acts; GHM, Homogeneous Group of Patients; BDM-IT, Drug Database - Pricing Information.</w:t>
      </w:r>
    </w:p>
    <w:p w14:paraId="773410B9" w14:textId="77777777" w:rsidR="009F4F96" w:rsidRPr="009F4F96" w:rsidRDefault="009F4F96" w:rsidP="009F4F96">
      <w:pPr>
        <w:pStyle w:val="TableNotes"/>
        <w:rPr>
          <w:rFonts w:asciiTheme="minorHAnsi" w:hAnsiTheme="minorHAnsi" w:cstheme="minorHAnsi"/>
          <w:sz w:val="22"/>
          <w:szCs w:val="22"/>
        </w:rPr>
      </w:pPr>
      <w:r w:rsidRPr="009F4F96">
        <w:rPr>
          <w:rFonts w:asciiTheme="minorHAnsi" w:hAnsiTheme="minorHAnsi" w:cstheme="minorHAnsi"/>
          <w:sz w:val="22"/>
          <w:szCs w:val="22"/>
        </w:rPr>
        <w:t xml:space="preserve">Notes: </w:t>
      </w:r>
    </w:p>
    <w:p w14:paraId="23729241" w14:textId="77777777" w:rsidR="009F4F96" w:rsidRPr="009F4F96" w:rsidRDefault="009F4F96" w:rsidP="009F4F96">
      <w:pPr>
        <w:pStyle w:val="TableNotes"/>
        <w:rPr>
          <w:rFonts w:asciiTheme="minorHAnsi" w:hAnsiTheme="minorHAnsi" w:cstheme="minorHAnsi"/>
          <w:sz w:val="22"/>
          <w:szCs w:val="22"/>
        </w:rPr>
      </w:pPr>
      <w:r w:rsidRPr="009F4F96">
        <w:rPr>
          <w:rFonts w:asciiTheme="minorHAnsi" w:hAnsiTheme="minorHAnsi" w:cstheme="minorHAnsi"/>
          <w:sz w:val="22"/>
          <w:szCs w:val="22"/>
        </w:rPr>
        <w:t xml:space="preserve">* The cost of ‘GnRH: Final oocyte maturation triggering’ is the cost of </w:t>
      </w:r>
      <w:proofErr w:type="spellStart"/>
      <w:r w:rsidRPr="009F4F96">
        <w:rPr>
          <w:rFonts w:asciiTheme="minorHAnsi" w:hAnsiTheme="minorHAnsi" w:cstheme="minorHAnsi"/>
          <w:sz w:val="22"/>
          <w:szCs w:val="22"/>
        </w:rPr>
        <w:t>Ovitrelle</w:t>
      </w:r>
      <w:proofErr w:type="spellEnd"/>
      <w:r w:rsidRPr="009F4F96">
        <w:rPr>
          <w:rFonts w:asciiTheme="minorHAnsi" w:hAnsiTheme="minorHAnsi" w:cstheme="minorHAnsi"/>
          <w:sz w:val="22"/>
          <w:szCs w:val="22"/>
        </w:rPr>
        <w:t xml:space="preserve"> 250 </w:t>
      </w:r>
      <w:proofErr w:type="spellStart"/>
      <w:r w:rsidRPr="009F4F96">
        <w:rPr>
          <w:rFonts w:asciiTheme="minorHAnsi" w:hAnsiTheme="minorHAnsi" w:cstheme="minorHAnsi"/>
          <w:sz w:val="22"/>
          <w:szCs w:val="22"/>
        </w:rPr>
        <w:t>μg</w:t>
      </w:r>
      <w:proofErr w:type="spellEnd"/>
      <w:r w:rsidRPr="009F4F96">
        <w:rPr>
          <w:rFonts w:asciiTheme="minorHAnsi" w:hAnsiTheme="minorHAnsi" w:cstheme="minorHAnsi"/>
          <w:sz w:val="22"/>
          <w:szCs w:val="22"/>
        </w:rPr>
        <w:t xml:space="preserve"> added to a weighted average cost of a GnRH agonist and a GnRH antagonist (weighted by the proportion of patients receiving an agonist (0.77) and antagonist (0.23)).</w:t>
      </w:r>
    </w:p>
    <w:p w14:paraId="7D6183A1" w14:textId="77777777" w:rsidR="009F4F96" w:rsidRPr="009F4F96" w:rsidRDefault="009F4F96" w:rsidP="009F4F96">
      <w:pPr>
        <w:rPr>
          <w:rFonts w:cstheme="minorHAnsi"/>
        </w:rPr>
      </w:pPr>
      <w:r w:rsidRPr="009F4F96">
        <w:rPr>
          <w:rFonts w:cstheme="minorHAnsi"/>
        </w:rPr>
        <w:t>** The follow-up during pregnancy considers midwife consultations, ultrasounds, anatomopathological examinations, biopsies, radiographies, biological tests</w:t>
      </w:r>
    </w:p>
    <w:p w14:paraId="2103A449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23C25478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712F5229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3F6FF58B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452B98B5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348E2EF9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4DACCA6B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78DE3B0B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008BFC7A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156181F4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58C338DE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54699013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70C90EF4" w14:textId="77777777" w:rsidR="009F4F96" w:rsidRPr="009F4F96" w:rsidRDefault="009F4F96" w:rsidP="009F4F96">
      <w:pPr>
        <w:pStyle w:val="ListParagraph"/>
        <w:spacing w:line="480" w:lineRule="auto"/>
        <w:ind w:left="0"/>
        <w:rPr>
          <w:rFonts w:cstheme="minorHAnsi"/>
          <w:b/>
        </w:rPr>
      </w:pPr>
    </w:p>
    <w:p w14:paraId="7C267174" w14:textId="0F34A309" w:rsidR="001B5EC5" w:rsidRPr="009F4F96" w:rsidRDefault="001B5EC5" w:rsidP="009F4F96">
      <w:pPr>
        <w:rPr>
          <w:rFonts w:cstheme="minorHAnsi"/>
        </w:rPr>
      </w:pPr>
    </w:p>
    <w:sectPr w:rsidR="001B5EC5" w:rsidRPr="009F4F96" w:rsidSect="001005FF">
      <w:footerReference w:type="default" r:id="rId10"/>
      <w:pgSz w:w="11906" w:h="16838" w:code="9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B4FE" w14:textId="77777777" w:rsidR="00BF0AF0" w:rsidRDefault="00BF0AF0">
      <w:pPr>
        <w:spacing w:after="0" w:line="240" w:lineRule="auto"/>
      </w:pPr>
      <w:r>
        <w:separator/>
      </w:r>
    </w:p>
  </w:endnote>
  <w:endnote w:type="continuationSeparator" w:id="0">
    <w:p w14:paraId="23133243" w14:textId="77777777" w:rsidR="00BF0AF0" w:rsidRDefault="00BF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80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483DBD" w14:textId="77777777" w:rsidR="00A75D0F" w:rsidRDefault="00A75D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3752206" w14:textId="77777777" w:rsidR="00A75D0F" w:rsidRDefault="00A75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C5F74" w14:textId="77777777" w:rsidR="00BF0AF0" w:rsidRDefault="00BF0AF0">
      <w:pPr>
        <w:spacing w:after="0" w:line="240" w:lineRule="auto"/>
      </w:pPr>
      <w:r>
        <w:separator/>
      </w:r>
    </w:p>
  </w:footnote>
  <w:footnote w:type="continuationSeparator" w:id="0">
    <w:p w14:paraId="0E634183" w14:textId="77777777" w:rsidR="00BF0AF0" w:rsidRDefault="00BF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909"/>
    <w:multiLevelType w:val="hybridMultilevel"/>
    <w:tmpl w:val="CA04A41A"/>
    <w:lvl w:ilvl="0" w:tplc="9C5A95BC">
      <w:start w:val="1"/>
      <w:numFmt w:val="bullet"/>
      <w:pStyle w:val="Top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plc="B1F4506E">
      <w:start w:val="1"/>
      <w:numFmt w:val="bullet"/>
      <w:pStyle w:val="SECOND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6248C"/>
    <w:multiLevelType w:val="hybridMultilevel"/>
    <w:tmpl w:val="6D48D314"/>
    <w:lvl w:ilvl="0" w:tplc="3600F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1B02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860F6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588C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7EAA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F0036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F18D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6622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BFC10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13EE4F22"/>
    <w:multiLevelType w:val="hybridMultilevel"/>
    <w:tmpl w:val="019871A0"/>
    <w:lvl w:ilvl="0" w:tplc="8CDEBAA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AB0107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FF4920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7463AE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62A1E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A0AE61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8ECB65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4884F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4085C9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14C44691"/>
    <w:multiLevelType w:val="hybridMultilevel"/>
    <w:tmpl w:val="E65E6512"/>
    <w:lvl w:ilvl="0" w:tplc="F95E211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2C01CC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30CD3C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CCC77B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536B51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574D2F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42E19F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9906F2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D564FE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8884FB2"/>
    <w:multiLevelType w:val="hybridMultilevel"/>
    <w:tmpl w:val="6C649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E25F0"/>
    <w:multiLevelType w:val="hybridMultilevel"/>
    <w:tmpl w:val="4C92DADE"/>
    <w:lvl w:ilvl="0" w:tplc="F6B63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0086A"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8EABE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C4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B2D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24C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945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90B0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0A6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395D97"/>
    <w:multiLevelType w:val="hybridMultilevel"/>
    <w:tmpl w:val="B2D884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C5CA5B6">
      <w:start w:val="1"/>
      <w:numFmt w:val="bullet"/>
      <w:pStyle w:val="Bulletope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FC7C22"/>
    <w:multiLevelType w:val="hybridMultilevel"/>
    <w:tmpl w:val="0EB49648"/>
    <w:lvl w:ilvl="0" w:tplc="CFC69C2A">
      <w:start w:val="1"/>
      <w:numFmt w:val="decimal"/>
      <w:lvlText w:val="%1."/>
      <w:lvlJc w:val="left"/>
      <w:pPr>
        <w:ind w:left="1440" w:hanging="360"/>
      </w:pPr>
    </w:lvl>
    <w:lvl w:ilvl="1" w:tplc="60343B5E">
      <w:start w:val="1"/>
      <w:numFmt w:val="decimal"/>
      <w:lvlText w:val="%2."/>
      <w:lvlJc w:val="left"/>
      <w:pPr>
        <w:ind w:left="1440" w:hanging="360"/>
      </w:pPr>
    </w:lvl>
    <w:lvl w:ilvl="2" w:tplc="EF342AB4">
      <w:start w:val="1"/>
      <w:numFmt w:val="decimal"/>
      <w:lvlText w:val="%3."/>
      <w:lvlJc w:val="left"/>
      <w:pPr>
        <w:ind w:left="1440" w:hanging="360"/>
      </w:pPr>
    </w:lvl>
    <w:lvl w:ilvl="3" w:tplc="91969C6E">
      <w:start w:val="1"/>
      <w:numFmt w:val="decimal"/>
      <w:lvlText w:val="%4."/>
      <w:lvlJc w:val="left"/>
      <w:pPr>
        <w:ind w:left="1440" w:hanging="360"/>
      </w:pPr>
    </w:lvl>
    <w:lvl w:ilvl="4" w:tplc="AF6A1CF4">
      <w:start w:val="1"/>
      <w:numFmt w:val="decimal"/>
      <w:lvlText w:val="%5."/>
      <w:lvlJc w:val="left"/>
      <w:pPr>
        <w:ind w:left="1440" w:hanging="360"/>
      </w:pPr>
    </w:lvl>
    <w:lvl w:ilvl="5" w:tplc="07C0D57E">
      <w:start w:val="1"/>
      <w:numFmt w:val="decimal"/>
      <w:lvlText w:val="%6."/>
      <w:lvlJc w:val="left"/>
      <w:pPr>
        <w:ind w:left="1440" w:hanging="360"/>
      </w:pPr>
    </w:lvl>
    <w:lvl w:ilvl="6" w:tplc="E3AE43FA">
      <w:start w:val="1"/>
      <w:numFmt w:val="decimal"/>
      <w:lvlText w:val="%7."/>
      <w:lvlJc w:val="left"/>
      <w:pPr>
        <w:ind w:left="1440" w:hanging="360"/>
      </w:pPr>
    </w:lvl>
    <w:lvl w:ilvl="7" w:tplc="55EEF6D6">
      <w:start w:val="1"/>
      <w:numFmt w:val="decimal"/>
      <w:lvlText w:val="%8."/>
      <w:lvlJc w:val="left"/>
      <w:pPr>
        <w:ind w:left="1440" w:hanging="360"/>
      </w:pPr>
    </w:lvl>
    <w:lvl w:ilvl="8" w:tplc="23C6D9B0">
      <w:start w:val="1"/>
      <w:numFmt w:val="decimal"/>
      <w:lvlText w:val="%9."/>
      <w:lvlJc w:val="left"/>
      <w:pPr>
        <w:ind w:left="1440" w:hanging="360"/>
      </w:pPr>
    </w:lvl>
  </w:abstractNum>
  <w:abstractNum w:abstractNumId="8" w15:restartNumberingAfterBreak="0">
    <w:nsid w:val="281F5C6A"/>
    <w:multiLevelType w:val="hybridMultilevel"/>
    <w:tmpl w:val="23C6B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8263F"/>
    <w:multiLevelType w:val="hybridMultilevel"/>
    <w:tmpl w:val="E4B8066E"/>
    <w:lvl w:ilvl="0" w:tplc="F864A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F49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B8E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CC3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43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D8B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00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263F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A45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D414032"/>
    <w:multiLevelType w:val="hybridMultilevel"/>
    <w:tmpl w:val="0D40A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064D2"/>
    <w:multiLevelType w:val="hybridMultilevel"/>
    <w:tmpl w:val="4ECC7F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1B379A"/>
    <w:multiLevelType w:val="hybridMultilevel"/>
    <w:tmpl w:val="7A7C8CB4"/>
    <w:lvl w:ilvl="0" w:tplc="44FCDA52">
      <w:start w:val="1"/>
      <w:numFmt w:val="decimal"/>
      <w:lvlText w:val="%1."/>
      <w:lvlJc w:val="left"/>
      <w:pPr>
        <w:ind w:left="1440" w:hanging="360"/>
      </w:pPr>
    </w:lvl>
    <w:lvl w:ilvl="1" w:tplc="1C0420B4">
      <w:start w:val="1"/>
      <w:numFmt w:val="decimal"/>
      <w:lvlText w:val="%2."/>
      <w:lvlJc w:val="left"/>
      <w:pPr>
        <w:ind w:left="1440" w:hanging="360"/>
      </w:pPr>
    </w:lvl>
    <w:lvl w:ilvl="2" w:tplc="1ADA916C">
      <w:start w:val="1"/>
      <w:numFmt w:val="decimal"/>
      <w:lvlText w:val="%3."/>
      <w:lvlJc w:val="left"/>
      <w:pPr>
        <w:ind w:left="1440" w:hanging="360"/>
      </w:pPr>
    </w:lvl>
    <w:lvl w:ilvl="3" w:tplc="56928BD8">
      <w:start w:val="1"/>
      <w:numFmt w:val="decimal"/>
      <w:lvlText w:val="%4."/>
      <w:lvlJc w:val="left"/>
      <w:pPr>
        <w:ind w:left="1440" w:hanging="360"/>
      </w:pPr>
    </w:lvl>
    <w:lvl w:ilvl="4" w:tplc="59B28D62">
      <w:start w:val="1"/>
      <w:numFmt w:val="decimal"/>
      <w:lvlText w:val="%5."/>
      <w:lvlJc w:val="left"/>
      <w:pPr>
        <w:ind w:left="1440" w:hanging="360"/>
      </w:pPr>
    </w:lvl>
    <w:lvl w:ilvl="5" w:tplc="80BA06D4">
      <w:start w:val="1"/>
      <w:numFmt w:val="decimal"/>
      <w:lvlText w:val="%6."/>
      <w:lvlJc w:val="left"/>
      <w:pPr>
        <w:ind w:left="1440" w:hanging="360"/>
      </w:pPr>
    </w:lvl>
    <w:lvl w:ilvl="6" w:tplc="6C8EF57E">
      <w:start w:val="1"/>
      <w:numFmt w:val="decimal"/>
      <w:lvlText w:val="%7."/>
      <w:lvlJc w:val="left"/>
      <w:pPr>
        <w:ind w:left="1440" w:hanging="360"/>
      </w:pPr>
    </w:lvl>
    <w:lvl w:ilvl="7" w:tplc="6D54AFF0">
      <w:start w:val="1"/>
      <w:numFmt w:val="decimal"/>
      <w:lvlText w:val="%8."/>
      <w:lvlJc w:val="left"/>
      <w:pPr>
        <w:ind w:left="1440" w:hanging="360"/>
      </w:pPr>
    </w:lvl>
    <w:lvl w:ilvl="8" w:tplc="2486826A">
      <w:start w:val="1"/>
      <w:numFmt w:val="decimal"/>
      <w:lvlText w:val="%9."/>
      <w:lvlJc w:val="left"/>
      <w:pPr>
        <w:ind w:left="1440" w:hanging="360"/>
      </w:pPr>
    </w:lvl>
  </w:abstractNum>
  <w:abstractNum w:abstractNumId="13" w15:restartNumberingAfterBreak="0">
    <w:nsid w:val="33685C40"/>
    <w:multiLevelType w:val="hybridMultilevel"/>
    <w:tmpl w:val="878C8692"/>
    <w:lvl w:ilvl="0" w:tplc="F21E19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80E00A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B8880E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ECE818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09400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26777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23A8C5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0CCA1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29A3E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414B15C5"/>
    <w:multiLevelType w:val="hybridMultilevel"/>
    <w:tmpl w:val="2AE047B0"/>
    <w:lvl w:ilvl="0" w:tplc="64FA4684">
      <w:start w:val="1"/>
      <w:numFmt w:val="bullet"/>
      <w:pStyle w:val="BULLET1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2F8A06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0724CC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5884DA8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CA29B1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8EAEC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1AC09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F9A992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5" w15:restartNumberingAfterBreak="0">
    <w:nsid w:val="43CF16CA"/>
    <w:multiLevelType w:val="hybridMultilevel"/>
    <w:tmpl w:val="634E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95CC1"/>
    <w:multiLevelType w:val="hybridMultilevel"/>
    <w:tmpl w:val="1FE0167A"/>
    <w:lvl w:ilvl="0" w:tplc="9BFA54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400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86E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CE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0C3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EF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62E2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783A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B23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FFD698B"/>
    <w:multiLevelType w:val="hybridMultilevel"/>
    <w:tmpl w:val="5FD013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BA5AF7"/>
    <w:multiLevelType w:val="hybridMultilevel"/>
    <w:tmpl w:val="DCAAE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C6823"/>
    <w:multiLevelType w:val="hybridMultilevel"/>
    <w:tmpl w:val="9EFCAF1E"/>
    <w:lvl w:ilvl="0" w:tplc="87347E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7046164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B7C0D0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5361C3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E40FF3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F543CD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23CD2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C96E3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5D4D96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67852555"/>
    <w:multiLevelType w:val="hybridMultilevel"/>
    <w:tmpl w:val="ACA6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ED3D85"/>
    <w:multiLevelType w:val="hybridMultilevel"/>
    <w:tmpl w:val="96DAD54E"/>
    <w:lvl w:ilvl="0" w:tplc="C9B6D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A0C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CD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14C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52E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52BA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2C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E229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4433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1A47FA1"/>
    <w:multiLevelType w:val="multilevel"/>
    <w:tmpl w:val="6BDA28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739BD"/>
    <w:multiLevelType w:val="hybridMultilevel"/>
    <w:tmpl w:val="A844B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9821688">
    <w:abstractNumId w:val="0"/>
  </w:num>
  <w:num w:numId="2" w16cid:durableId="2128772695">
    <w:abstractNumId w:val="6"/>
  </w:num>
  <w:num w:numId="3" w16cid:durableId="646977764">
    <w:abstractNumId w:val="14"/>
  </w:num>
  <w:num w:numId="4" w16cid:durableId="292977765">
    <w:abstractNumId w:val="11"/>
  </w:num>
  <w:num w:numId="5" w16cid:durableId="1930189534">
    <w:abstractNumId w:val="3"/>
  </w:num>
  <w:num w:numId="6" w16cid:durableId="820268821">
    <w:abstractNumId w:val="13"/>
  </w:num>
  <w:num w:numId="7" w16cid:durableId="376516725">
    <w:abstractNumId w:val="19"/>
  </w:num>
  <w:num w:numId="8" w16cid:durableId="595091806">
    <w:abstractNumId w:val="2"/>
  </w:num>
  <w:num w:numId="9" w16cid:durableId="358092685">
    <w:abstractNumId w:val="4"/>
  </w:num>
  <w:num w:numId="10" w16cid:durableId="1156803958">
    <w:abstractNumId w:val="15"/>
  </w:num>
  <w:num w:numId="11" w16cid:durableId="296762156">
    <w:abstractNumId w:val="8"/>
  </w:num>
  <w:num w:numId="12" w16cid:durableId="994529021">
    <w:abstractNumId w:val="16"/>
  </w:num>
  <w:num w:numId="13" w16cid:durableId="96096298">
    <w:abstractNumId w:val="17"/>
  </w:num>
  <w:num w:numId="14" w16cid:durableId="697588927">
    <w:abstractNumId w:val="21"/>
  </w:num>
  <w:num w:numId="15" w16cid:durableId="1731002747">
    <w:abstractNumId w:val="5"/>
  </w:num>
  <w:num w:numId="16" w16cid:durableId="2089954848">
    <w:abstractNumId w:val="23"/>
  </w:num>
  <w:num w:numId="17" w16cid:durableId="1100612808">
    <w:abstractNumId w:val="9"/>
  </w:num>
  <w:num w:numId="18" w16cid:durableId="756287226">
    <w:abstractNumId w:val="22"/>
  </w:num>
  <w:num w:numId="19" w16cid:durableId="1477717431">
    <w:abstractNumId w:val="10"/>
  </w:num>
  <w:num w:numId="20" w16cid:durableId="2029522270">
    <w:abstractNumId w:val="18"/>
  </w:num>
  <w:num w:numId="21" w16cid:durableId="31005215">
    <w:abstractNumId w:val="20"/>
  </w:num>
  <w:num w:numId="22" w16cid:durableId="1244215443">
    <w:abstractNumId w:val="1"/>
  </w:num>
  <w:num w:numId="23" w16cid:durableId="378752210">
    <w:abstractNumId w:val="7"/>
  </w:num>
  <w:num w:numId="24" w16cid:durableId="16317381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A7D"/>
    <w:rsid w:val="00024404"/>
    <w:rsid w:val="001B5EC5"/>
    <w:rsid w:val="00245C72"/>
    <w:rsid w:val="00281A7D"/>
    <w:rsid w:val="0043452C"/>
    <w:rsid w:val="00547843"/>
    <w:rsid w:val="005B46B9"/>
    <w:rsid w:val="00806CC2"/>
    <w:rsid w:val="0090333F"/>
    <w:rsid w:val="00980111"/>
    <w:rsid w:val="009F25B2"/>
    <w:rsid w:val="009F4F96"/>
    <w:rsid w:val="00A34951"/>
    <w:rsid w:val="00A75D0F"/>
    <w:rsid w:val="00B172E5"/>
    <w:rsid w:val="00B50439"/>
    <w:rsid w:val="00BF0AF0"/>
    <w:rsid w:val="00C62666"/>
    <w:rsid w:val="00D1614A"/>
    <w:rsid w:val="00E50741"/>
    <w:rsid w:val="00EB0FDD"/>
    <w:rsid w:val="00EE3836"/>
    <w:rsid w:val="00EF751A"/>
    <w:rsid w:val="00F9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ADE70"/>
  <w15:chartTrackingRefBased/>
  <w15:docId w15:val="{577F6B37-F419-4925-A9BB-58E5DC16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F96"/>
    <w:pPr>
      <w:spacing w:line="480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F9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F9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4F9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4F96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81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1A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1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1A7D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281A7D"/>
    <w:rPr>
      <w:rFonts w:ascii="Segoe UI" w:hAnsi="Segoe UI" w:cs="Segoe UI" w:hint="default"/>
      <w:sz w:val="18"/>
      <w:szCs w:val="18"/>
    </w:rPr>
  </w:style>
  <w:style w:type="paragraph" w:customStyle="1" w:styleId="TableNotes">
    <w:name w:val="Table Notes"/>
    <w:basedOn w:val="Normal"/>
    <w:link w:val="TableNotesChar"/>
    <w:qFormat/>
    <w:rsid w:val="00C62666"/>
    <w:pPr>
      <w:spacing w:after="60" w:line="240" w:lineRule="auto"/>
      <w:jc w:val="both"/>
    </w:pPr>
    <w:rPr>
      <w:rFonts w:asciiTheme="minorBidi" w:hAnsiTheme="minorBidi"/>
      <w:bCs/>
      <w:color w:val="000000" w:themeColor="text1"/>
      <w:sz w:val="16"/>
      <w:szCs w:val="16"/>
      <w:lang w:val="en-GB" w:eastAsia="zh-TW"/>
    </w:rPr>
  </w:style>
  <w:style w:type="character" w:customStyle="1" w:styleId="TableNotesChar">
    <w:name w:val="Table Notes Char"/>
    <w:basedOn w:val="DefaultParagraphFont"/>
    <w:link w:val="TableNotes"/>
    <w:rsid w:val="00C62666"/>
    <w:rPr>
      <w:rFonts w:asciiTheme="minorBidi" w:eastAsiaTheme="minorEastAsia" w:hAnsiTheme="minorBidi"/>
      <w:bCs/>
      <w:color w:val="000000" w:themeColor="text1"/>
      <w:sz w:val="16"/>
      <w:szCs w:val="16"/>
      <w:lang w:val="en-GB" w:eastAsia="zh-TW"/>
    </w:rPr>
  </w:style>
  <w:style w:type="paragraph" w:styleId="Revision">
    <w:name w:val="Revision"/>
    <w:hidden/>
    <w:uiPriority w:val="99"/>
    <w:semiHidden/>
    <w:rsid w:val="0098011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F4F9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F4F9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F4F96"/>
    <w:rPr>
      <w:rFonts w:asciiTheme="majorHAnsi" w:eastAsiaTheme="majorEastAsia" w:hAnsiTheme="majorHAnsi" w:cstheme="majorBidi"/>
      <w:b/>
      <w:bCs/>
      <w:color w:val="4472C4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F4F96"/>
    <w:rPr>
      <w:rFonts w:asciiTheme="majorHAnsi" w:eastAsiaTheme="majorEastAsia" w:hAnsiTheme="majorHAnsi" w:cstheme="majorBidi"/>
      <w:b/>
      <w:bCs/>
      <w:i/>
      <w:iCs/>
      <w:color w:val="4472C4" w:themeColor="accent1"/>
      <w:lang w:val="en-GB"/>
    </w:rPr>
  </w:style>
  <w:style w:type="paragraph" w:customStyle="1" w:styleId="Topbullet">
    <w:name w:val="Top bullet"/>
    <w:basedOn w:val="ListParagraph"/>
    <w:qFormat/>
    <w:rsid w:val="009F4F96"/>
    <w:pPr>
      <w:numPr>
        <w:numId w:val="1"/>
      </w:numPr>
    </w:pPr>
    <w:rPr>
      <w:color w:val="000000" w:themeColor="text1"/>
    </w:rPr>
  </w:style>
  <w:style w:type="paragraph" w:styleId="ListParagraph">
    <w:name w:val="List Paragraph"/>
    <w:aliases w:val="Bullet 1,Liste à puce,_CC_Bullet,Bullet1,Section 5,List Paragraph1,Paragraphe de liste1,Table Legend,Bullet List,Bullet List 2,Bullets Points,Table Header Row,Normal: Bullets,List Table,Párrafo de lista,List Bullet #1,Liste.,Bullets"/>
    <w:basedOn w:val="Normal"/>
    <w:link w:val="ListParagraphChar"/>
    <w:uiPriority w:val="34"/>
    <w:qFormat/>
    <w:rsid w:val="009F4F96"/>
    <w:pPr>
      <w:spacing w:after="200" w:line="276" w:lineRule="auto"/>
      <w:ind w:left="720"/>
      <w:contextualSpacing/>
    </w:pPr>
    <w:rPr>
      <w:rFonts w:eastAsiaTheme="minorHAnsi"/>
      <w:lang w:val="en-GB"/>
    </w:rPr>
  </w:style>
  <w:style w:type="paragraph" w:customStyle="1" w:styleId="SECONDBULLET">
    <w:name w:val="SECOND BULLET"/>
    <w:basedOn w:val="Topbullet"/>
    <w:qFormat/>
    <w:rsid w:val="009F4F96"/>
    <w:pPr>
      <w:numPr>
        <w:ilvl w:val="1"/>
      </w:numPr>
    </w:pPr>
  </w:style>
  <w:style w:type="character" w:styleId="Emphasis">
    <w:name w:val="Emphasis"/>
    <w:basedOn w:val="DefaultParagraphFont"/>
    <w:uiPriority w:val="20"/>
    <w:qFormat/>
    <w:rsid w:val="009F4F9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F96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4F96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F4F96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F4F96"/>
    <w:rPr>
      <w:rFonts w:ascii="Calibri" w:eastAsiaTheme="minorEastAsia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9F4F96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F4F96"/>
    <w:rPr>
      <w:rFonts w:ascii="Calibri" w:eastAsiaTheme="minorEastAsia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9F4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F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F4F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F96"/>
    <w:rPr>
      <w:rFonts w:eastAsiaTheme="minorEastAsia"/>
    </w:rPr>
  </w:style>
  <w:style w:type="paragraph" w:customStyle="1" w:styleId="BULLET1">
    <w:name w:val="BULLET 1"/>
    <w:basedOn w:val="Normal"/>
    <w:link w:val="BULLET1Char"/>
    <w:qFormat/>
    <w:rsid w:val="009F4F96"/>
    <w:pPr>
      <w:widowControl w:val="0"/>
      <w:numPr>
        <w:numId w:val="3"/>
      </w:numPr>
      <w:spacing w:after="240" w:line="360" w:lineRule="auto"/>
    </w:pPr>
    <w:rPr>
      <w:rFonts w:eastAsia="Times New Roman" w:cs="Vrinda"/>
      <w:szCs w:val="24"/>
      <w:lang w:val="en-GB" w:eastAsia="ko-KR"/>
    </w:rPr>
  </w:style>
  <w:style w:type="paragraph" w:customStyle="1" w:styleId="BULLET2">
    <w:name w:val="BULLET 2"/>
    <w:basedOn w:val="Bulletopen"/>
    <w:next w:val="Bulletopen"/>
    <w:link w:val="BULLET2Char"/>
    <w:qFormat/>
    <w:rsid w:val="009F4F96"/>
    <w:pPr>
      <w:widowControl w:val="0"/>
      <w:numPr>
        <w:ilvl w:val="0"/>
        <w:numId w:val="0"/>
      </w:numPr>
      <w:spacing w:after="240"/>
    </w:pPr>
    <w:rPr>
      <w:rFonts w:eastAsia="Times New Roman" w:cs="Vrinda"/>
      <w:szCs w:val="24"/>
      <w:lang w:eastAsia="ko-KR"/>
    </w:rPr>
  </w:style>
  <w:style w:type="character" w:customStyle="1" w:styleId="BULLET1Char">
    <w:name w:val="BULLET 1 Char"/>
    <w:basedOn w:val="DefaultParagraphFont"/>
    <w:link w:val="BULLET1"/>
    <w:rsid w:val="009F4F96"/>
    <w:rPr>
      <w:rFonts w:eastAsia="Times New Roman" w:cs="Vrinda"/>
      <w:szCs w:val="24"/>
      <w:lang w:val="en-GB" w:eastAsia="ko-KR"/>
    </w:rPr>
  </w:style>
  <w:style w:type="character" w:customStyle="1" w:styleId="BULLET2Char">
    <w:name w:val="BULLET 2 Char"/>
    <w:basedOn w:val="DefaultParagraphFont"/>
    <w:link w:val="BULLET2"/>
    <w:rsid w:val="009F4F96"/>
    <w:rPr>
      <w:rFonts w:eastAsia="Times New Roman" w:cs="Vrinda"/>
      <w:szCs w:val="24"/>
      <w:lang w:val="en-GB" w:eastAsia="ko-KR"/>
    </w:rPr>
  </w:style>
  <w:style w:type="paragraph" w:styleId="NormalWeb">
    <w:name w:val="Normal (Web)"/>
    <w:basedOn w:val="Normal"/>
    <w:uiPriority w:val="99"/>
    <w:unhideWhenUsed/>
    <w:rsid w:val="009F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41">
    <w:name w:val="Grid Table 41"/>
    <w:basedOn w:val="TableNormal"/>
    <w:uiPriority w:val="49"/>
    <w:rsid w:val="009F4F9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-Accent41">
    <w:name w:val="Grid Table 4 - Accent 41"/>
    <w:basedOn w:val="TableNormal"/>
    <w:uiPriority w:val="49"/>
    <w:rsid w:val="009F4F96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1Light1">
    <w:name w:val="Grid Table 1 Light1"/>
    <w:basedOn w:val="TableNormal"/>
    <w:uiPriority w:val="46"/>
    <w:rsid w:val="009F4F9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9F4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9F4F9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ulletopen">
    <w:name w:val="Bullet open"/>
    <w:basedOn w:val="ListParagraph"/>
    <w:link w:val="BulletopenChar"/>
    <w:qFormat/>
    <w:rsid w:val="009F4F96"/>
    <w:pPr>
      <w:numPr>
        <w:ilvl w:val="1"/>
        <w:numId w:val="2"/>
      </w:numPr>
      <w:spacing w:line="360" w:lineRule="auto"/>
    </w:pPr>
  </w:style>
  <w:style w:type="character" w:customStyle="1" w:styleId="ListParagraphChar">
    <w:name w:val="List Paragraph Char"/>
    <w:aliases w:val="Bullet 1 Char,Liste à puce Char,_CC_Bullet Char,Bullet1 Char,Section 5 Char,List Paragraph1 Char,Paragraphe de liste1 Char,Table Legend Char,Bullet List Char,Bullet List 2 Char,Bullets Points Char,Table Header Row Char,Liste. Char"/>
    <w:basedOn w:val="DefaultParagraphFont"/>
    <w:link w:val="ListParagraph"/>
    <w:uiPriority w:val="34"/>
    <w:qFormat/>
    <w:rsid w:val="009F4F96"/>
    <w:rPr>
      <w:lang w:val="en-GB"/>
    </w:rPr>
  </w:style>
  <w:style w:type="character" w:customStyle="1" w:styleId="BulletopenChar">
    <w:name w:val="Bullet open Char"/>
    <w:basedOn w:val="ListParagraphChar"/>
    <w:link w:val="Bulletopen"/>
    <w:rsid w:val="009F4F96"/>
    <w:rPr>
      <w:lang w:val="en-GB"/>
    </w:rPr>
  </w:style>
  <w:style w:type="character" w:customStyle="1" w:styleId="scxp222907590">
    <w:name w:val="scxp222907590"/>
    <w:basedOn w:val="DefaultParagraphFont"/>
    <w:rsid w:val="009F4F9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4F9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F4F96"/>
    <w:rPr>
      <w:color w:val="954F72" w:themeColor="followedHyperlink"/>
      <w:u w:val="single"/>
    </w:rPr>
  </w:style>
  <w:style w:type="table" w:styleId="ListTable3-Accent1">
    <w:name w:val="List Table 3 Accent 1"/>
    <w:basedOn w:val="TableNormal"/>
    <w:uiPriority w:val="48"/>
    <w:rsid w:val="009F4F9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9F4F9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f0">
    <w:name w:val="pf0"/>
    <w:basedOn w:val="Normal"/>
    <w:rsid w:val="009F4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20">
    <w:name w:val="Bullet 2"/>
    <w:basedOn w:val="ListParagraph"/>
    <w:rsid w:val="009F4F96"/>
    <w:pPr>
      <w:spacing w:after="0" w:line="360" w:lineRule="auto"/>
      <w:ind w:left="1440" w:hanging="360"/>
      <w:jc w:val="both"/>
    </w:pPr>
    <w:rPr>
      <w:rFonts w:asciiTheme="minorBidi" w:eastAsiaTheme="minorEastAsia" w:hAnsiTheme="minorBidi"/>
      <w:bCs/>
      <w:color w:val="000000" w:themeColor="text1"/>
      <w:sz w:val="20"/>
      <w:szCs w:val="20"/>
      <w:lang w:eastAsia="zh-TW"/>
    </w:rPr>
  </w:style>
  <w:style w:type="paragraph" w:customStyle="1" w:styleId="Bullet3">
    <w:name w:val="Bullet 3"/>
    <w:basedOn w:val="ListParagraph"/>
    <w:rsid w:val="009F4F96"/>
    <w:pPr>
      <w:spacing w:after="0" w:line="360" w:lineRule="auto"/>
      <w:ind w:left="2160" w:hanging="360"/>
      <w:jc w:val="both"/>
    </w:pPr>
    <w:rPr>
      <w:rFonts w:asciiTheme="minorBidi" w:eastAsiaTheme="minorEastAsia" w:hAnsiTheme="minorBidi"/>
      <w:bCs/>
      <w:color w:val="000000" w:themeColor="text1"/>
      <w:sz w:val="20"/>
      <w:szCs w:val="20"/>
      <w:lang w:eastAsia="zh-TW"/>
    </w:rPr>
  </w:style>
  <w:style w:type="character" w:customStyle="1" w:styleId="UnresolvedMention2">
    <w:name w:val="Unresolved Mention2"/>
    <w:basedOn w:val="DefaultParagraphFont"/>
    <w:uiPriority w:val="99"/>
    <w:unhideWhenUsed/>
    <w:rsid w:val="009F4F96"/>
    <w:rPr>
      <w:color w:val="605E5C"/>
      <w:shd w:val="clear" w:color="auto" w:fill="E1DFDD"/>
    </w:rPr>
  </w:style>
  <w:style w:type="character" w:customStyle="1" w:styleId="uppercase">
    <w:name w:val="uppercase"/>
    <w:basedOn w:val="DefaultParagraphFont"/>
    <w:rsid w:val="009F4F96"/>
  </w:style>
  <w:style w:type="paragraph" w:customStyle="1" w:styleId="Footnote">
    <w:name w:val="Footnote"/>
    <w:basedOn w:val="Normal"/>
    <w:next w:val="Normal"/>
    <w:link w:val="FootnoteChar"/>
    <w:qFormat/>
    <w:rsid w:val="009F4F96"/>
    <w:pPr>
      <w:spacing w:after="0" w:line="240" w:lineRule="auto"/>
      <w:jc w:val="both"/>
    </w:pPr>
    <w:rPr>
      <w:rFonts w:asciiTheme="minorBidi" w:hAnsiTheme="minorBidi"/>
      <w:bCs/>
      <w:i/>
      <w:iCs/>
      <w:color w:val="595959" w:themeColor="text1" w:themeTint="A6"/>
      <w:sz w:val="18"/>
      <w:szCs w:val="16"/>
      <w:lang w:val="en-GB" w:eastAsia="zh-TW"/>
    </w:rPr>
  </w:style>
  <w:style w:type="character" w:customStyle="1" w:styleId="FootnoteChar">
    <w:name w:val="Footnote Char"/>
    <w:basedOn w:val="DefaultParagraphFont"/>
    <w:link w:val="Footnote"/>
    <w:rsid w:val="009F4F96"/>
    <w:rPr>
      <w:rFonts w:asciiTheme="minorBidi" w:eastAsiaTheme="minorEastAsia" w:hAnsiTheme="minorBidi"/>
      <w:bCs/>
      <w:i/>
      <w:iCs/>
      <w:color w:val="595959" w:themeColor="text1" w:themeTint="A6"/>
      <w:sz w:val="18"/>
      <w:szCs w:val="16"/>
      <w:lang w:val="en-GB" w:eastAsia="zh-TW"/>
    </w:rPr>
  </w:style>
  <w:style w:type="character" w:styleId="FootnoteReference">
    <w:name w:val="footnote reference"/>
    <w:basedOn w:val="DefaultParagraphFont"/>
    <w:uiPriority w:val="99"/>
    <w:unhideWhenUsed/>
    <w:rsid w:val="009F4F96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4F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4F96"/>
    <w:rPr>
      <w:rFonts w:ascii="Courier New" w:eastAsia="Times New Roman" w:hAnsi="Courier New" w:cs="Courier New"/>
      <w:sz w:val="20"/>
      <w:szCs w:val="20"/>
    </w:rPr>
  </w:style>
  <w:style w:type="character" w:customStyle="1" w:styleId="ui-provider">
    <w:name w:val="ui-provider"/>
    <w:basedOn w:val="DefaultParagraphFont"/>
    <w:rsid w:val="009F4F96"/>
  </w:style>
  <w:style w:type="character" w:customStyle="1" w:styleId="al-author-delim">
    <w:name w:val="al-author-delim"/>
    <w:basedOn w:val="DefaultParagraphFont"/>
    <w:rsid w:val="009F4F96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F4F96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9F4F96"/>
  </w:style>
  <w:style w:type="paragraph" w:styleId="Quote">
    <w:name w:val="Quote"/>
    <w:basedOn w:val="Normal"/>
    <w:next w:val="Normal"/>
    <w:link w:val="QuoteChar"/>
    <w:uiPriority w:val="29"/>
    <w:qFormat/>
    <w:rsid w:val="009F4F9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4F96"/>
    <w:rPr>
      <w:rFonts w:eastAsiaTheme="minorEastAsia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4F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4F96"/>
    <w:rPr>
      <w:rFonts w:eastAsiaTheme="minorEastAsia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F4F96"/>
    <w:rPr>
      <w:color w:val="605E5C"/>
      <w:shd w:val="clear" w:color="auto" w:fill="E1DFDD"/>
    </w:rPr>
  </w:style>
  <w:style w:type="paragraph" w:styleId="Caption">
    <w:name w:val="caption"/>
    <w:aliases w:val="- H17,Bayer Caption,IB Caption,Medical Caption,B Caption,! Q,NICE Caption,Source Caption,Caption PHMR,Caption for Figures and Tables,TabFig title/caption,Table Caption 1,Figure caption,Figure caption1 Char Char,Figure Source,Table caption,."/>
    <w:basedOn w:val="Normal"/>
    <w:next w:val="Normal"/>
    <w:link w:val="CaptionChar"/>
    <w:uiPriority w:val="35"/>
    <w:unhideWhenUsed/>
    <w:qFormat/>
    <w:rsid w:val="009F4F96"/>
    <w:pPr>
      <w:keepNext/>
      <w:spacing w:after="120" w:line="240" w:lineRule="auto"/>
    </w:pPr>
    <w:rPr>
      <w:rFonts w:asciiTheme="minorBidi" w:hAnsiTheme="minorBidi"/>
      <w:bCs/>
      <w:color w:val="7F7F7F" w:themeColor="text1" w:themeTint="80"/>
      <w:sz w:val="20"/>
      <w:szCs w:val="20"/>
      <w:lang w:val="it-IT" w:eastAsia="zh-TW"/>
    </w:rPr>
  </w:style>
  <w:style w:type="character" w:customStyle="1" w:styleId="CaptionChar">
    <w:name w:val="Caption Char"/>
    <w:aliases w:val="- H17 Char,Bayer Caption Char,IB Caption Char,Medical Caption Char,B Caption Char,! Q Char,NICE Caption Char,Source Caption Char,Caption PHMR Char,Caption for Figures and Tables Char,TabFig title/caption Char,Table Caption 1 Char,. Char"/>
    <w:basedOn w:val="DefaultParagraphFont"/>
    <w:link w:val="Caption"/>
    <w:uiPriority w:val="35"/>
    <w:rsid w:val="009F4F96"/>
    <w:rPr>
      <w:rFonts w:asciiTheme="minorBidi" w:eastAsiaTheme="minorEastAsia" w:hAnsiTheme="minorBidi"/>
      <w:bCs/>
      <w:color w:val="7F7F7F" w:themeColor="text1" w:themeTint="80"/>
      <w:sz w:val="20"/>
      <w:szCs w:val="20"/>
      <w:lang w:val="it-IT" w:eastAsia="zh-TW"/>
    </w:rPr>
  </w:style>
  <w:style w:type="paragraph" w:customStyle="1" w:styleId="TABLE">
    <w:name w:val="TABLE"/>
    <w:basedOn w:val="Normal"/>
    <w:link w:val="TABLEChar"/>
    <w:rsid w:val="009F4F96"/>
    <w:pPr>
      <w:spacing w:after="0" w:line="288" w:lineRule="auto"/>
    </w:pPr>
    <w:rPr>
      <w:rFonts w:asciiTheme="minorBidi" w:hAnsiTheme="minorBidi"/>
      <w:bCs/>
      <w:color w:val="000000" w:themeColor="text1"/>
      <w:sz w:val="20"/>
      <w:szCs w:val="20"/>
      <w:lang w:val="en-GB" w:eastAsia="zh-TW"/>
    </w:rPr>
  </w:style>
  <w:style w:type="character" w:customStyle="1" w:styleId="TABLEChar">
    <w:name w:val="TABLE Char"/>
    <w:basedOn w:val="DefaultParagraphFont"/>
    <w:link w:val="TABLE"/>
    <w:rsid w:val="009F4F96"/>
    <w:rPr>
      <w:rFonts w:asciiTheme="minorBidi" w:eastAsiaTheme="minorEastAsia" w:hAnsiTheme="minorBidi"/>
      <w:bCs/>
      <w:color w:val="000000" w:themeColor="text1"/>
      <w:sz w:val="20"/>
      <w:szCs w:val="20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533564DFEDC9448088805192D88216" ma:contentTypeVersion="17" ma:contentTypeDescription="Create a new document." ma:contentTypeScope="" ma:versionID="0736cb939343a69c152f32bd9318ed99">
  <xsd:schema xmlns:xsd="http://www.w3.org/2001/XMLSchema" xmlns:xs="http://www.w3.org/2001/XMLSchema" xmlns:p="http://schemas.microsoft.com/office/2006/metadata/properties" xmlns:ns2="dd1d64c9-226e-4e15-a11b-24ff92bc2c99" xmlns:ns3="516bc31b-315c-4c4b-af2f-dc737c2a75e9" targetNamespace="http://schemas.microsoft.com/office/2006/metadata/properties" ma:root="true" ma:fieldsID="0564f04ed9e53c7c4d4bb4933f446736" ns2:_="" ns3:_="">
    <xsd:import namespace="dd1d64c9-226e-4e15-a11b-24ff92bc2c99"/>
    <xsd:import namespace="516bc31b-315c-4c4b-af2f-dc737c2a75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1d64c9-226e-4e15-a11b-24ff92bc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ce2f110-134e-491c-b1fb-b64789dc5c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bc31b-315c-4c4b-af2f-dc737c2a75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42d3430-f11b-4b89-b638-ce33ece6f29a}" ma:internalName="TaxCatchAll" ma:showField="CatchAllData" ma:web="516bc31b-315c-4c4b-af2f-dc737c2a75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6bc31b-315c-4c4b-af2f-dc737c2a75e9" xsi:nil="true"/>
    <lcf76f155ced4ddcb4097134ff3c332f xmlns="dd1d64c9-226e-4e15-a11b-24ff92bc2c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67BE29-CFDC-4A98-AC29-956B05DE3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1d64c9-226e-4e15-a11b-24ff92bc2c99"/>
    <ds:schemaRef ds:uri="516bc31b-315c-4c4b-af2f-dc737c2a75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DC507-1582-4B7D-BDA7-3EE8C4052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25B4C-2E51-46BE-8BAB-A101D8D014F3}">
  <ds:schemaRefs>
    <ds:schemaRef ds:uri="http://schemas.microsoft.com/office/2006/metadata/properties"/>
    <ds:schemaRef ds:uri="http://schemas.microsoft.com/office/infopath/2007/PartnerControls"/>
    <ds:schemaRef ds:uri="516bc31b-315c-4c4b-af2f-dc737c2a75e9"/>
    <ds:schemaRef ds:uri="dd1d64c9-226e-4e15-a11b-24ff92bc2c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 KGaA Darmstadt Germany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Ashwini Kumar K M</dc:creator>
  <cp:keywords/>
  <dc:description/>
  <cp:lastModifiedBy>Nany Gulati</cp:lastModifiedBy>
  <cp:revision>3</cp:revision>
  <dcterms:created xsi:type="dcterms:W3CDTF">2024-10-14T13:26:00Z</dcterms:created>
  <dcterms:modified xsi:type="dcterms:W3CDTF">2024-10-14T13:29:00Z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0x010100C1533564DFEDC9448088805192D88216</vt:lpwstr>
  </property>
</Properties>
</file>