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815A2" w14:textId="77777777" w:rsidR="002D558D" w:rsidRPr="00547628" w:rsidRDefault="002D558D" w:rsidP="002D558D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547628">
        <w:rPr>
          <w:rFonts w:ascii="Arial" w:hAnsi="Arial" w:cs="Arial"/>
          <w:b/>
          <w:bCs/>
          <w:color w:val="000000" w:themeColor="text1"/>
        </w:rPr>
        <w:t xml:space="preserve">Supplementary Table </w:t>
      </w:r>
      <w:r w:rsidRPr="00547628">
        <w:rPr>
          <w:rFonts w:ascii="Arial" w:hAnsi="Arial" w:cs="Arial" w:hint="eastAsia"/>
          <w:b/>
          <w:bCs/>
          <w:color w:val="000000" w:themeColor="text1"/>
        </w:rPr>
        <w:t>3</w:t>
      </w:r>
      <w:r w:rsidRPr="00547628">
        <w:rPr>
          <w:rFonts w:ascii="Arial" w:hAnsi="Arial" w:cs="Arial"/>
          <w:b/>
          <w:bCs/>
          <w:color w:val="000000" w:themeColor="text1"/>
        </w:rPr>
        <w:t>. Univariate and multivariate analyses of OS</w:t>
      </w:r>
    </w:p>
    <w:tbl>
      <w:tblPr>
        <w:tblStyle w:val="21"/>
        <w:tblpPr w:leftFromText="180" w:rightFromText="180" w:vertAnchor="text" w:horzAnchor="margin" w:tblpXSpec="center" w:tblpY="408"/>
        <w:tblW w:w="5000" w:type="pct"/>
        <w:tblLook w:val="04A0" w:firstRow="1" w:lastRow="0" w:firstColumn="1" w:lastColumn="0" w:noHBand="0" w:noVBand="1"/>
      </w:tblPr>
      <w:tblGrid>
        <w:gridCol w:w="2032"/>
        <w:gridCol w:w="959"/>
        <w:gridCol w:w="1814"/>
        <w:gridCol w:w="1172"/>
        <w:gridCol w:w="1707"/>
        <w:gridCol w:w="896"/>
      </w:tblGrid>
      <w:tr w:rsidR="002D558D" w:rsidRPr="00547628" w14:paraId="26FA12A4" w14:textId="77777777" w:rsidTr="00717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vMerge w:val="restart"/>
            <w:shd w:val="clear" w:color="auto" w:fill="auto"/>
            <w:vAlign w:val="center"/>
          </w:tcPr>
          <w:p w14:paraId="0B42E1B0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left="31" w:hangingChars="14" w:hanging="31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Variables</w:t>
            </w:r>
          </w:p>
        </w:tc>
        <w:tc>
          <w:tcPr>
            <w:tcW w:w="2311" w:type="pct"/>
            <w:gridSpan w:val="3"/>
            <w:shd w:val="clear" w:color="auto" w:fill="auto"/>
            <w:vAlign w:val="center"/>
          </w:tcPr>
          <w:p w14:paraId="1FD8DDC1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Univariate analysis</w:t>
            </w:r>
          </w:p>
        </w:tc>
        <w:tc>
          <w:tcPr>
            <w:tcW w:w="1500" w:type="pct"/>
            <w:gridSpan w:val="2"/>
            <w:shd w:val="clear" w:color="auto" w:fill="auto"/>
            <w:vAlign w:val="center"/>
          </w:tcPr>
          <w:p w14:paraId="5DBFED2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Multivariate analysis</w:t>
            </w:r>
          </w:p>
        </w:tc>
      </w:tr>
      <w:tr w:rsidR="002D558D" w:rsidRPr="00547628" w14:paraId="31E39EF3" w14:textId="77777777" w:rsidTr="007176AF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vMerge/>
            <w:shd w:val="clear" w:color="auto" w:fill="auto"/>
            <w:vAlign w:val="center"/>
          </w:tcPr>
          <w:p w14:paraId="62A9E1C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2A46DAE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 w:themeColor="text1"/>
              </w:rPr>
            </w:pPr>
            <w:r w:rsidRPr="00547628">
              <w:rPr>
                <w:rFonts w:ascii="Arial" w:hAnsi="Arial" w:cs="Arial"/>
                <w:b/>
                <w:bCs/>
                <w:color w:val="000000" w:themeColor="text1"/>
              </w:rPr>
              <w:t>β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7B49447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47628">
              <w:rPr>
                <w:rFonts w:ascii="Arial" w:hAnsi="Arial" w:cs="Arial"/>
                <w:b/>
                <w:bCs/>
                <w:color w:val="000000" w:themeColor="text1"/>
              </w:rPr>
              <w:t>HR (95%CI)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44D51E1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47628">
              <w:rPr>
                <w:rFonts w:ascii="Arial" w:hAnsi="Arial" w:cs="Arial"/>
                <w:b/>
                <w:bCs/>
                <w:color w:val="000000" w:themeColor="text1"/>
              </w:rPr>
              <w:t>P value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3EF0387D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200" w:firstLine="4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47628">
              <w:rPr>
                <w:rFonts w:ascii="Arial" w:hAnsi="Arial" w:cs="Arial"/>
                <w:b/>
                <w:bCs/>
                <w:color w:val="000000" w:themeColor="text1"/>
              </w:rPr>
              <w:t>HR (95%CI)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20B3EEF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4762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 value</w:t>
            </w:r>
          </w:p>
        </w:tc>
      </w:tr>
      <w:tr w:rsidR="002D558D" w:rsidRPr="00547628" w14:paraId="15568BDD" w14:textId="77777777" w:rsidTr="007176AF">
        <w:trPr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bottom w:val="nil"/>
            </w:tcBorders>
            <w:shd w:val="clear" w:color="auto" w:fill="auto"/>
            <w:vAlign w:val="center"/>
          </w:tcPr>
          <w:p w14:paraId="0455979D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Sex</w:t>
            </w:r>
          </w:p>
          <w:p w14:paraId="62A6128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Female vs. male</w:t>
            </w:r>
          </w:p>
        </w:tc>
        <w:tc>
          <w:tcPr>
            <w:tcW w:w="563" w:type="pct"/>
            <w:tcBorders>
              <w:bottom w:val="nil"/>
            </w:tcBorders>
            <w:shd w:val="clear" w:color="auto" w:fill="auto"/>
            <w:vAlign w:val="center"/>
          </w:tcPr>
          <w:p w14:paraId="18211970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0.251</w:t>
            </w:r>
          </w:p>
        </w:tc>
        <w:tc>
          <w:tcPr>
            <w:tcW w:w="1061" w:type="pct"/>
            <w:tcBorders>
              <w:bottom w:val="nil"/>
            </w:tcBorders>
            <w:shd w:val="clear" w:color="auto" w:fill="auto"/>
            <w:vAlign w:val="center"/>
          </w:tcPr>
          <w:p w14:paraId="48D99C1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1.286 (</w:t>
            </w:r>
            <w:r w:rsidRPr="00547628">
              <w:rPr>
                <w:rFonts w:ascii="Arial" w:eastAsia="Times New Roman" w:hAnsi="Arial" w:cs="Arial"/>
                <w:color w:val="000000" w:themeColor="text1"/>
              </w:rPr>
              <w:t>0</w:t>
            </w:r>
            <w:r w:rsidRPr="00547628">
              <w:rPr>
                <w:rFonts w:ascii="Arial" w:hAnsi="Arial" w:cs="Arial"/>
                <w:color w:val="000000" w:themeColor="text1"/>
              </w:rPr>
              <w:t>.623–2.653)</w:t>
            </w:r>
          </w:p>
        </w:tc>
        <w:tc>
          <w:tcPr>
            <w:tcW w:w="687" w:type="pct"/>
            <w:tcBorders>
              <w:bottom w:val="nil"/>
            </w:tcBorders>
            <w:shd w:val="clear" w:color="auto" w:fill="auto"/>
            <w:vAlign w:val="center"/>
          </w:tcPr>
          <w:p w14:paraId="5F46770C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0.496</w:t>
            </w:r>
          </w:p>
        </w:tc>
        <w:tc>
          <w:tcPr>
            <w:tcW w:w="999" w:type="pct"/>
            <w:tcBorders>
              <w:bottom w:val="nil"/>
            </w:tcBorders>
            <w:shd w:val="clear" w:color="auto" w:fill="auto"/>
            <w:vAlign w:val="center"/>
          </w:tcPr>
          <w:p w14:paraId="2D51ECE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bottom w:val="nil"/>
            </w:tcBorders>
            <w:shd w:val="clear" w:color="auto" w:fill="auto"/>
            <w:vAlign w:val="center"/>
          </w:tcPr>
          <w:p w14:paraId="3AF99F0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3A8E4EB7" w14:textId="77777777" w:rsidTr="007176AF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40593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Age, year</w:t>
            </w:r>
          </w:p>
          <w:p w14:paraId="23ABEBE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&gt;vs ≤</w:t>
            </w:r>
            <w:r w:rsidRPr="00547628">
              <w:rPr>
                <w:rFonts w:ascii="Arial" w:hAnsi="Arial" w:cs="Arial"/>
                <w:b w:val="0"/>
                <w:bCs w:val="0"/>
                <w:i/>
                <w:color w:val="000000" w:themeColor="text1"/>
              </w:rPr>
              <w:t xml:space="preserve"> </w:t>
            </w: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54.388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85AAA1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−0.076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F8E52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0.927 (0.629–1.364)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33C39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0.699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E375F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312CB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0F93A544" w14:textId="77777777" w:rsidTr="007176A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6E863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ECOG-PS</w:t>
            </w:r>
          </w:p>
          <w:p w14:paraId="2B1FCD9D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0 vs 1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1FCD82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0.412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1BF8E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1.509 (0.987–2.308)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27FA0D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0.057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B0998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FF34A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092AC8AE" w14:textId="77777777" w:rsidTr="007176AF">
        <w:trPr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37D6D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Etiology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548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−0.226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6CFD9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0.798 (0.478–1.333)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4939F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0.389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415D5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A7D88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2DE20E26" w14:textId="77777777" w:rsidTr="007176A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96164A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NLR</w:t>
            </w:r>
          </w:p>
          <w:p w14:paraId="385EF8F1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≤ vs &gt;3.125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80F7B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0.594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ABE9D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bookmarkStart w:id="0" w:name="_Hlk118910673"/>
            <w:r w:rsidRPr="00547628">
              <w:rPr>
                <w:rFonts w:ascii="Arial" w:hAnsi="Arial" w:cs="Arial"/>
                <w:color w:val="000000" w:themeColor="text1"/>
              </w:rPr>
              <w:t>1.810 (1.206–2.718)</w:t>
            </w:r>
            <w:bookmarkEnd w:id="0"/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37C0F0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0.004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F1A87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bookmarkStart w:id="1" w:name="_Hlk118911606"/>
            <w:r w:rsidRPr="00547628">
              <w:rPr>
                <w:rFonts w:ascii="Arial" w:hAnsi="Arial" w:cs="Arial"/>
                <w:color w:val="000000" w:themeColor="text1"/>
              </w:rPr>
              <w:t>2</w:t>
            </w:r>
            <w:bookmarkStart w:id="2" w:name="_Hlk118911621"/>
            <w:r w:rsidRPr="00547628">
              <w:rPr>
                <w:rFonts w:ascii="Arial" w:hAnsi="Arial" w:cs="Arial"/>
                <w:color w:val="000000" w:themeColor="text1"/>
              </w:rPr>
              <w:t>.375 (1.444–3.906</w:t>
            </w:r>
            <w:bookmarkEnd w:id="2"/>
            <w:r w:rsidRPr="00547628">
              <w:rPr>
                <w:rFonts w:ascii="Arial" w:hAnsi="Arial" w:cs="Arial"/>
                <w:color w:val="000000" w:themeColor="text1"/>
              </w:rPr>
              <w:t>)</w:t>
            </w:r>
            <w:bookmarkEnd w:id="1"/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D942BC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&lt;0.001</w:t>
            </w:r>
          </w:p>
        </w:tc>
      </w:tr>
      <w:tr w:rsidR="002D558D" w:rsidRPr="00547628" w14:paraId="14E9DF0A" w14:textId="77777777" w:rsidTr="007176A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45983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ALBI grade</w:t>
            </w:r>
          </w:p>
          <w:p w14:paraId="0CECD8E9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1 vs 2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4A2A3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0.273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41D24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1.315 (0.894–1.933)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CA910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0.164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5E984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0521A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35500F8E" w14:textId="77777777" w:rsidTr="007176A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1E396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Child–Pugh</w:t>
            </w:r>
          </w:p>
          <w:p w14:paraId="018D1C2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5 vs 6 and 7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7DE83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0.302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1B2D1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1.352(0.782–2.338)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5A31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0.281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FDF95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545BB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36F73AF5" w14:textId="77777777" w:rsidTr="007176A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718B22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AFP, ng/mL</w:t>
            </w:r>
          </w:p>
          <w:p w14:paraId="2DF37B4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≤ vs &gt;400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CE450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0.757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3A709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bookmarkStart w:id="3" w:name="_Hlk118910781"/>
            <w:r w:rsidRPr="00547628">
              <w:rPr>
                <w:rFonts w:ascii="Arial" w:hAnsi="Arial" w:cs="Arial"/>
                <w:color w:val="000000" w:themeColor="text1"/>
              </w:rPr>
              <w:t>2.131 (1.437–3.162)</w:t>
            </w:r>
            <w:bookmarkEnd w:id="3"/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FE04E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&lt;0.001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10018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1703BD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3EA4C2D8" w14:textId="77777777" w:rsidTr="007176A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9DA5E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lastRenderedPageBreak/>
              <w:t xml:space="preserve">DCP, </w:t>
            </w:r>
            <w:proofErr w:type="spellStart"/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mAU</w:t>
            </w:r>
            <w:proofErr w:type="spellEnd"/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/mL</w:t>
            </w:r>
          </w:p>
          <w:p w14:paraId="4BF2E4D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≤ vs &gt;664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41D5FC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0.619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BB0222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bookmarkStart w:id="4" w:name="_Hlk118910722"/>
            <w:r w:rsidRPr="00547628">
              <w:rPr>
                <w:rFonts w:ascii="Arial" w:hAnsi="Arial" w:cs="Arial"/>
                <w:color w:val="000000" w:themeColor="text1"/>
              </w:rPr>
              <w:t>1.857 (1.229–2.806)</w:t>
            </w:r>
            <w:bookmarkEnd w:id="4"/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4DA72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0.003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130E2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bookmarkStart w:id="5" w:name="_Hlk118911708"/>
            <w:r w:rsidRPr="00547628">
              <w:rPr>
                <w:rFonts w:ascii="Arial" w:eastAsia="Times New Roman" w:hAnsi="Arial" w:cs="Arial"/>
                <w:color w:val="000000" w:themeColor="text1"/>
              </w:rPr>
              <w:t>1.608 (1.047</w:t>
            </w:r>
            <w:r w:rsidRPr="00547628">
              <w:rPr>
                <w:rFonts w:ascii="Arial" w:hAnsi="Arial" w:cs="Arial"/>
                <w:color w:val="000000" w:themeColor="text1"/>
              </w:rPr>
              <w:t>–</w:t>
            </w:r>
            <w:r w:rsidRPr="00547628">
              <w:rPr>
                <w:rFonts w:ascii="Arial" w:eastAsia="Times New Roman" w:hAnsi="Arial" w:cs="Arial"/>
                <w:color w:val="000000" w:themeColor="text1"/>
              </w:rPr>
              <w:t>2.469</w:t>
            </w:r>
            <w:bookmarkEnd w:id="5"/>
            <w:r w:rsidRPr="00547628">
              <w:rPr>
                <w:rFonts w:ascii="Arial" w:eastAsia="Times New Roman" w:hAnsi="Arial" w:cs="Arial"/>
                <w:color w:val="000000" w:themeColor="text1"/>
              </w:rPr>
              <w:t>)</w:t>
            </w: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1235B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0.030</w:t>
            </w:r>
          </w:p>
        </w:tc>
      </w:tr>
      <w:tr w:rsidR="002D558D" w:rsidRPr="00547628" w14:paraId="1CC96793" w14:textId="77777777" w:rsidTr="007176A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D3A60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Target tumor size, cm</w:t>
            </w:r>
          </w:p>
          <w:p w14:paraId="3F94E79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≤ vs &gt;7.5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8509D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0.044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D70DE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1.045 (0.705–1.549)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3CB1A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0.826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792F7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1F88A1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40A99402" w14:textId="77777777" w:rsidTr="007176AF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973922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Target tumor number</w:t>
            </w:r>
          </w:p>
          <w:p w14:paraId="4577B92C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1 vs ≥1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07B58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0.097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CB24F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0.101 (0.697–1.740)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56621D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0.679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FEBD7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6B74A49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643A0E10" w14:textId="77777777" w:rsidTr="007176AF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9FE120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MVI</w:t>
            </w:r>
          </w:p>
          <w:p w14:paraId="448C5EA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Absent vs present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7A77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0.595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819EE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bookmarkStart w:id="6" w:name="_Hlk118910822"/>
            <w:r w:rsidRPr="00547628">
              <w:rPr>
                <w:rFonts w:ascii="Arial" w:hAnsi="Arial" w:cs="Arial"/>
                <w:color w:val="000000" w:themeColor="text1"/>
              </w:rPr>
              <w:t>1.183 (1.225–2.682)</w:t>
            </w:r>
            <w:bookmarkEnd w:id="6"/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B9259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0.003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E3AB0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0.835 (0.513–1.359)</w:t>
            </w: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252CF2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0.468</w:t>
            </w:r>
          </w:p>
        </w:tc>
      </w:tr>
      <w:tr w:rsidR="002D558D" w:rsidRPr="00547628" w14:paraId="685F806F" w14:textId="77777777" w:rsidTr="007176A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3A66F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EHS</w:t>
            </w:r>
          </w:p>
          <w:p w14:paraId="358CBB7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Absent against present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00A4BC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0.146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BCBEB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1.157 (0.784–1.707)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ECC35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0.462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F23F1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2C2F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</w:p>
        </w:tc>
      </w:tr>
      <w:tr w:rsidR="002D558D" w:rsidRPr="00547628" w14:paraId="23D12F2B" w14:textId="77777777" w:rsidTr="007176A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CF0D66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BCLC stage</w:t>
            </w:r>
          </w:p>
          <w:p w14:paraId="4C41CB2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B vs. C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1CAEB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0.583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67070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bookmarkStart w:id="7" w:name="_Hlk118910878"/>
            <w:r w:rsidRPr="00547628">
              <w:rPr>
                <w:rFonts w:ascii="Arial" w:hAnsi="Arial" w:cs="Arial"/>
                <w:color w:val="000000" w:themeColor="text1"/>
              </w:rPr>
              <w:t>1.791 (1.199–2.674)</w:t>
            </w:r>
            <w:bookmarkEnd w:id="7"/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8691D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0.004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65C5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1.712 (1.051–2.789)</w:t>
            </w: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626BD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0.031</w:t>
            </w:r>
          </w:p>
        </w:tc>
      </w:tr>
      <w:tr w:rsidR="002D558D" w:rsidRPr="00547628" w14:paraId="2D84658C" w14:textId="77777777" w:rsidTr="007176AF">
        <w:trPr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0B575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ETS</w:t>
            </w:r>
          </w:p>
          <w:p w14:paraId="6D2292D3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0: ETS</w:t>
            </w:r>
            <w:r w:rsidRPr="00547628">
              <w:rPr>
                <w:rFonts w:ascii="Arial" w:eastAsia="等线" w:hAnsi="Arial" w:cs="Arial"/>
                <w:b w:val="0"/>
                <w:bCs w:val="0"/>
                <w:color w:val="000000" w:themeColor="text1"/>
              </w:rPr>
              <w:t>&lt;</w:t>
            </w: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10%</w:t>
            </w:r>
          </w:p>
          <w:p w14:paraId="626789E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1: ETS≥10%</w:t>
            </w:r>
          </w:p>
        </w:tc>
        <w:tc>
          <w:tcPr>
            <w:tcW w:w="563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2280C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1.738</w:t>
            </w:r>
          </w:p>
        </w:tc>
        <w:tc>
          <w:tcPr>
            <w:tcW w:w="106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B3BAB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bookmarkStart w:id="8" w:name="_Hlk118910544"/>
            <w:r w:rsidRPr="00547628">
              <w:rPr>
                <w:rFonts w:ascii="Arial" w:hAnsi="Arial" w:cs="Arial"/>
                <w:color w:val="000000" w:themeColor="text1"/>
              </w:rPr>
              <w:t>5.686 (3.594–8.995)</w:t>
            </w:r>
            <w:bookmarkEnd w:id="8"/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0F0FE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＜</w:t>
            </w:r>
            <w:r w:rsidRPr="00547628">
              <w:rPr>
                <w:rFonts w:ascii="Arial" w:hAnsi="Arial" w:cs="Arial"/>
                <w:color w:val="000000" w:themeColor="text1"/>
              </w:rPr>
              <w:t>0.001</w:t>
            </w:r>
          </w:p>
        </w:tc>
        <w:tc>
          <w:tcPr>
            <w:tcW w:w="99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E2739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2.985 (1.575–5.658)</w:t>
            </w:r>
          </w:p>
        </w:tc>
        <w:tc>
          <w:tcPr>
            <w:tcW w:w="50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78BA00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0.001</w:t>
            </w:r>
          </w:p>
        </w:tc>
      </w:tr>
      <w:tr w:rsidR="002D558D" w:rsidRPr="00547628" w14:paraId="2CC52D21" w14:textId="77777777" w:rsidTr="007176AF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9" w:type="pct"/>
            <w:tcBorders>
              <w:top w:val="nil"/>
            </w:tcBorders>
            <w:shd w:val="clear" w:color="auto" w:fill="auto"/>
            <w:vAlign w:val="center"/>
          </w:tcPr>
          <w:p w14:paraId="4B3873A4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DoR</w:t>
            </w:r>
            <w:proofErr w:type="spellEnd"/>
          </w:p>
          <w:p w14:paraId="4FB934DE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 xml:space="preserve">0: </w:t>
            </w:r>
            <w:proofErr w:type="spellStart"/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DoR</w:t>
            </w:r>
            <w:proofErr w:type="spellEnd"/>
            <w:r w:rsidRPr="00547628">
              <w:rPr>
                <w:rFonts w:ascii="Arial" w:eastAsia="等线" w:hAnsi="Arial" w:cs="Arial"/>
                <w:b w:val="0"/>
                <w:bCs w:val="0"/>
                <w:color w:val="000000" w:themeColor="text1"/>
              </w:rPr>
              <w:t>&lt;</w:t>
            </w: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27%</w:t>
            </w:r>
          </w:p>
          <w:p w14:paraId="0F2DFDC5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b w:val="0"/>
                <w:bCs w:val="0"/>
                <w:color w:val="000000" w:themeColor="text1"/>
              </w:rPr>
              <w:t>1: DoR≥27%</w:t>
            </w:r>
          </w:p>
        </w:tc>
        <w:tc>
          <w:tcPr>
            <w:tcW w:w="563" w:type="pct"/>
            <w:tcBorders>
              <w:top w:val="nil"/>
            </w:tcBorders>
            <w:shd w:val="clear" w:color="auto" w:fill="auto"/>
            <w:vAlign w:val="center"/>
          </w:tcPr>
          <w:p w14:paraId="726D2F3A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1.187</w:t>
            </w:r>
          </w:p>
        </w:tc>
        <w:tc>
          <w:tcPr>
            <w:tcW w:w="1061" w:type="pct"/>
            <w:tcBorders>
              <w:top w:val="nil"/>
            </w:tcBorders>
            <w:shd w:val="clear" w:color="auto" w:fill="auto"/>
            <w:vAlign w:val="center"/>
          </w:tcPr>
          <w:p w14:paraId="61B9BAE8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bookmarkStart w:id="9" w:name="_Hlk118910588"/>
            <w:r w:rsidRPr="00547628">
              <w:rPr>
                <w:rFonts w:ascii="Arial" w:hAnsi="Arial" w:cs="Arial"/>
                <w:color w:val="000000" w:themeColor="text1"/>
              </w:rPr>
              <w:t>6.152 (3.926–9.642)</w:t>
            </w:r>
            <w:bookmarkEnd w:id="9"/>
          </w:p>
        </w:tc>
        <w:tc>
          <w:tcPr>
            <w:tcW w:w="687" w:type="pct"/>
            <w:tcBorders>
              <w:top w:val="nil"/>
            </w:tcBorders>
            <w:shd w:val="clear" w:color="auto" w:fill="auto"/>
            <w:vAlign w:val="center"/>
          </w:tcPr>
          <w:p w14:paraId="2D44336B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hAnsi="Arial" w:cs="Arial"/>
                <w:color w:val="000000" w:themeColor="text1"/>
              </w:rPr>
              <w:t>＜</w:t>
            </w:r>
            <w:r w:rsidRPr="00547628">
              <w:rPr>
                <w:rFonts w:ascii="Arial" w:hAnsi="Arial" w:cs="Arial"/>
                <w:color w:val="000000" w:themeColor="text1"/>
              </w:rPr>
              <w:t>0.001</w:t>
            </w:r>
          </w:p>
        </w:tc>
        <w:tc>
          <w:tcPr>
            <w:tcW w:w="999" w:type="pct"/>
            <w:tcBorders>
              <w:top w:val="nil"/>
            </w:tcBorders>
            <w:shd w:val="clear" w:color="auto" w:fill="auto"/>
            <w:vAlign w:val="center"/>
          </w:tcPr>
          <w:p w14:paraId="2C75613F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 xml:space="preserve">2.197 </w:t>
            </w:r>
            <w:r w:rsidRPr="00547628">
              <w:rPr>
                <w:rFonts w:ascii="Arial" w:eastAsia="微软雅黑" w:hAnsi="Arial" w:cs="Arial"/>
                <w:color w:val="000000" w:themeColor="text1"/>
              </w:rPr>
              <w:t>(</w:t>
            </w:r>
            <w:bookmarkStart w:id="10" w:name="_Hlk118911875"/>
            <w:r w:rsidRPr="00547628">
              <w:rPr>
                <w:rFonts w:ascii="Arial" w:eastAsia="Times New Roman" w:hAnsi="Arial" w:cs="Arial"/>
                <w:color w:val="000000" w:themeColor="text1"/>
              </w:rPr>
              <w:t>1.161</w:t>
            </w:r>
            <w:r w:rsidRPr="00547628">
              <w:rPr>
                <w:rFonts w:ascii="Arial" w:hAnsi="Arial" w:cs="Arial"/>
                <w:color w:val="000000" w:themeColor="text1"/>
              </w:rPr>
              <w:t>–</w:t>
            </w:r>
            <w:r w:rsidRPr="00547628">
              <w:rPr>
                <w:rFonts w:ascii="Arial" w:eastAsia="Times New Roman" w:hAnsi="Arial" w:cs="Arial"/>
                <w:color w:val="000000" w:themeColor="text1"/>
              </w:rPr>
              <w:t>4.160</w:t>
            </w:r>
            <w:bookmarkEnd w:id="10"/>
            <w:r w:rsidRPr="00547628">
              <w:rPr>
                <w:rFonts w:ascii="Arial" w:eastAsia="Times New Roman" w:hAnsi="Arial" w:cs="Arial"/>
                <w:color w:val="000000" w:themeColor="text1"/>
              </w:rPr>
              <w:t>)</w:t>
            </w:r>
          </w:p>
        </w:tc>
        <w:tc>
          <w:tcPr>
            <w:tcW w:w="501" w:type="pct"/>
            <w:tcBorders>
              <w:top w:val="nil"/>
            </w:tcBorders>
            <w:shd w:val="clear" w:color="auto" w:fill="auto"/>
            <w:vAlign w:val="center"/>
          </w:tcPr>
          <w:p w14:paraId="2E206B67" w14:textId="77777777" w:rsidR="002D558D" w:rsidRPr="00547628" w:rsidRDefault="002D558D" w:rsidP="007176AF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 w:themeColor="text1"/>
              </w:rPr>
            </w:pPr>
            <w:r w:rsidRPr="00547628">
              <w:rPr>
                <w:rFonts w:ascii="Arial" w:eastAsia="Times New Roman" w:hAnsi="Arial" w:cs="Arial"/>
                <w:color w:val="000000" w:themeColor="text1"/>
              </w:rPr>
              <w:t>0.016</w:t>
            </w:r>
          </w:p>
        </w:tc>
      </w:tr>
    </w:tbl>
    <w:p w14:paraId="2361153F" w14:textId="77777777" w:rsidR="002D558D" w:rsidRDefault="002D558D" w:rsidP="002D558D">
      <w:pPr>
        <w:spacing w:line="480" w:lineRule="auto"/>
        <w:ind w:leftChars="-65" w:left="-142" w:hanging="1"/>
        <w:rPr>
          <w:rFonts w:ascii="Arial" w:hAnsi="Arial" w:cs="Arial"/>
          <w:sz w:val="16"/>
          <w:szCs w:val="16"/>
        </w:rPr>
      </w:pPr>
      <w:r w:rsidRPr="00547628">
        <w:rPr>
          <w:rFonts w:ascii="Arial" w:hAnsi="Arial" w:cs="Arial"/>
          <w:color w:val="000000" w:themeColor="text1"/>
          <w:sz w:val="16"/>
          <w:szCs w:val="16"/>
        </w:rPr>
        <w:lastRenderedPageBreak/>
        <w:t xml:space="preserve">Abbreviations: AFP, alpha-fetoprotein; ALBI, albumin–bilirubin grade; BCLC, Barcelona Clinic Liver Cancer; </w:t>
      </w:r>
      <w:r w:rsidRPr="00547628">
        <w:rPr>
          <w:rFonts w:ascii="Arial" w:hAnsi="Arial" w:cs="Arial"/>
          <w:color w:val="202124"/>
          <w:sz w:val="16"/>
          <w:szCs w:val="16"/>
          <w:shd w:val="clear" w:color="auto" w:fill="FFFFFF"/>
        </w:rPr>
        <w:t xml:space="preserve">cm, centimeter;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DCP, Des-gamma carboxy prothrombin; </w:t>
      </w:r>
      <w:proofErr w:type="spellStart"/>
      <w:r w:rsidRPr="00547628">
        <w:rPr>
          <w:rFonts w:ascii="Arial" w:hAnsi="Arial" w:cs="Arial"/>
          <w:color w:val="000000" w:themeColor="text1"/>
          <w:sz w:val="16"/>
          <w:szCs w:val="16"/>
        </w:rPr>
        <w:t>DoR</w:t>
      </w:r>
      <w:proofErr w:type="spellEnd"/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, duration of response; EHS, extrahepatic spread; </w:t>
      </w:r>
      <w:r w:rsidRPr="00547628">
        <w:rPr>
          <w:rFonts w:ascii="Arial" w:hAnsi="Arial" w:cs="Arial"/>
          <w:sz w:val="16"/>
          <w:szCs w:val="16"/>
        </w:rPr>
        <w:t xml:space="preserve">EOCG-PS, Eastern Cooperative Oncology Group Performance Score;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ETS, early tumor shrinkage; </w:t>
      </w:r>
      <w:r w:rsidRPr="00547628">
        <w:rPr>
          <w:rFonts w:ascii="Arial" w:hAnsi="Arial" w:cs="Arial"/>
          <w:sz w:val="16"/>
          <w:szCs w:val="16"/>
        </w:rPr>
        <w:t xml:space="preserve">HR, hazard ratio; </w:t>
      </w:r>
      <w:proofErr w:type="spellStart"/>
      <w:r w:rsidRPr="00547628">
        <w:rPr>
          <w:rFonts w:ascii="Arial" w:hAnsi="Arial" w:cs="Arial"/>
          <w:color w:val="000000" w:themeColor="text1"/>
          <w:sz w:val="16"/>
          <w:szCs w:val="16"/>
        </w:rPr>
        <w:t>mAU</w:t>
      </w:r>
      <w:proofErr w:type="spellEnd"/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Pr="00547628">
        <w:rPr>
          <w:rFonts w:ascii="Arial" w:hAnsi="Arial" w:cs="Arial"/>
          <w:color w:val="202124"/>
          <w:sz w:val="16"/>
          <w:szCs w:val="16"/>
          <w:shd w:val="clear" w:color="auto" w:fill="FFFFFF"/>
        </w:rPr>
        <w:t xml:space="preserve">milli-absorbance unit;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mL, microliter; MVI, macrovascular invasion; ng, nanogram; </w:t>
      </w:r>
      <w:r w:rsidRPr="00547628">
        <w:rPr>
          <w:rFonts w:ascii="Arial" w:hAnsi="Arial" w:cs="Arial"/>
          <w:sz w:val="16"/>
          <w:szCs w:val="16"/>
        </w:rPr>
        <w:t xml:space="preserve">NLR,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neutrophil-to-lymphocyte ratio; </w:t>
      </w:r>
      <w:r w:rsidRPr="00547628">
        <w:rPr>
          <w:rFonts w:ascii="Arial" w:hAnsi="Arial" w:cs="Arial"/>
          <w:sz w:val="16"/>
          <w:szCs w:val="16"/>
        </w:rPr>
        <w:t>OS, overall survival</w:t>
      </w:r>
    </w:p>
    <w:p w14:paraId="5E78C596" w14:textId="77777777" w:rsidR="002D558D" w:rsidRPr="002E1119" w:rsidRDefault="002D558D" w:rsidP="002D558D">
      <w:pPr>
        <w:spacing w:line="480" w:lineRule="auto"/>
        <w:rPr>
          <w:rFonts w:ascii="Arial" w:hAnsi="Arial" w:cs="Arial"/>
        </w:rPr>
      </w:pPr>
    </w:p>
    <w:p w14:paraId="48307C08" w14:textId="77777777" w:rsidR="00803A5E" w:rsidRPr="002D558D" w:rsidRDefault="00803A5E">
      <w:pPr>
        <w:rPr>
          <w:rFonts w:hint="eastAsia"/>
        </w:rPr>
      </w:pPr>
    </w:p>
    <w:sectPr w:rsidR="00803A5E" w:rsidRPr="002D558D" w:rsidSect="002D558D">
      <w:pgSz w:w="11906" w:h="16838"/>
      <w:pgMar w:top="1440" w:right="1526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58D"/>
    <w:rsid w:val="00116A61"/>
    <w:rsid w:val="002D558D"/>
    <w:rsid w:val="0080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77919"/>
  <w15:chartTrackingRefBased/>
  <w15:docId w15:val="{8DAF94D9-BA80-437C-83FD-EA7CC5EC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58D"/>
    <w:pPr>
      <w:spacing w:after="200" w:line="276" w:lineRule="auto"/>
    </w:pPr>
    <w:rPr>
      <w:rFonts w:ascii="Calibri" w:eastAsia="宋体" w:hAnsi="Calibri" w:cs="Times New Roman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D558D"/>
    <w:pPr>
      <w:keepNext/>
      <w:keepLines/>
      <w:widowControl w:val="0"/>
      <w:spacing w:before="480" w:after="80" w:line="24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558D"/>
    <w:pPr>
      <w:keepNext/>
      <w:keepLines/>
      <w:widowControl w:val="0"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558D"/>
    <w:pPr>
      <w:keepNext/>
      <w:keepLines/>
      <w:widowControl w:val="0"/>
      <w:spacing w:before="160" w:after="80" w:line="240" w:lineRule="auto"/>
      <w:jc w:val="both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58D"/>
    <w:pPr>
      <w:keepNext/>
      <w:keepLines/>
      <w:widowControl w:val="0"/>
      <w:spacing w:before="80" w:after="40" w:line="240" w:lineRule="auto"/>
      <w:jc w:val="both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558D"/>
    <w:pPr>
      <w:keepNext/>
      <w:keepLines/>
      <w:widowControl w:val="0"/>
      <w:spacing w:before="80" w:after="40" w:line="240" w:lineRule="auto"/>
      <w:jc w:val="both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558D"/>
    <w:pPr>
      <w:keepNext/>
      <w:keepLines/>
      <w:widowControl w:val="0"/>
      <w:spacing w:before="40" w:after="0" w:line="240" w:lineRule="auto"/>
      <w:jc w:val="both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558D"/>
    <w:pPr>
      <w:keepNext/>
      <w:keepLines/>
      <w:widowControl w:val="0"/>
      <w:spacing w:before="40" w:after="0" w:line="240" w:lineRule="auto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558D"/>
    <w:pPr>
      <w:keepNext/>
      <w:keepLines/>
      <w:widowControl w:val="0"/>
      <w:spacing w:after="0" w:line="240" w:lineRule="auto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558D"/>
    <w:pPr>
      <w:keepNext/>
      <w:keepLines/>
      <w:widowControl w:val="0"/>
      <w:spacing w:after="0" w:line="240" w:lineRule="auto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558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D55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D55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D558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D558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D558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D558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558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D558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D558D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2D5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558D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2D558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558D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2D558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558D"/>
    <w:pPr>
      <w:widowControl w:val="0"/>
      <w:spacing w:after="0" w:line="240" w:lineRule="auto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14:ligatures w14:val="standardContextual"/>
    </w:rPr>
  </w:style>
  <w:style w:type="character" w:styleId="aa">
    <w:name w:val="Intense Emphasis"/>
    <w:basedOn w:val="a0"/>
    <w:uiPriority w:val="21"/>
    <w:qFormat/>
    <w:rsid w:val="002D558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558D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2D558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D558D"/>
    <w:rPr>
      <w:b/>
      <w:bCs/>
      <w:smallCaps/>
      <w:color w:val="0F4761" w:themeColor="accent1" w:themeShade="BF"/>
      <w:spacing w:val="5"/>
    </w:rPr>
  </w:style>
  <w:style w:type="table" w:customStyle="1" w:styleId="21">
    <w:name w:val="清单表 21"/>
    <w:basedOn w:val="a1"/>
    <w:uiPriority w:val="47"/>
    <w:qFormat/>
    <w:rsid w:val="002D558D"/>
    <w:rPr>
      <w14:ligatures w14:val="none"/>
    </w:rPr>
    <w:tblPr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e">
    <w:name w:val="line number"/>
    <w:basedOn w:val="a0"/>
    <w:uiPriority w:val="99"/>
    <w:semiHidden/>
    <w:unhideWhenUsed/>
    <w:rsid w:val="002D5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257</Words>
  <Characters>1429</Characters>
  <Application>Microsoft Office Word</Application>
  <DocSecurity>0</DocSecurity>
  <Lines>51</Lines>
  <Paragraphs>29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哲民 沈</dc:creator>
  <cp:keywords/>
  <dc:description/>
  <cp:lastModifiedBy>哲民 沈</cp:lastModifiedBy>
  <cp:revision>1</cp:revision>
  <dcterms:created xsi:type="dcterms:W3CDTF">2025-02-10T13:19:00Z</dcterms:created>
  <dcterms:modified xsi:type="dcterms:W3CDTF">2025-02-10T13:20:00Z</dcterms:modified>
</cp:coreProperties>
</file>