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294" w:rsidRDefault="00E52294" w:rsidP="00A23BF4">
      <w:pPr>
        <w:spacing w:after="0" w:line="360" w:lineRule="auto"/>
        <w:jc w:val="both"/>
        <w:rPr>
          <w:b/>
          <w:lang w:val="en-US"/>
        </w:rPr>
      </w:pPr>
      <w:r w:rsidRPr="00E52294">
        <w:rPr>
          <w:b/>
          <w:lang w:val="en-US"/>
        </w:rPr>
        <w:t>Supplementary material</w:t>
      </w:r>
    </w:p>
    <w:p w:rsidR="00E52294" w:rsidRDefault="00E52294" w:rsidP="00A23BF4">
      <w:pPr>
        <w:spacing w:after="0" w:line="360" w:lineRule="auto"/>
        <w:jc w:val="both"/>
        <w:rPr>
          <w:b/>
          <w:lang w:val="en-US"/>
        </w:rPr>
      </w:pPr>
    </w:p>
    <w:p w:rsidR="00ED5AC9" w:rsidRDefault="00ED5AC9" w:rsidP="00A23BF4">
      <w:pPr>
        <w:spacing w:after="0" w:line="360" w:lineRule="auto"/>
        <w:jc w:val="both"/>
        <w:rPr>
          <w:b/>
          <w:lang w:val="en-US"/>
        </w:rPr>
      </w:pPr>
      <w:r>
        <w:rPr>
          <w:b/>
          <w:lang w:val="en-US"/>
        </w:rPr>
        <w:t>Methods</w:t>
      </w:r>
    </w:p>
    <w:p w:rsidR="002266D0" w:rsidRPr="00A55CA9" w:rsidRDefault="002266D0" w:rsidP="002266D0">
      <w:pPr>
        <w:spacing w:after="0" w:line="360" w:lineRule="auto"/>
        <w:jc w:val="both"/>
        <w:rPr>
          <w:rFonts w:eastAsia="Times New Roman" w:cs="Calibri"/>
          <w:i/>
          <w:color w:val="000000"/>
          <w:bdr w:val="none" w:sz="0" w:space="0" w:color="auto" w:frame="1"/>
          <w:lang w:val="en-US" w:eastAsia="de-CH"/>
        </w:rPr>
      </w:pPr>
      <w:r w:rsidRPr="00A55CA9">
        <w:rPr>
          <w:rFonts w:eastAsia="Times New Roman" w:cs="Calibri"/>
          <w:i/>
          <w:color w:val="000000"/>
          <w:bdr w:val="none" w:sz="0" w:space="0" w:color="auto" w:frame="1"/>
          <w:lang w:val="en-US" w:eastAsia="de-CH"/>
        </w:rPr>
        <w:t>Maternal and neonatal data collection</w:t>
      </w:r>
    </w:p>
    <w:p w:rsidR="002266D0" w:rsidRPr="0086332A" w:rsidRDefault="002266D0" w:rsidP="002266D0">
      <w:pPr>
        <w:spacing w:after="0" w:line="360" w:lineRule="auto"/>
        <w:jc w:val="both"/>
        <w:rPr>
          <w:lang w:val="en-US"/>
        </w:rPr>
      </w:pPr>
      <w:r w:rsidRPr="00A55CA9">
        <w:rPr>
          <w:lang w:val="en-US"/>
        </w:rPr>
        <w:t xml:space="preserve">Data on maternal past medical history, positive test results for SARS-CoV-2, disease course and symptom severity as well as vaccination status were collected by means of personal interviews and medical records. </w:t>
      </w:r>
      <w:r w:rsidRPr="005C1F7A">
        <w:rPr>
          <w:lang w:val="en-US"/>
        </w:rPr>
        <w:t xml:space="preserve">Maternal SARS-CoV-2 infection was categorized in accordance with the guideline of the society for maternal-fetal medicine </w:t>
      </w:r>
      <w:r w:rsidRPr="0076485F">
        <w:rPr>
          <w:lang w:val="en-US"/>
        </w:rPr>
        <w:fldChar w:fldCharType="begin"/>
      </w:r>
      <w:r w:rsidR="00ED5AC9">
        <w:rPr>
          <w:lang w:val="en-US"/>
        </w:rPr>
        <w:instrText xml:space="preserve"> ADDIN EN.CITE &lt;EndNote&gt;&lt;Cite&gt;&lt;Author&gt;Medicine&lt;/Author&gt;&lt;Year&gt;2020&lt;/Year&gt;&lt;RecNum&gt;15&lt;/RecNum&gt;&lt;DisplayText&gt;[1]&lt;/DisplayText&gt;&lt;record&gt;&lt;rec-number&gt;15&lt;/rec-number&gt;&lt;foreign-keys&gt;&lt;key app="EN" db-id="fwtrs5zrbe5v9seezr5vve5nd55rxpp9wfrf" timestamp="1715252901"&gt;15&lt;/key&gt;&lt;/foreign-keys&gt;&lt;ref-type name="Web Page"&gt;12&lt;/ref-type&gt;&lt;contributors&gt;&lt;authors&gt;&lt;author&gt;Society for Maternal-Fetal Medicine&lt;/author&gt;&lt;/authors&gt;&lt;/contributors&gt;&lt;titles&gt;&lt;title&gt;Management considerations for pregnant patients with COVID-19&lt;/title&gt;&lt;/titles&gt;&lt;volume&gt;09.05.2020&lt;/volume&gt;&lt;dates&gt;&lt;year&gt;2020&lt;/year&gt;&lt;/dates&gt;&lt;urls&gt;&lt;related-urls&gt;&lt;url&gt;https://s3.amazonaws.com/cdn.smfm.org/media/2415/SMFM_COVID_Management_of_COVID_pos_preg_patients_7-2-20.PDF_.pdf&lt;/url&gt;&lt;/related-urls&gt;&lt;/urls&gt;&lt;/record&gt;&lt;/Cite&gt;&lt;/EndNote&gt;</w:instrText>
      </w:r>
      <w:r w:rsidRPr="0076485F">
        <w:rPr>
          <w:lang w:val="en-US"/>
        </w:rPr>
        <w:fldChar w:fldCharType="separate"/>
      </w:r>
      <w:r w:rsidR="00ED5AC9">
        <w:rPr>
          <w:noProof/>
          <w:lang w:val="en-US"/>
        </w:rPr>
        <w:t>[1]</w:t>
      </w:r>
      <w:r w:rsidRPr="0076485F">
        <w:rPr>
          <w:lang w:val="en-US"/>
        </w:rPr>
        <w:fldChar w:fldCharType="end"/>
      </w:r>
      <w:r w:rsidRPr="00673703">
        <w:rPr>
          <w:lang w:val="en-US"/>
        </w:rPr>
        <w:t>.</w:t>
      </w:r>
      <w:r>
        <w:rPr>
          <w:lang w:val="en-US"/>
        </w:rPr>
        <w:t xml:space="preserve"> </w:t>
      </w:r>
      <w:r w:rsidRPr="0086332A">
        <w:rPr>
          <w:lang w:val="en-US"/>
        </w:rPr>
        <w:t>Maternal antepartum infection was defined as a documented positive SARS-CoV-2 swab test at any point during pregnancy</w:t>
      </w:r>
      <w:r>
        <w:rPr>
          <w:lang w:val="en-US"/>
        </w:rPr>
        <w:t xml:space="preserve"> up to &gt;7 days until delivery</w:t>
      </w:r>
      <w:r w:rsidRPr="0086332A">
        <w:rPr>
          <w:lang w:val="en-US"/>
        </w:rPr>
        <w:t>.</w:t>
      </w:r>
      <w:r>
        <w:rPr>
          <w:lang w:val="en-US"/>
        </w:rPr>
        <w:t xml:space="preserve"> W</w:t>
      </w:r>
      <w:r w:rsidRPr="00A72866">
        <w:rPr>
          <w:lang w:val="en-US"/>
        </w:rPr>
        <w:t>e defined peripartum SARS-CoV-2 infection as maternal infection diagnosed within 7 days before to 2 days after delivery. This time frame was chosen to capture infections that could directly influence neonatal immune responses at birth while distinguishing them from antepartum infections that may have had longer-term effects during fetal development.</w:t>
      </w:r>
      <w:r>
        <w:rPr>
          <w:lang w:val="en-US"/>
        </w:rPr>
        <w:t xml:space="preserve"> Maternal p</w:t>
      </w:r>
      <w:r w:rsidRPr="0086332A">
        <w:rPr>
          <w:lang w:val="en-US"/>
        </w:rPr>
        <w:t xml:space="preserve">eripartum infection </w:t>
      </w:r>
      <w:r>
        <w:rPr>
          <w:lang w:val="en-US"/>
        </w:rPr>
        <w:t xml:space="preserve">was </w:t>
      </w:r>
      <w:r w:rsidRPr="0086332A">
        <w:rPr>
          <w:lang w:val="en-US"/>
        </w:rPr>
        <w:t xml:space="preserve">confirmed by at least one additional positive SARS-CoV-2 swab test </w:t>
      </w:r>
      <w:r>
        <w:rPr>
          <w:lang w:val="en-US"/>
        </w:rPr>
        <w:t xml:space="preserve">by reverse transcription polymerase chain reaction (RT-PCR) assay </w:t>
      </w:r>
      <w:r w:rsidRPr="0086332A">
        <w:rPr>
          <w:lang w:val="en-US"/>
        </w:rPr>
        <w:t>during the p</w:t>
      </w:r>
      <w:r>
        <w:rPr>
          <w:lang w:val="en-US"/>
        </w:rPr>
        <w:t>eri</w:t>
      </w:r>
      <w:r w:rsidRPr="0086332A">
        <w:rPr>
          <w:lang w:val="en-US"/>
        </w:rPr>
        <w:t xml:space="preserve">partum hospital stay to </w:t>
      </w:r>
      <w:r>
        <w:rPr>
          <w:lang w:val="en-US"/>
        </w:rPr>
        <w:t>rule out</w:t>
      </w:r>
      <w:r w:rsidRPr="0086332A">
        <w:rPr>
          <w:lang w:val="en-US"/>
        </w:rPr>
        <w:t xml:space="preserve"> false-positive results.</w:t>
      </w:r>
    </w:p>
    <w:p w:rsidR="002266D0" w:rsidRDefault="002266D0" w:rsidP="002266D0">
      <w:pPr>
        <w:spacing w:after="0" w:line="360" w:lineRule="auto"/>
        <w:jc w:val="both"/>
        <w:rPr>
          <w:lang w:val="en-US"/>
        </w:rPr>
      </w:pPr>
      <w:r w:rsidRPr="00EB3E7D">
        <w:rPr>
          <w:lang w:val="en-US"/>
        </w:rPr>
        <w:t>With informed consent, all newborns were tested for SARS-CoV-2 via RT-PCR swab sampling. In cases of a positive SARS-CoV-2 RT-PCR result, at least one additional swab test was performed for confirmation.</w:t>
      </w:r>
      <w:r>
        <w:rPr>
          <w:lang w:val="en-US"/>
        </w:rPr>
        <w:t xml:space="preserve"> </w:t>
      </w:r>
      <w:r w:rsidRPr="0086332A">
        <w:rPr>
          <w:lang w:val="en-US"/>
        </w:rPr>
        <w:t>Specimens were analyzed at the ISO-certified Central Institute of Clinical and Chemical Laboratory Diagnostics at Innsbruck University Hospital, Austria.</w:t>
      </w:r>
      <w:r w:rsidRPr="00673703">
        <w:rPr>
          <w:lang w:val="en-US"/>
        </w:rPr>
        <w:t xml:space="preserve"> </w:t>
      </w:r>
    </w:p>
    <w:p w:rsidR="002266D0" w:rsidRPr="002266D0" w:rsidRDefault="002266D0" w:rsidP="002266D0">
      <w:pPr>
        <w:spacing w:line="360" w:lineRule="auto"/>
        <w:jc w:val="both"/>
        <w:rPr>
          <w:lang w:val="en-US"/>
        </w:rPr>
      </w:pPr>
      <w:r w:rsidRPr="00673703">
        <w:rPr>
          <w:lang w:val="en-US"/>
        </w:rPr>
        <w:t xml:space="preserve">Virus waves were categorized </w:t>
      </w:r>
      <w:r>
        <w:rPr>
          <w:lang w:val="en-US"/>
        </w:rPr>
        <w:t xml:space="preserve">based on </w:t>
      </w:r>
      <w:r w:rsidRPr="00673703">
        <w:rPr>
          <w:lang w:val="en-US"/>
        </w:rPr>
        <w:t xml:space="preserve">the date of infection and the predominant virus variant </w:t>
      </w:r>
      <w:r>
        <w:rPr>
          <w:lang w:val="en-US"/>
        </w:rPr>
        <w:t xml:space="preserve">circulating </w:t>
      </w:r>
      <w:r w:rsidRPr="00673703">
        <w:rPr>
          <w:lang w:val="en-US"/>
        </w:rPr>
        <w:t>at that time</w:t>
      </w:r>
      <w:r w:rsidRPr="004D2DFA">
        <w:rPr>
          <w:lang w:val="en-US"/>
        </w:rPr>
        <w:t xml:space="preserve">. Data on the prevailing SARS-CoV-2 variant at any given time point were obtained from the website of the Global Initiative on Sharing all Influenza Data (GISAID) </w:t>
      </w:r>
      <w:r w:rsidRPr="0076485F">
        <w:rPr>
          <w:lang w:val="en-US"/>
        </w:rPr>
        <w:fldChar w:fldCharType="begin"/>
      </w:r>
      <w:r w:rsidR="00ED5AC9">
        <w:rPr>
          <w:lang w:val="en-US"/>
        </w:rPr>
        <w:instrText xml:space="preserve"> ADDIN EN.CITE &lt;EndNote&gt;&lt;Cite&gt;&lt;Author&gt;e.V.&lt;/Author&gt;&lt;Year&gt;2024&lt;/Year&gt;&lt;RecNum&gt;17&lt;/RecNum&gt;&lt;DisplayText&gt;[2]&lt;/DisplayText&gt;&lt;record&gt;&lt;rec-number&gt;17&lt;/rec-number&gt;&lt;foreign-keys&gt;&lt;key app="EN" db-id="fwtrs5zrbe5v9seezr5vve5nd55rxpp9wfrf" timestamp="1716907490"&gt;17&lt;/key&gt;&lt;/foreign-keys&gt;&lt;ref-type name="Web Page"&gt;12&lt;/ref-type&gt;&lt;contributors&gt;&lt;authors&gt;&lt;author&gt;Freunde von GISAID e.V.&lt;/author&gt;&lt;/authors&gt;&lt;/contributors&gt;&lt;titles&gt;&lt;title&gt;hCoV-19 Variants Dahboard&lt;/title&gt;&lt;/titles&gt;&lt;number&gt;18.05.2024&lt;/number&gt;&lt;dates&gt;&lt;year&gt;2024&lt;/year&gt;&lt;/dates&gt;&lt;pub-location&gt;Munich&lt;/pub-location&gt;&lt;urls&gt;&lt;related-urls&gt;&lt;url&gt;https://gisaid.org/hcov-19-variants-dashboard/&lt;/url&gt;&lt;/related-urls&gt;&lt;/urls&gt;&lt;/record&gt;&lt;/Cite&gt;&lt;/EndNote&gt;</w:instrText>
      </w:r>
      <w:r w:rsidRPr="0076485F">
        <w:rPr>
          <w:lang w:val="en-US"/>
        </w:rPr>
        <w:fldChar w:fldCharType="separate"/>
      </w:r>
      <w:r w:rsidR="00ED5AC9">
        <w:rPr>
          <w:noProof/>
          <w:lang w:val="en-US"/>
        </w:rPr>
        <w:t>[2]</w:t>
      </w:r>
      <w:r w:rsidRPr="0076485F">
        <w:rPr>
          <w:lang w:val="en-US"/>
        </w:rPr>
        <w:fldChar w:fldCharType="end"/>
      </w:r>
      <w:r w:rsidRPr="0076485F">
        <w:rPr>
          <w:lang w:val="en-US"/>
        </w:rPr>
        <w:t xml:space="preserve"> and the regular local GISAID reports</w:t>
      </w:r>
      <w:r>
        <w:rPr>
          <w:lang w:val="en-US"/>
        </w:rPr>
        <w:t xml:space="preserve"> </w:t>
      </w:r>
      <w:r w:rsidRPr="0076485F">
        <w:rPr>
          <w:lang w:val="en-US"/>
        </w:rPr>
        <w:fldChar w:fldCharType="begin"/>
      </w:r>
      <w:r w:rsidR="00ED5AC9">
        <w:rPr>
          <w:lang w:val="en-US"/>
        </w:rPr>
        <w:instrText xml:space="preserve"> ADDIN EN.CITE &lt;EndNote&gt;&lt;Cite&gt;&lt;Author&gt;GmBh&lt;/Author&gt;&lt;Year&gt;2024&lt;/Year&gt;&lt;RecNum&gt;18&lt;/RecNum&gt;&lt;DisplayText&gt;[3]&lt;/DisplayText&gt;&lt;record&gt;&lt;rec-number&gt;18&lt;/rec-number&gt;&lt;foreign-keys&gt;&lt;key app="EN" db-id="fwtrs5zrbe5v9seezr5vve5nd55rxpp9wfrf" timestamp="1716907605"&gt;18&lt;/key&gt;&lt;/foreign-keys&gt;&lt;ref-type name="Web Page"&gt;12&lt;/ref-type&gt;&lt;contributors&gt;&lt;authors&gt;&lt;author&gt;Österreichische Agentur für Gesundheit und Ernährungssicherheit GmBh &lt;/author&gt;&lt;/authors&gt;&lt;/contributors&gt;&lt;titles&gt;&lt;title&gt;GISIAD Österreich-Report&lt;/title&gt;&lt;/titles&gt;&lt;number&gt;18.05.2024&lt;/number&gt;&lt;dates&gt;&lt;year&gt;2024&lt;/year&gt;&lt;/dates&gt;&lt;urls&gt;&lt;related-urls&gt;&lt;url&gt;https://www.ages.at/forschung/wissen-aktuell/detail/gisaid-oesterreich-report&lt;/url&gt;&lt;/related-urls&gt;&lt;/urls&gt;&lt;/record&gt;&lt;/Cite&gt;&lt;/EndNote&gt;</w:instrText>
      </w:r>
      <w:r w:rsidRPr="0076485F">
        <w:rPr>
          <w:lang w:val="en-US"/>
        </w:rPr>
        <w:fldChar w:fldCharType="separate"/>
      </w:r>
      <w:r w:rsidR="00ED5AC9">
        <w:rPr>
          <w:noProof/>
          <w:lang w:val="en-US"/>
        </w:rPr>
        <w:t>[3]</w:t>
      </w:r>
      <w:r w:rsidRPr="0076485F">
        <w:rPr>
          <w:lang w:val="en-US"/>
        </w:rPr>
        <w:fldChar w:fldCharType="end"/>
      </w:r>
      <w:r w:rsidRPr="0076485F">
        <w:rPr>
          <w:lang w:val="en-US"/>
        </w:rPr>
        <w:t>.</w:t>
      </w:r>
    </w:p>
    <w:p w:rsidR="00A23BF4" w:rsidRPr="00624B9A" w:rsidRDefault="00A23BF4" w:rsidP="00A23BF4">
      <w:pPr>
        <w:spacing w:after="0" w:line="360" w:lineRule="auto"/>
        <w:jc w:val="both"/>
        <w:rPr>
          <w:i/>
          <w:lang w:val="en-US"/>
        </w:rPr>
      </w:pPr>
      <w:r>
        <w:rPr>
          <w:i/>
          <w:lang w:val="en-US"/>
        </w:rPr>
        <w:t>Omics analyses</w:t>
      </w:r>
    </w:p>
    <w:p w:rsidR="00A23BF4" w:rsidRPr="00A55CA9" w:rsidRDefault="00A23BF4" w:rsidP="00A23BF4">
      <w:pPr>
        <w:spacing w:line="360" w:lineRule="auto"/>
        <w:jc w:val="both"/>
        <w:rPr>
          <w:iCs/>
          <w:lang w:val="en-US"/>
        </w:rPr>
      </w:pPr>
      <w:r w:rsidRPr="0076485F">
        <w:rPr>
          <w:iCs/>
          <w:lang w:val="en-US"/>
        </w:rPr>
        <w:t>NGS, al</w:t>
      </w:r>
      <w:r w:rsidRPr="00684478">
        <w:rPr>
          <w:iCs/>
          <w:lang w:val="en-US"/>
        </w:rPr>
        <w:t xml:space="preserve">ong with differential </w:t>
      </w:r>
      <w:r>
        <w:rPr>
          <w:iCs/>
          <w:lang w:val="en-US"/>
        </w:rPr>
        <w:t xml:space="preserve">gene </w:t>
      </w:r>
      <w:r w:rsidRPr="00684478">
        <w:rPr>
          <w:iCs/>
          <w:lang w:val="en-US"/>
        </w:rPr>
        <w:t>expression analysis and IPA of DBS samples</w:t>
      </w:r>
      <w:r w:rsidRPr="002C2148">
        <w:rPr>
          <w:iCs/>
          <w:lang w:val="en-US"/>
        </w:rPr>
        <w:t xml:space="preserve">, was performed </w:t>
      </w:r>
      <w:r>
        <w:rPr>
          <w:iCs/>
          <w:lang w:val="en-US"/>
        </w:rPr>
        <w:t xml:space="preserve">by </w:t>
      </w:r>
      <w:r w:rsidRPr="002C2148">
        <w:rPr>
          <w:iCs/>
          <w:lang w:val="en-US"/>
        </w:rPr>
        <w:t xml:space="preserve">QIAGEN Genomic Services, Hilden, Germany. </w:t>
      </w:r>
      <w:r w:rsidRPr="00A55CA9">
        <w:rPr>
          <w:lang w:val="en-US"/>
        </w:rPr>
        <w:t>The experimental design included the following steps</w:t>
      </w:r>
      <w:r>
        <w:rPr>
          <w:lang w:val="en-US"/>
        </w:rPr>
        <w:t xml:space="preserve">: </w:t>
      </w:r>
    </w:p>
    <w:p w:rsidR="00A23BF4" w:rsidRPr="00A55CA9" w:rsidRDefault="00A23BF4" w:rsidP="00A23BF4">
      <w:pPr>
        <w:spacing w:after="0" w:line="360" w:lineRule="auto"/>
        <w:ind w:firstLine="708"/>
        <w:jc w:val="both"/>
        <w:rPr>
          <w:i/>
          <w:lang w:val="en-US"/>
        </w:rPr>
      </w:pPr>
      <w:r w:rsidRPr="00A55CA9">
        <w:rPr>
          <w:i/>
          <w:lang w:val="en-US"/>
        </w:rPr>
        <w:t>Total RNA extraction</w:t>
      </w:r>
    </w:p>
    <w:p w:rsidR="00A23BF4" w:rsidRPr="00046B1E" w:rsidRDefault="00A23BF4" w:rsidP="00A23BF4">
      <w:pPr>
        <w:spacing w:line="360" w:lineRule="auto"/>
        <w:jc w:val="both"/>
        <w:rPr>
          <w:lang w:val="en-US"/>
        </w:rPr>
      </w:pPr>
      <w:r w:rsidRPr="00A55CA9">
        <w:rPr>
          <w:lang w:val="en-US"/>
        </w:rPr>
        <w:t>For total RNA extraction, three 5mm DBS punches (single use biopsy punch; Kai Medical, Kai Europe GmbH, Germany) were isolated using RNeasy Plus Universal Mini Kit (</w:t>
      </w:r>
      <w:r w:rsidRPr="005C1F7A">
        <w:rPr>
          <w:lang w:val="en-US"/>
        </w:rPr>
        <w:t xml:space="preserve">QIAGEN, Hilden, Germany) with some modifications. In brief, DBS punches were transferred into pathogen lysis </w:t>
      </w:r>
      <w:r w:rsidRPr="00673703">
        <w:rPr>
          <w:lang w:val="en-US"/>
        </w:rPr>
        <w:t xml:space="preserve">tubes L (QIAGEN, Germany). After direct addition of 900µl </w:t>
      </w:r>
      <w:proofErr w:type="spellStart"/>
      <w:r w:rsidRPr="00673703">
        <w:rPr>
          <w:lang w:val="en-US"/>
        </w:rPr>
        <w:t>QIAzol</w:t>
      </w:r>
      <w:proofErr w:type="spellEnd"/>
      <w:r w:rsidRPr="00673703">
        <w:rPr>
          <w:lang w:val="en-US"/>
        </w:rPr>
        <w:t xml:space="preserve"> lysis reagent, samples were homogenized using the </w:t>
      </w:r>
      <w:proofErr w:type="spellStart"/>
      <w:r w:rsidRPr="00673703">
        <w:rPr>
          <w:lang w:val="en-US"/>
        </w:rPr>
        <w:t>TissueLyser</w:t>
      </w:r>
      <w:proofErr w:type="spellEnd"/>
      <w:r w:rsidRPr="00673703">
        <w:rPr>
          <w:lang w:val="en-US"/>
        </w:rPr>
        <w:t xml:space="preserve"> II (3x 30 Hz for 30 seconds each; QIAGEN, Hilden, Germany). Afterwards, homogenized samples were incubated at room temperature for 5 minutes. The protocol contains steps to add </w:t>
      </w:r>
      <w:proofErr w:type="spellStart"/>
      <w:r w:rsidRPr="00673703">
        <w:rPr>
          <w:lang w:val="en-US"/>
        </w:rPr>
        <w:t>QIAseq</w:t>
      </w:r>
      <w:proofErr w:type="spellEnd"/>
      <w:r w:rsidRPr="00673703">
        <w:rPr>
          <w:lang w:val="en-US"/>
        </w:rPr>
        <w:t xml:space="preserve"> miRNA Library Spike-Ins for quali</w:t>
      </w:r>
      <w:r w:rsidRPr="00BB221D">
        <w:rPr>
          <w:lang w:val="en-US"/>
        </w:rPr>
        <w:t xml:space="preserve">ty control and for genomic DNA removal; the phase separation </w:t>
      </w:r>
      <w:r w:rsidRPr="00BB221D">
        <w:rPr>
          <w:lang w:val="en-US"/>
        </w:rPr>
        <w:lastRenderedPageBreak/>
        <w:t xml:space="preserve">centrifugation step </w:t>
      </w:r>
      <w:r w:rsidRPr="00B91A28">
        <w:rPr>
          <w:lang w:val="en-US"/>
        </w:rPr>
        <w:t xml:space="preserve">was performed with </w:t>
      </w:r>
      <w:proofErr w:type="spellStart"/>
      <w:r w:rsidRPr="00B91A28">
        <w:rPr>
          <w:lang w:val="en-US"/>
        </w:rPr>
        <w:t>RNAse</w:t>
      </w:r>
      <w:proofErr w:type="spellEnd"/>
      <w:r w:rsidRPr="00B91A28">
        <w:rPr>
          <w:lang w:val="en-US"/>
        </w:rPr>
        <w:t>-free chloroform at 4°C. After phase separation, the upper aque</w:t>
      </w:r>
      <w:r w:rsidRPr="00046B1E">
        <w:rPr>
          <w:lang w:val="en-US"/>
        </w:rPr>
        <w:t xml:space="preserve">ous phase was mixed with 900µl 100% ethanol and loaded to RNeasy </w:t>
      </w:r>
      <w:proofErr w:type="spellStart"/>
      <w:r w:rsidRPr="00046B1E">
        <w:rPr>
          <w:lang w:val="en-US"/>
        </w:rPr>
        <w:t>MinElute</w:t>
      </w:r>
      <w:proofErr w:type="spellEnd"/>
      <w:r w:rsidRPr="00046B1E">
        <w:rPr>
          <w:lang w:val="en-US"/>
        </w:rPr>
        <w:t xml:space="preserve"> spin columns. All other centrifugation steps were performed at room temperature to avoid buffer salt precipitation. RNA was eluted in a volume of 20µl RNase-free water.</w:t>
      </w:r>
    </w:p>
    <w:p w:rsidR="00A23BF4" w:rsidRPr="00046B1E" w:rsidRDefault="00A23BF4" w:rsidP="00A23BF4">
      <w:pPr>
        <w:spacing w:after="0" w:line="360" w:lineRule="auto"/>
        <w:ind w:firstLine="708"/>
        <w:jc w:val="both"/>
        <w:rPr>
          <w:i/>
          <w:lang w:val="en-US"/>
        </w:rPr>
      </w:pPr>
      <w:r w:rsidRPr="00046B1E">
        <w:rPr>
          <w:i/>
          <w:lang w:val="en-US"/>
        </w:rPr>
        <w:t>Total RNA quality control</w:t>
      </w:r>
    </w:p>
    <w:p w:rsidR="00A23BF4" w:rsidRPr="0076485F" w:rsidRDefault="00A23BF4" w:rsidP="00A23BF4">
      <w:pPr>
        <w:spacing w:after="0" w:line="360" w:lineRule="auto"/>
        <w:jc w:val="both"/>
        <w:rPr>
          <w:lang w:val="en-US"/>
        </w:rPr>
      </w:pPr>
      <w:r w:rsidRPr="0076485F">
        <w:rPr>
          <w:lang w:val="en-US"/>
        </w:rPr>
        <w:t>Concentration of RNA samples was measured using Qubit</w:t>
      </w:r>
      <w:r w:rsidRPr="0076485F">
        <w:rPr>
          <w:rFonts w:cstheme="minorHAnsi"/>
          <w:lang w:val="en-US"/>
        </w:rPr>
        <w:t>™</w:t>
      </w:r>
      <w:r w:rsidRPr="0076485F">
        <w:rPr>
          <w:lang w:val="en-US"/>
        </w:rPr>
        <w:t xml:space="preserve"> RNA High Sensitivity and Broad Range fluorescence assay kits (</w:t>
      </w:r>
      <w:proofErr w:type="spellStart"/>
      <w:r w:rsidRPr="0076485F">
        <w:rPr>
          <w:lang w:val="en-US"/>
        </w:rPr>
        <w:t>ThermoFisher</w:t>
      </w:r>
      <w:proofErr w:type="spellEnd"/>
      <w:r w:rsidRPr="0076485F">
        <w:rPr>
          <w:lang w:val="en-US"/>
        </w:rPr>
        <w:t xml:space="preserve"> Scientific, Germany). To further evaluate quality of isolated RNA, 10ng of total RNA was reverse-transcribed and a slightly modified protocol of  the </w:t>
      </w:r>
      <w:proofErr w:type="spellStart"/>
      <w:r w:rsidRPr="0076485F">
        <w:rPr>
          <w:lang w:val="en-US"/>
        </w:rPr>
        <w:t>miRCURY</w:t>
      </w:r>
      <w:proofErr w:type="spellEnd"/>
      <w:r w:rsidRPr="0076485F">
        <w:rPr>
          <w:lang w:val="en-US"/>
        </w:rPr>
        <w:t xml:space="preserve"> LNA miRNA QC Kit (QIAGEN, Hilden, Germany) was performed as follows: 1.3µl cDNA was used for qPCR and PCR reaction volumes were adjusted for 8 assays per sample – </w:t>
      </w:r>
      <w:r w:rsidRPr="0076485F">
        <w:rPr>
          <w:rFonts w:ascii="Calibri" w:eastAsia="Times New Roman" w:hAnsi="Calibri" w:cs="Calibri"/>
          <w:color w:val="000000"/>
          <w:lang w:val="en-US" w:eastAsia="de-DE"/>
        </w:rPr>
        <w:t xml:space="preserve">hsa-miR-103a-3p, hsa-miR-191-5p, hsa-miR-451a, hsa-miR-23a-3p, hsa-miR-30c-5p, UniSp6, UniSp-100 and UniSp-101 </w:t>
      </w:r>
      <w:r w:rsidRPr="0076485F">
        <w:rPr>
          <w:lang w:val="en-US"/>
        </w:rPr>
        <w:t>using a LightCycler480 (Roche).</w:t>
      </w:r>
    </w:p>
    <w:p w:rsidR="00A23BF4" w:rsidRPr="0076485F" w:rsidRDefault="00A23BF4" w:rsidP="00A23BF4">
      <w:pPr>
        <w:spacing w:line="360" w:lineRule="auto"/>
        <w:jc w:val="both"/>
        <w:rPr>
          <w:lang w:val="en-US"/>
        </w:rPr>
      </w:pPr>
      <w:r w:rsidRPr="0076485F">
        <w:rPr>
          <w:lang w:val="en-US"/>
        </w:rPr>
        <w:t>If quality checks regarding RNA purification, cDNA synthesis, and successful qPCR reactions were fulfilled according to the QIAGEN QC-Panel guidelines, the samples were processed for small RNA sequencing.</w:t>
      </w:r>
    </w:p>
    <w:p w:rsidR="00A23BF4" w:rsidRPr="00046B1E" w:rsidRDefault="00A23BF4" w:rsidP="00A23BF4">
      <w:pPr>
        <w:spacing w:after="0" w:line="360" w:lineRule="auto"/>
        <w:ind w:firstLine="708"/>
        <w:jc w:val="both"/>
        <w:rPr>
          <w:i/>
          <w:lang w:val="en-US"/>
        </w:rPr>
      </w:pPr>
      <w:r w:rsidRPr="0076485F">
        <w:rPr>
          <w:i/>
          <w:lang w:val="en-US"/>
        </w:rPr>
        <w:t xml:space="preserve">Library preparation and </w:t>
      </w:r>
      <w:r>
        <w:rPr>
          <w:i/>
          <w:lang w:val="en-US"/>
        </w:rPr>
        <w:t>NGS</w:t>
      </w:r>
    </w:p>
    <w:p w:rsidR="00A23BF4" w:rsidRPr="00553202" w:rsidRDefault="00A23BF4" w:rsidP="00A23BF4">
      <w:pPr>
        <w:spacing w:line="360" w:lineRule="auto"/>
        <w:jc w:val="both"/>
        <w:rPr>
          <w:lang w:val="en-US"/>
        </w:rPr>
      </w:pPr>
      <w:r>
        <w:rPr>
          <w:lang w:val="en-US"/>
        </w:rPr>
        <w:t xml:space="preserve">For library preparation, </w:t>
      </w:r>
      <w:r w:rsidRPr="00046B1E">
        <w:rPr>
          <w:lang w:val="en-US"/>
        </w:rPr>
        <w:t xml:space="preserve">100ng total RNA was converted into miRNA NGS libraries </w:t>
      </w:r>
      <w:r w:rsidRPr="00553202">
        <w:rPr>
          <w:lang w:val="en-US"/>
        </w:rPr>
        <w:t xml:space="preserve">using </w:t>
      </w:r>
      <w:proofErr w:type="spellStart"/>
      <w:r w:rsidRPr="00553202">
        <w:rPr>
          <w:lang w:val="en-US"/>
        </w:rPr>
        <w:t>QIAseq</w:t>
      </w:r>
      <w:proofErr w:type="spellEnd"/>
      <w:r w:rsidRPr="00553202">
        <w:rPr>
          <w:lang w:val="en-US"/>
        </w:rPr>
        <w:t xml:space="preserve"> miRNA Library Kit (QIAGEN, Hilden, Germany). After adapter ligation, unique molecular identifiers (UMIs) to identify PCR duplicates were introduced in the reverse transcription step and cDNA was amplified with indices. Libraries were then quality</w:t>
      </w:r>
      <w:r>
        <w:rPr>
          <w:lang w:val="en-US"/>
        </w:rPr>
        <w:t>-</w:t>
      </w:r>
      <w:r w:rsidRPr="00553202">
        <w:rPr>
          <w:lang w:val="en-US"/>
        </w:rPr>
        <w:t xml:space="preserve">checked by capillary electrophoresis (Tape D1000, Agilent Technologies, Germany), pooled in equimolar ratios based on insert quality and concentration measurements, quantified by qPCR, and sequenced using </w:t>
      </w:r>
      <w:proofErr w:type="spellStart"/>
      <w:r w:rsidRPr="00553202">
        <w:rPr>
          <w:lang w:val="en-US"/>
        </w:rPr>
        <w:t>NextSeq</w:t>
      </w:r>
      <w:proofErr w:type="spellEnd"/>
      <w:r w:rsidRPr="00553202">
        <w:rPr>
          <w:lang w:val="en-US"/>
        </w:rPr>
        <w:t xml:space="preserve"> 2000 (Illumina Inc., San Diego, CA) according to the manufacturer instructions (1x75bp, 1x12M reads on average for DBS). Raw data was de-multiplexed and FASTQ files were generated for each sample using the bcl2fastq2 software (Illumina Inc.).</w:t>
      </w:r>
    </w:p>
    <w:p w:rsidR="00A23BF4" w:rsidRPr="00553202" w:rsidRDefault="00A23BF4" w:rsidP="00A23BF4">
      <w:pPr>
        <w:spacing w:after="0" w:line="360" w:lineRule="auto"/>
        <w:ind w:firstLine="708"/>
        <w:jc w:val="both"/>
        <w:rPr>
          <w:i/>
          <w:lang w:val="en-US"/>
        </w:rPr>
      </w:pPr>
      <w:r w:rsidRPr="00553202">
        <w:rPr>
          <w:i/>
          <w:lang w:val="en-US"/>
        </w:rPr>
        <w:t>Read mapping, and quantification of gene expression</w:t>
      </w:r>
    </w:p>
    <w:p w:rsidR="00A23BF4" w:rsidRPr="0076485F" w:rsidRDefault="00A23BF4" w:rsidP="00A23BF4">
      <w:pPr>
        <w:spacing w:line="360" w:lineRule="auto"/>
        <w:jc w:val="both"/>
        <w:rPr>
          <w:lang w:val="en-US"/>
        </w:rPr>
      </w:pPr>
      <w:r w:rsidRPr="0076485F">
        <w:rPr>
          <w:lang w:val="en-US"/>
        </w:rPr>
        <w:t>Primary analysis of raw data was conducted using QIAGEN CLC Genomics Server 23.0.5 with the workflow "</w:t>
      </w:r>
      <w:proofErr w:type="spellStart"/>
      <w:r w:rsidRPr="0076485F">
        <w:rPr>
          <w:lang w:val="en-US"/>
        </w:rPr>
        <w:t>QIAseq</w:t>
      </w:r>
      <w:proofErr w:type="spellEnd"/>
      <w:r w:rsidRPr="0076485F">
        <w:rPr>
          <w:lang w:val="en-US"/>
        </w:rPr>
        <w:t xml:space="preserve"> miRNA Quantification", which includes trimming of adapters, UMIs and common sequence</w:t>
      </w:r>
      <w:r w:rsidRPr="00094232">
        <w:rPr>
          <w:lang w:val="en-US"/>
        </w:rPr>
        <w:t xml:space="preserve">, as well as filtering reads which didn’t match the desired length of 15-55 nt. All remaining sequences were mapped to </w:t>
      </w:r>
      <w:proofErr w:type="spellStart"/>
      <w:r w:rsidRPr="00094232">
        <w:rPr>
          <w:lang w:val="en-US"/>
        </w:rPr>
        <w:t>miRBase</w:t>
      </w:r>
      <w:proofErr w:type="spellEnd"/>
      <w:r w:rsidRPr="00094232">
        <w:rPr>
          <w:lang w:val="en-US"/>
        </w:rPr>
        <w:t xml:space="preserve"> version 22. </w:t>
      </w:r>
      <w:r w:rsidRPr="0076485F">
        <w:rPr>
          <w:lang w:val="en-US"/>
        </w:rPr>
        <w:t xml:space="preserve">All reads that did not map to </w:t>
      </w:r>
      <w:proofErr w:type="spellStart"/>
      <w:r w:rsidRPr="0076485F">
        <w:rPr>
          <w:lang w:val="en-US"/>
        </w:rPr>
        <w:t>miRBase</w:t>
      </w:r>
      <w:proofErr w:type="spellEnd"/>
      <w:r w:rsidRPr="0076485F">
        <w:rPr>
          <w:lang w:val="en-US"/>
        </w:rPr>
        <w:t xml:space="preserve"> (neither with perfect matches nor as </w:t>
      </w:r>
      <w:proofErr w:type="spellStart"/>
      <w:r w:rsidRPr="0076485F">
        <w:rPr>
          <w:lang w:val="en-US"/>
        </w:rPr>
        <w:t>isomiRs</w:t>
      </w:r>
      <w:proofErr w:type="spellEnd"/>
      <w:r w:rsidRPr="0076485F">
        <w:rPr>
          <w:lang w:val="en-US"/>
        </w:rPr>
        <w:t>), were mapped to the human genome GRCh38 (ENSEMBL GRCh38 version 98) annotation using the “RNA-</w:t>
      </w:r>
      <w:proofErr w:type="spellStart"/>
      <w:r w:rsidRPr="0076485F">
        <w:rPr>
          <w:lang w:val="en-US"/>
        </w:rPr>
        <w:t>Seq</w:t>
      </w:r>
      <w:proofErr w:type="spellEnd"/>
      <w:r w:rsidRPr="0076485F">
        <w:rPr>
          <w:lang w:val="en-US"/>
        </w:rPr>
        <w:t xml:space="preserve"> Analysis” workflow of QIAGEN CLC Genomics Server with standard parameters.</w:t>
      </w:r>
    </w:p>
    <w:p w:rsidR="00A23BF4" w:rsidRPr="008B14DD" w:rsidRDefault="00A23BF4" w:rsidP="00A23BF4">
      <w:pPr>
        <w:spacing w:after="0" w:line="360" w:lineRule="auto"/>
        <w:ind w:firstLine="708"/>
        <w:jc w:val="both"/>
        <w:rPr>
          <w:i/>
          <w:lang w:val="en-US"/>
        </w:rPr>
      </w:pPr>
      <w:r w:rsidRPr="0076485F">
        <w:rPr>
          <w:i/>
          <w:lang w:val="en-US"/>
        </w:rPr>
        <w:lastRenderedPageBreak/>
        <w:t xml:space="preserve">Differential </w:t>
      </w:r>
      <w:r>
        <w:rPr>
          <w:i/>
          <w:lang w:val="en-US"/>
        </w:rPr>
        <w:t>g</w:t>
      </w:r>
      <w:r w:rsidRPr="008B14DD">
        <w:rPr>
          <w:i/>
          <w:lang w:val="en-US"/>
        </w:rPr>
        <w:t xml:space="preserve">ene </w:t>
      </w:r>
      <w:r>
        <w:rPr>
          <w:i/>
          <w:lang w:val="en-US"/>
        </w:rPr>
        <w:t>e</w:t>
      </w:r>
      <w:r w:rsidRPr="008B14DD">
        <w:rPr>
          <w:i/>
          <w:lang w:val="en-US"/>
        </w:rPr>
        <w:t>xpression analysis</w:t>
      </w:r>
    </w:p>
    <w:p w:rsidR="00C31FBF" w:rsidRDefault="00A23BF4" w:rsidP="00B85EA3">
      <w:pPr>
        <w:spacing w:after="0" w:line="360" w:lineRule="auto"/>
        <w:jc w:val="both"/>
        <w:rPr>
          <w:lang w:val="en-US"/>
        </w:rPr>
      </w:pPr>
      <w:r w:rsidRPr="0076485F">
        <w:rPr>
          <w:lang w:val="en-US"/>
        </w:rPr>
        <w:t xml:space="preserve">Differential gene expression analysis was conducted by QIAGEN Genomic Services (Hilden, Germany) using the “Empirical analysis of DGE” algorithm of the QIAGEN CLC Genomics Workbench 23.0.5 with default settings (implementation of the “Exact Test” for two-group comparisons developed by Robinson and Smith, 2008, incorporated in </w:t>
      </w:r>
      <w:proofErr w:type="spellStart"/>
      <w:r w:rsidRPr="0076485F">
        <w:rPr>
          <w:lang w:val="en-US"/>
        </w:rPr>
        <w:t>EdgeR</w:t>
      </w:r>
      <w:proofErr w:type="spellEnd"/>
      <w:r w:rsidRPr="0076485F">
        <w:rPr>
          <w:lang w:val="en-US"/>
        </w:rPr>
        <w:t xml:space="preserve"> Bioconductor package Robinson et al., 2010). </w:t>
      </w:r>
      <w:r w:rsidRPr="002C2148">
        <w:rPr>
          <w:lang w:val="en-US"/>
        </w:rPr>
        <w:t xml:space="preserve">MiRNAs with at least 10 counts summed over all samples were considered for all unsupervised </w:t>
      </w:r>
      <w:r w:rsidRPr="00A55CA9">
        <w:rPr>
          <w:lang w:val="en-US"/>
        </w:rPr>
        <w:t>analyses. First, group comparisons between controls and SARS-CoV-2-exposed participants were conducted, followed by intergroup expression analysis f</w:t>
      </w:r>
      <w:r w:rsidRPr="005C1F7A">
        <w:rPr>
          <w:lang w:val="en-US"/>
        </w:rPr>
        <w:t xml:space="preserve">or </w:t>
      </w:r>
      <w:r w:rsidRPr="00673703">
        <w:rPr>
          <w:lang w:val="en-US"/>
        </w:rPr>
        <w:t>antepartum versus peripartum infection and for positively versus negatively tested neonates. Results were regarded as statistically significant when p adjusted for multiple comparisons (</w:t>
      </w:r>
      <w:proofErr w:type="spellStart"/>
      <w:r w:rsidRPr="00673703">
        <w:rPr>
          <w:lang w:val="en-US"/>
        </w:rPr>
        <w:t>Bonferroni</w:t>
      </w:r>
      <w:proofErr w:type="spellEnd"/>
      <w:r w:rsidRPr="00673703">
        <w:rPr>
          <w:lang w:val="en-US"/>
        </w:rPr>
        <w:t>) was below 0.05. To further decrease the number of miRNAs</w:t>
      </w:r>
      <w:r w:rsidRPr="00BB221D">
        <w:rPr>
          <w:lang w:val="en-US"/>
        </w:rPr>
        <w:t xml:space="preserve"> of interest, </w:t>
      </w:r>
      <w:r w:rsidRPr="00B91A28">
        <w:rPr>
          <w:lang w:val="en-US"/>
        </w:rPr>
        <w:t>in a second step more conservative</w:t>
      </w:r>
      <w:r w:rsidRPr="00490B2B">
        <w:rPr>
          <w:lang w:val="en-US"/>
        </w:rPr>
        <w:t xml:space="preserve"> th</w:t>
      </w:r>
      <w:r w:rsidRPr="00046B1E">
        <w:rPr>
          <w:lang w:val="en-US"/>
        </w:rPr>
        <w:t xml:space="preserve">resholds for </w:t>
      </w:r>
      <w:r w:rsidRPr="00553202">
        <w:rPr>
          <w:lang w:val="en-US"/>
        </w:rPr>
        <w:t>significance and the magnitude of change were set: adjusted p-values &lt; 0.01</w:t>
      </w:r>
      <w:r w:rsidRPr="00B83B47">
        <w:rPr>
          <w:lang w:val="en-US"/>
        </w:rPr>
        <w:t>, │Log</w:t>
      </w:r>
      <w:r w:rsidRPr="00B83B47">
        <w:rPr>
          <w:vertAlign w:val="subscript"/>
          <w:lang w:val="en-US"/>
        </w:rPr>
        <w:t>2</w:t>
      </w:r>
      <w:r w:rsidRPr="00094232">
        <w:rPr>
          <w:lang w:val="en-US"/>
        </w:rPr>
        <w:t xml:space="preserve"> Fold Change (LFC</w:t>
      </w:r>
      <w:proofErr w:type="gramStart"/>
      <w:r w:rsidRPr="00094232">
        <w:rPr>
          <w:lang w:val="en-US"/>
        </w:rPr>
        <w:t>)│</w:t>
      </w:r>
      <w:proofErr w:type="gramEnd"/>
      <w:r w:rsidRPr="00094232">
        <w:rPr>
          <w:lang w:val="en-US"/>
        </w:rPr>
        <w:t>&gt; 1.</w:t>
      </w:r>
    </w:p>
    <w:p w:rsidR="00C31FBF" w:rsidRPr="00094232" w:rsidRDefault="00C31FBF" w:rsidP="00A23BF4">
      <w:pPr>
        <w:spacing w:line="360" w:lineRule="auto"/>
        <w:jc w:val="both"/>
        <w:rPr>
          <w:lang w:val="en-US"/>
        </w:rPr>
      </w:pPr>
      <w:r>
        <w:rPr>
          <w:lang w:val="en-US"/>
        </w:rPr>
        <w:t xml:space="preserve">Subgroup analysis: </w:t>
      </w:r>
      <w:r>
        <w:rPr>
          <w:lang w:val="en-GB"/>
        </w:rPr>
        <w:t xml:space="preserve">Differential gene expression analysis of samples from </w:t>
      </w:r>
      <w:r w:rsidR="001F5F82">
        <w:rPr>
          <w:lang w:val="en-GB"/>
        </w:rPr>
        <w:t xml:space="preserve">exclusively </w:t>
      </w:r>
      <w:r>
        <w:rPr>
          <w:lang w:val="en-GB"/>
        </w:rPr>
        <w:t>term</w:t>
      </w:r>
      <w:r w:rsidR="00B85EA3">
        <w:rPr>
          <w:lang w:val="en-GB"/>
        </w:rPr>
        <w:t>-</w:t>
      </w:r>
      <w:r>
        <w:rPr>
          <w:lang w:val="en-GB"/>
        </w:rPr>
        <w:t>born neonates</w:t>
      </w:r>
      <w:r w:rsidR="001F5F82">
        <w:rPr>
          <w:lang w:val="en-GB"/>
        </w:rPr>
        <w:t xml:space="preserve"> </w:t>
      </w:r>
      <w:r>
        <w:rPr>
          <w:lang w:val="en-GB"/>
        </w:rPr>
        <w:t>was conducted by our research team in alignment with the methodology performed by QIAGEN Genomic Services.</w:t>
      </w:r>
      <w:r w:rsidRPr="00C55731">
        <w:rPr>
          <w:lang w:val="en-US"/>
        </w:rPr>
        <w:t xml:space="preserve"> </w:t>
      </w:r>
      <w:r>
        <w:rPr>
          <w:lang w:val="en-GB"/>
        </w:rPr>
        <w:t>A variance stabilizing transformation was performed on the raw count matrix using R and DESeq2</w:t>
      </w:r>
      <w:r w:rsidR="00B9651F">
        <w:rPr>
          <w:lang w:val="en-GB"/>
        </w:rPr>
        <w:t xml:space="preserve"> </w:t>
      </w:r>
      <w:r w:rsidR="00B9651F">
        <w:rPr>
          <w:lang w:val="en-GB"/>
        </w:rPr>
        <w:fldChar w:fldCharType="begin"/>
      </w:r>
      <w:r w:rsidR="00B9651F">
        <w:rPr>
          <w:lang w:val="en-GB"/>
        </w:rPr>
        <w:instrText xml:space="preserve"> ADDIN EN.CITE &lt;EndNote&gt;&lt;Cite&gt;&lt;Author&gt;Love&lt;/Author&gt;&lt;Year&gt;2014&lt;/Year&gt;&lt;RecNum&gt;299&lt;/RecNum&gt;&lt;DisplayText&gt;[4]&lt;/DisplayText&gt;&lt;record&gt;&lt;rec-number&gt;299&lt;/rec-number&gt;&lt;foreign-keys&gt;&lt;key app="EN" db-id="zexv0p5pm0zxw4edzt2pta9d5v5t0dtwvrvd" timestamp="1723809271"&gt;299&lt;/key&gt;&lt;/foreign-keys&gt;&lt;ref-type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(Electronic)&amp;#xD;1465-6906 (Print)&amp;#xD;1474-7596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B9651F">
        <w:rPr>
          <w:lang w:val="en-GB"/>
        </w:rPr>
        <w:fldChar w:fldCharType="separate"/>
      </w:r>
      <w:r w:rsidR="00B9651F">
        <w:rPr>
          <w:noProof/>
          <w:lang w:val="en-GB"/>
        </w:rPr>
        <w:t>[4]</w:t>
      </w:r>
      <w:r w:rsidR="00B9651F">
        <w:rPr>
          <w:lang w:val="en-GB"/>
        </w:rPr>
        <w:fldChar w:fldCharType="end"/>
      </w:r>
      <w:r>
        <w:rPr>
          <w:lang w:val="en-GB"/>
        </w:rPr>
        <w:t xml:space="preserve">. </w:t>
      </w:r>
      <w:r w:rsidRPr="00C55731">
        <w:rPr>
          <w:lang w:val="en-GB"/>
        </w:rPr>
        <w:t>For hypothesis</w:t>
      </w:r>
      <w:r>
        <w:rPr>
          <w:lang w:val="en-GB"/>
        </w:rPr>
        <w:t xml:space="preserve"> </w:t>
      </w:r>
      <w:r w:rsidRPr="00C55731">
        <w:rPr>
          <w:lang w:val="en-GB"/>
        </w:rPr>
        <w:t xml:space="preserve">testing, DESeq2 utilizes the negative binomial Wald test, along with </w:t>
      </w:r>
      <w:proofErr w:type="spellStart"/>
      <w:r w:rsidRPr="00C55731">
        <w:rPr>
          <w:lang w:val="en-GB"/>
        </w:rPr>
        <w:t>B</w:t>
      </w:r>
      <w:r>
        <w:rPr>
          <w:lang w:val="en-GB"/>
        </w:rPr>
        <w:t>enjamini</w:t>
      </w:r>
      <w:proofErr w:type="spellEnd"/>
      <w:r>
        <w:rPr>
          <w:lang w:val="en-GB"/>
        </w:rPr>
        <w:t xml:space="preserve">-Hochberg </w:t>
      </w:r>
      <w:r w:rsidRPr="00C55731">
        <w:rPr>
          <w:lang w:val="en-GB"/>
        </w:rPr>
        <w:t>for False Discovery Rate (FDR) correction to reduce the number of false</w:t>
      </w:r>
      <w:r>
        <w:rPr>
          <w:lang w:val="en-GB"/>
        </w:rPr>
        <w:t xml:space="preserve"> </w:t>
      </w:r>
      <w:r w:rsidRPr="00C55731">
        <w:rPr>
          <w:lang w:val="en-GB"/>
        </w:rPr>
        <w:t>positives in multiple testing.</w:t>
      </w:r>
    </w:p>
    <w:p w:rsidR="00A23BF4" w:rsidRPr="00094232" w:rsidRDefault="00A23BF4" w:rsidP="00A23BF4">
      <w:pPr>
        <w:spacing w:after="0" w:line="360" w:lineRule="auto"/>
        <w:ind w:firstLine="708"/>
        <w:jc w:val="both"/>
        <w:rPr>
          <w:i/>
          <w:iCs/>
          <w:lang w:val="en-US"/>
        </w:rPr>
      </w:pPr>
      <w:r w:rsidRPr="00094232">
        <w:rPr>
          <w:i/>
          <w:iCs/>
          <w:lang w:val="en-US"/>
        </w:rPr>
        <w:t>Pathway analysis</w:t>
      </w:r>
    </w:p>
    <w:p w:rsidR="002266D0" w:rsidRDefault="00A23BF4" w:rsidP="00A23BF4">
      <w:pPr>
        <w:spacing w:line="360" w:lineRule="auto"/>
        <w:jc w:val="both"/>
        <w:rPr>
          <w:rFonts w:cstheme="minorHAnsi"/>
          <w:shd w:val="clear" w:color="auto" w:fill="FFFFFF"/>
          <w:lang w:val="en-US"/>
        </w:rPr>
      </w:pPr>
      <w:r w:rsidRPr="00094232">
        <w:rPr>
          <w:lang w:val="en-US"/>
        </w:rPr>
        <w:t xml:space="preserve">IPA </w:t>
      </w:r>
      <w:r w:rsidRPr="00094232">
        <w:rPr>
          <w:rFonts w:cstheme="minorHAnsi"/>
          <w:shd w:val="clear" w:color="auto" w:fill="FFFFFF"/>
          <w:lang w:val="en-US"/>
        </w:rPr>
        <w:t>was performed by QIAGEN Genomic Services (</w:t>
      </w:r>
      <w:hyperlink r:id="rId4" w:history="1">
        <w:r w:rsidRPr="0076485F">
          <w:rPr>
            <w:rStyle w:val="Hyperlink"/>
            <w:rFonts w:cstheme="minorHAnsi"/>
            <w:shd w:val="clear" w:color="auto" w:fill="FFFFFF"/>
            <w:lang w:val="en-US"/>
          </w:rPr>
          <w:t>www.ingenuity.com</w:t>
        </w:r>
      </w:hyperlink>
      <w:r w:rsidRPr="0076485F">
        <w:rPr>
          <w:rFonts w:cstheme="minorHAnsi"/>
          <w:shd w:val="clear" w:color="auto" w:fill="FFFFFF"/>
          <w:lang w:val="en-US"/>
        </w:rPr>
        <w:t xml:space="preserve">). After importing the data, multiple mapping steps </w:t>
      </w:r>
      <w:r w:rsidRPr="002C2148">
        <w:rPr>
          <w:rFonts w:cstheme="minorHAnsi"/>
          <w:shd w:val="clear" w:color="auto" w:fill="FFFFFF"/>
          <w:lang w:val="en-US"/>
        </w:rPr>
        <w:t>were performed to identify the target messenger RNA (mRNA) of interest. Mapped entries were then run using the miRNA target filter in order to identify target mRNAs using filtering</w:t>
      </w:r>
      <w:r w:rsidRPr="00A55CA9">
        <w:rPr>
          <w:rFonts w:cstheme="minorHAnsi"/>
          <w:shd w:val="clear" w:color="auto" w:fill="FFFFFF"/>
          <w:lang w:val="en-US"/>
        </w:rPr>
        <w:t xml:space="preserve"> criteria as follows: miRNA con</w:t>
      </w:r>
      <w:r>
        <w:rPr>
          <w:rFonts w:cstheme="minorHAnsi"/>
          <w:shd w:val="clear" w:color="auto" w:fill="FFFFFF"/>
          <w:lang w:val="en-US"/>
        </w:rPr>
        <w:t>f</w:t>
      </w:r>
      <w:r w:rsidRPr="00A55CA9">
        <w:rPr>
          <w:rFonts w:cstheme="minorHAnsi"/>
          <w:shd w:val="clear" w:color="auto" w:fill="FFFFFF"/>
          <w:lang w:val="en-US"/>
        </w:rPr>
        <w:t>idence = experimentally observed,</w:t>
      </w:r>
      <w:r w:rsidRPr="005C1F7A">
        <w:rPr>
          <w:rFonts w:cstheme="minorHAnsi"/>
          <w:shd w:val="clear" w:color="auto" w:fill="FFFFFF"/>
          <w:lang w:val="en-US"/>
        </w:rPr>
        <w:t xml:space="preserve"> and source= Ingenuity expert findings. </w:t>
      </w:r>
      <w:r>
        <w:rPr>
          <w:rFonts w:cstheme="minorHAnsi"/>
          <w:shd w:val="clear" w:color="auto" w:fill="FFFFFF"/>
          <w:lang w:val="en-US"/>
        </w:rPr>
        <w:t>The s</w:t>
      </w:r>
      <w:r w:rsidRPr="005C1F7A">
        <w:rPr>
          <w:rFonts w:cstheme="minorHAnsi"/>
          <w:shd w:val="clear" w:color="auto" w:fill="FFFFFF"/>
          <w:lang w:val="en-US"/>
        </w:rPr>
        <w:t>tatistical significance</w:t>
      </w:r>
      <w:r w:rsidRPr="00673703">
        <w:rPr>
          <w:rFonts w:cstheme="minorHAnsi"/>
          <w:shd w:val="clear" w:color="auto" w:fill="FFFFFF"/>
          <w:lang w:val="en-US"/>
        </w:rPr>
        <w:t xml:space="preserve"> of the association between the dataset and a canonical pathway was </w:t>
      </w:r>
      <w:r>
        <w:rPr>
          <w:rFonts w:cstheme="minorHAnsi"/>
          <w:shd w:val="clear" w:color="auto" w:fill="FFFFFF"/>
          <w:lang w:val="en-US"/>
        </w:rPr>
        <w:t>assessed</w:t>
      </w:r>
      <w:r w:rsidRPr="00673703">
        <w:rPr>
          <w:rFonts w:cstheme="minorHAnsi"/>
          <w:shd w:val="clear" w:color="auto" w:fill="FFFFFF"/>
          <w:lang w:val="en-US"/>
        </w:rPr>
        <w:t xml:space="preserve"> using a right-tailed Fisher’s </w:t>
      </w:r>
      <w:proofErr w:type="gramStart"/>
      <w:r w:rsidRPr="00673703">
        <w:rPr>
          <w:rFonts w:cstheme="minorHAnsi"/>
          <w:shd w:val="clear" w:color="auto" w:fill="FFFFFF"/>
          <w:lang w:val="en-US"/>
        </w:rPr>
        <w:t>Exact</w:t>
      </w:r>
      <w:proofErr w:type="gramEnd"/>
      <w:r w:rsidRPr="00673703">
        <w:rPr>
          <w:rFonts w:cstheme="minorHAnsi"/>
          <w:shd w:val="clear" w:color="auto" w:fill="FFFFFF"/>
          <w:lang w:val="en-US"/>
        </w:rPr>
        <w:t xml:space="preserve"> test</w:t>
      </w:r>
      <w:r>
        <w:rPr>
          <w:rFonts w:cstheme="minorHAnsi"/>
          <w:shd w:val="clear" w:color="auto" w:fill="FFFFFF"/>
          <w:lang w:val="en-US"/>
        </w:rPr>
        <w:t xml:space="preserve"> to calculate the p-value of overlap</w:t>
      </w:r>
      <w:r w:rsidRPr="00673703">
        <w:rPr>
          <w:rFonts w:cstheme="minorHAnsi"/>
          <w:shd w:val="clear" w:color="auto" w:fill="FFFFFF"/>
          <w:lang w:val="en-US"/>
        </w:rPr>
        <w:t>.</w:t>
      </w:r>
    </w:p>
    <w:p w:rsidR="00ED5AC9" w:rsidRDefault="00ED5AC9" w:rsidP="00ED5AC9">
      <w:pPr>
        <w:tabs>
          <w:tab w:val="left" w:pos="1290"/>
        </w:tabs>
        <w:spacing w:after="0" w:line="360" w:lineRule="auto"/>
        <w:jc w:val="both"/>
        <w:rPr>
          <w:b/>
          <w:lang w:val="en-US"/>
        </w:rPr>
      </w:pPr>
      <w:r>
        <w:rPr>
          <w:b/>
          <w:lang w:val="en-US"/>
        </w:rPr>
        <w:t xml:space="preserve">Results </w:t>
      </w:r>
      <w:r w:rsidR="00BB637F">
        <w:rPr>
          <w:b/>
          <w:lang w:val="en-US"/>
        </w:rPr>
        <w:t>of the subgroup analysis (term-born neonates)</w:t>
      </w:r>
    </w:p>
    <w:p w:rsidR="00ED5AC9" w:rsidRDefault="00ED5AC9" w:rsidP="00ED5AC9">
      <w:pPr>
        <w:tabs>
          <w:tab w:val="left" w:pos="1290"/>
        </w:tabs>
        <w:spacing w:after="0" w:line="360" w:lineRule="auto"/>
        <w:jc w:val="both"/>
        <w:rPr>
          <w:i/>
          <w:lang w:val="en-US"/>
        </w:rPr>
      </w:pPr>
      <w:r w:rsidRPr="00673703">
        <w:rPr>
          <w:i/>
          <w:lang w:val="en-US"/>
        </w:rPr>
        <w:t>Study population</w:t>
      </w:r>
    </w:p>
    <w:p w:rsidR="00ED5AC9" w:rsidRDefault="00ED5AC9" w:rsidP="00C9681A">
      <w:pPr>
        <w:spacing w:line="360" w:lineRule="auto"/>
        <w:jc w:val="both"/>
        <w:rPr>
          <w:lang w:val="en-US"/>
        </w:rPr>
      </w:pPr>
      <w:r>
        <w:rPr>
          <w:lang w:val="en-US"/>
        </w:rPr>
        <w:t>The subgroup analysis, performed exclusively on the term-born neonates of the study cohort, included 32 controls and 38 neonates born to mothers with SARS-CoV-2 infection during pregnancy, of which 18 had a peripartum infection.</w:t>
      </w:r>
      <w:r w:rsidR="00C9681A">
        <w:rPr>
          <w:lang w:val="en-US"/>
        </w:rPr>
        <w:t xml:space="preserve"> </w:t>
      </w:r>
      <w:r w:rsidR="00C9681A" w:rsidRPr="00E75829">
        <w:rPr>
          <w:lang w:val="en-US"/>
        </w:rPr>
        <w:t xml:space="preserve">Baseline characteristics of </w:t>
      </w:r>
      <w:r w:rsidR="00C9681A">
        <w:rPr>
          <w:lang w:val="en-US"/>
        </w:rPr>
        <w:t xml:space="preserve">the </w:t>
      </w:r>
      <w:r w:rsidR="00E14144">
        <w:rPr>
          <w:lang w:val="en-US"/>
        </w:rPr>
        <w:t>subgroup population</w:t>
      </w:r>
      <w:r w:rsidR="00C9681A" w:rsidRPr="00E75829">
        <w:rPr>
          <w:lang w:val="en-US"/>
        </w:rPr>
        <w:t xml:space="preserve"> are </w:t>
      </w:r>
      <w:r w:rsidR="00C9681A">
        <w:rPr>
          <w:lang w:val="en-US"/>
        </w:rPr>
        <w:t xml:space="preserve">detailed </w:t>
      </w:r>
      <w:r w:rsidR="00C9681A" w:rsidRPr="00E75829">
        <w:rPr>
          <w:lang w:val="en-US"/>
        </w:rPr>
        <w:t xml:space="preserve">in </w:t>
      </w:r>
      <w:r w:rsidR="000E735E">
        <w:rPr>
          <w:lang w:val="en-US"/>
        </w:rPr>
        <w:t xml:space="preserve">Supplementary </w:t>
      </w:r>
      <w:r w:rsidR="00C9681A" w:rsidRPr="00E75829">
        <w:rPr>
          <w:lang w:val="en-US"/>
        </w:rPr>
        <w:t>Table 1</w:t>
      </w:r>
      <w:r w:rsidR="00C9681A">
        <w:rPr>
          <w:lang w:val="en-US"/>
        </w:rPr>
        <w:t>.</w:t>
      </w:r>
    </w:p>
    <w:p w:rsidR="00ED5AC9" w:rsidRDefault="00ED5AC9" w:rsidP="00ED5AC9">
      <w:pPr>
        <w:spacing w:after="0" w:line="360" w:lineRule="auto"/>
        <w:jc w:val="both"/>
        <w:rPr>
          <w:i/>
          <w:lang w:val="en-US"/>
        </w:rPr>
      </w:pPr>
      <w:r w:rsidRPr="0076485F">
        <w:rPr>
          <w:i/>
          <w:lang w:val="en-US"/>
        </w:rPr>
        <w:t xml:space="preserve">Differential </w:t>
      </w:r>
      <w:r>
        <w:rPr>
          <w:i/>
          <w:lang w:val="en-US"/>
        </w:rPr>
        <w:t xml:space="preserve">gene </w:t>
      </w:r>
      <w:r w:rsidRPr="008B14DD">
        <w:rPr>
          <w:i/>
          <w:lang w:val="en-US"/>
        </w:rPr>
        <w:t>expression analysis</w:t>
      </w:r>
    </w:p>
    <w:p w:rsidR="00ED5AC9" w:rsidRDefault="00ED5AC9" w:rsidP="00ED5AC9">
      <w:pPr>
        <w:spacing w:after="0" w:line="360" w:lineRule="auto"/>
        <w:jc w:val="both"/>
        <w:rPr>
          <w:lang w:val="en-US"/>
        </w:rPr>
      </w:pPr>
      <w:r>
        <w:rPr>
          <w:lang w:val="en-US"/>
        </w:rPr>
        <w:t xml:space="preserve">In the subgroup analysis, 105 miRNAs (5.4%) were upregulated (LFC &gt; 0) and 147 miRNAs (7.6%) were downregulated (LFC &lt; 0) in the exposed group compared to the control group (significance </w:t>
      </w:r>
      <w:proofErr w:type="spellStart"/>
      <w:r>
        <w:rPr>
          <w:lang w:val="en-US"/>
        </w:rPr>
        <w:t>Benjamini</w:t>
      </w:r>
      <w:proofErr w:type="spellEnd"/>
      <w:r>
        <w:rPr>
          <w:lang w:val="en-US"/>
        </w:rPr>
        <w:t>-</w:t>
      </w:r>
      <w:r>
        <w:rPr>
          <w:lang w:val="en-US"/>
        </w:rPr>
        <w:lastRenderedPageBreak/>
        <w:t xml:space="preserve">Hochberg-corrected: all p &lt; 0.05). Differentially expressed miRNAs with a more conservative threshold of </w:t>
      </w:r>
      <w:r w:rsidRPr="002C2148">
        <w:rPr>
          <w:rFonts w:cstheme="minorHAnsi"/>
          <w:lang w:val="en-US"/>
        </w:rPr>
        <w:t>│</w:t>
      </w:r>
      <w:r w:rsidRPr="002C2148">
        <w:rPr>
          <w:lang w:val="en-US"/>
        </w:rPr>
        <w:t>LFC</w:t>
      </w:r>
      <w:r w:rsidRPr="002C2148">
        <w:rPr>
          <w:rFonts w:cstheme="minorHAnsi"/>
          <w:lang w:val="en-US"/>
        </w:rPr>
        <w:t>│</w:t>
      </w:r>
      <w:r w:rsidRPr="002C2148">
        <w:rPr>
          <w:lang w:val="en-US"/>
        </w:rPr>
        <w:t xml:space="preserve"> &gt; 1 and p &lt; 0.01</w:t>
      </w:r>
      <w:r>
        <w:rPr>
          <w:lang w:val="en-US"/>
        </w:rPr>
        <w:t xml:space="preserve"> are listed in </w:t>
      </w:r>
      <w:r w:rsidR="000E735E">
        <w:rPr>
          <w:lang w:val="en-US"/>
        </w:rPr>
        <w:t>Supplementary Table 2</w:t>
      </w:r>
      <w:r>
        <w:rPr>
          <w:lang w:val="en-US"/>
        </w:rPr>
        <w:t>. The most significant downregulation with a LFC &lt; -2 was seen in hsa-miR-1290 (LFC = -3.050, p &lt; 0.001), hsa-miR-3182 (LFC = -3.031, p &lt; 0.001), hsa-miR-1248 (LFC = -2.953, p &lt; 0.001), hsa-miR-1246 (LFC = -2.950, p &lt; 0.001), has-miR-12136 (LFC = -2.576, p &lt; 0.001), hsa-miR-205-5p (LFC = -2.352, p &lt; 0.001), hsa-miR-5100 (LFC = -2.328, p &lt; 0.001), and hsa-miR-7975 (LFC = -2.213, p &lt; 0.001). Two miRNAs showed a significant upregulation with a LFC &gt; 1 and a p &lt; 0.01: hsa-miR-6884-3p (LFC = 1.248, p = 0.009) and hsa-miR-3195 (LFC = 1.126, p &lt; 0.001).</w:t>
      </w:r>
    </w:p>
    <w:p w:rsidR="00C9681A" w:rsidRDefault="000E735E" w:rsidP="00C9681A">
      <w:pPr>
        <w:spacing w:line="360" w:lineRule="auto"/>
        <w:jc w:val="both"/>
        <w:rPr>
          <w:lang w:val="en-US"/>
        </w:rPr>
      </w:pPr>
      <w:r>
        <w:rPr>
          <w:lang w:val="en-US"/>
        </w:rPr>
        <w:t xml:space="preserve">Supplementary </w:t>
      </w:r>
      <w:r w:rsidR="00C9681A" w:rsidRPr="00684478">
        <w:rPr>
          <w:lang w:val="en-US"/>
        </w:rPr>
        <w:t>Figure 1 illustrates the relationship between statistical significance (p-value) and th</w:t>
      </w:r>
      <w:r w:rsidR="00C9681A" w:rsidRPr="002C2148">
        <w:rPr>
          <w:lang w:val="en-US"/>
        </w:rPr>
        <w:t>e magnitude of change (</w:t>
      </w:r>
      <w:r w:rsidR="00C9681A">
        <w:rPr>
          <w:lang w:val="en-US"/>
        </w:rPr>
        <w:t>LFC</w:t>
      </w:r>
      <w:r w:rsidR="00C9681A" w:rsidRPr="002C2148">
        <w:rPr>
          <w:lang w:val="en-US"/>
        </w:rPr>
        <w:t xml:space="preserve">). Differentially expressed miRNAs with a more conservative threshold of </w:t>
      </w:r>
      <w:r w:rsidR="00C9681A" w:rsidRPr="002C2148">
        <w:rPr>
          <w:rFonts w:cstheme="minorHAnsi"/>
          <w:lang w:val="en-US"/>
        </w:rPr>
        <w:t>│</w:t>
      </w:r>
      <w:r w:rsidR="00C9681A" w:rsidRPr="002C2148">
        <w:rPr>
          <w:lang w:val="en-US"/>
        </w:rPr>
        <w:t>LFC</w:t>
      </w:r>
      <w:r w:rsidR="00C9681A" w:rsidRPr="002C2148">
        <w:rPr>
          <w:rFonts w:cstheme="minorHAnsi"/>
          <w:lang w:val="en-US"/>
        </w:rPr>
        <w:t>│</w:t>
      </w:r>
      <w:r w:rsidR="00C9681A" w:rsidRPr="002C2148">
        <w:rPr>
          <w:lang w:val="en-US"/>
        </w:rPr>
        <w:t xml:space="preserve"> &gt; 1 and p &lt; 0.01 are visualized in </w:t>
      </w:r>
      <w:r>
        <w:rPr>
          <w:lang w:val="en-US"/>
        </w:rPr>
        <w:t xml:space="preserve">Supplementary </w:t>
      </w:r>
      <w:r w:rsidR="00C9681A" w:rsidRPr="002C2148">
        <w:rPr>
          <w:lang w:val="en-US"/>
        </w:rPr>
        <w:t xml:space="preserve">Figure </w:t>
      </w:r>
      <w:r>
        <w:rPr>
          <w:lang w:val="en-US"/>
        </w:rPr>
        <w:t>2</w:t>
      </w:r>
      <w:r w:rsidR="00C9681A" w:rsidRPr="00A55CA9">
        <w:rPr>
          <w:lang w:val="en-US"/>
        </w:rPr>
        <w:t>.</w:t>
      </w:r>
    </w:p>
    <w:p w:rsidR="00C9681A" w:rsidRDefault="00C9681A" w:rsidP="00C9681A">
      <w:pPr>
        <w:spacing w:line="360" w:lineRule="auto"/>
        <w:jc w:val="both"/>
        <w:rPr>
          <w:lang w:val="en-US"/>
        </w:rPr>
      </w:pPr>
      <w:r w:rsidRPr="00BB221D">
        <w:rPr>
          <w:lang w:val="en-US"/>
        </w:rPr>
        <w:t xml:space="preserve">When comparing antepartum </w:t>
      </w:r>
      <w:r w:rsidRPr="00B91A28">
        <w:rPr>
          <w:lang w:val="en-US"/>
        </w:rPr>
        <w:t xml:space="preserve">and peripartum </w:t>
      </w:r>
      <w:r w:rsidRPr="00046B1E">
        <w:rPr>
          <w:lang w:val="en-US"/>
        </w:rPr>
        <w:t xml:space="preserve">infections, no </w:t>
      </w:r>
      <w:r>
        <w:rPr>
          <w:lang w:val="en-US"/>
        </w:rPr>
        <w:t xml:space="preserve">significant </w:t>
      </w:r>
      <w:r w:rsidRPr="00046B1E">
        <w:rPr>
          <w:lang w:val="en-US"/>
        </w:rPr>
        <w:t>difference</w:t>
      </w:r>
      <w:r>
        <w:rPr>
          <w:lang w:val="en-US"/>
        </w:rPr>
        <w:t>s</w:t>
      </w:r>
      <w:r w:rsidRPr="00046B1E">
        <w:rPr>
          <w:lang w:val="en-US"/>
        </w:rPr>
        <w:t xml:space="preserve"> </w:t>
      </w:r>
      <w:r>
        <w:rPr>
          <w:lang w:val="en-US"/>
        </w:rPr>
        <w:t>were</w:t>
      </w:r>
      <w:r w:rsidRPr="00046B1E">
        <w:rPr>
          <w:lang w:val="en-US"/>
        </w:rPr>
        <w:t xml:space="preserve"> found in miRNA expression profile</w:t>
      </w:r>
      <w:r>
        <w:rPr>
          <w:lang w:val="en-US"/>
        </w:rPr>
        <w:t>s</w:t>
      </w:r>
      <w:r w:rsidRPr="00046B1E">
        <w:rPr>
          <w:lang w:val="en-US"/>
        </w:rPr>
        <w:t xml:space="preserve">. In addition, the miRNA expression profile of positively tested neonates did not significantly </w:t>
      </w:r>
      <w:r w:rsidRPr="00553202">
        <w:rPr>
          <w:lang w:val="en-US"/>
        </w:rPr>
        <w:t xml:space="preserve">differ </w:t>
      </w:r>
      <w:r w:rsidRPr="00B83B47">
        <w:rPr>
          <w:lang w:val="en-US"/>
        </w:rPr>
        <w:t xml:space="preserve">from negatively </w:t>
      </w:r>
      <w:r w:rsidRPr="00094232">
        <w:rPr>
          <w:lang w:val="en-US"/>
        </w:rPr>
        <w:t>tested neonates.</w:t>
      </w:r>
    </w:p>
    <w:p w:rsidR="00C9681A" w:rsidRPr="00673703" w:rsidRDefault="00C9681A" w:rsidP="00ED5AC9">
      <w:pPr>
        <w:spacing w:after="0" w:line="360" w:lineRule="auto"/>
        <w:jc w:val="both"/>
        <w:rPr>
          <w:lang w:val="en-US"/>
        </w:rPr>
      </w:pPr>
    </w:p>
    <w:p w:rsidR="00ED5AC9" w:rsidRPr="00ED5AC9" w:rsidRDefault="00ED5AC9" w:rsidP="00ED5AC9">
      <w:pPr>
        <w:spacing w:after="0" w:line="360" w:lineRule="auto"/>
        <w:jc w:val="both"/>
        <w:rPr>
          <w:lang w:val="en-US"/>
        </w:rPr>
      </w:pPr>
    </w:p>
    <w:p w:rsidR="00ED5AC9" w:rsidRPr="00ED5AC9" w:rsidRDefault="00ED5AC9" w:rsidP="00ED5AC9">
      <w:pPr>
        <w:tabs>
          <w:tab w:val="left" w:pos="1290"/>
        </w:tabs>
        <w:spacing w:after="0" w:line="360" w:lineRule="auto"/>
        <w:jc w:val="both"/>
        <w:rPr>
          <w:b/>
          <w:lang w:val="en-US"/>
        </w:rPr>
      </w:pPr>
    </w:p>
    <w:p w:rsidR="00ED5AC9" w:rsidRDefault="00ED5AC9" w:rsidP="00ED5AC9">
      <w:pPr>
        <w:spacing w:after="0" w:line="360" w:lineRule="auto"/>
        <w:jc w:val="both"/>
        <w:rPr>
          <w:b/>
          <w:lang w:val="en-US"/>
        </w:rPr>
      </w:pPr>
    </w:p>
    <w:p w:rsidR="00ED5AC9" w:rsidRDefault="00ED5AC9" w:rsidP="00A23BF4">
      <w:pPr>
        <w:spacing w:line="360" w:lineRule="auto"/>
        <w:jc w:val="both"/>
        <w:rPr>
          <w:rFonts w:cstheme="minorHAnsi"/>
          <w:shd w:val="clear" w:color="auto" w:fill="FFFFFF"/>
          <w:lang w:val="en-US"/>
        </w:rPr>
      </w:pPr>
    </w:p>
    <w:p w:rsidR="002266D0" w:rsidRDefault="002266D0" w:rsidP="00A23BF4">
      <w:pPr>
        <w:spacing w:line="360" w:lineRule="auto"/>
        <w:jc w:val="both"/>
        <w:rPr>
          <w:rFonts w:cstheme="minorHAnsi"/>
          <w:shd w:val="clear" w:color="auto" w:fill="FFFFFF"/>
          <w:lang w:val="en-US"/>
        </w:rPr>
      </w:pPr>
    </w:p>
    <w:p w:rsidR="000E735E" w:rsidRDefault="000E735E">
      <w:pPr>
        <w:rPr>
          <w:rFonts w:ascii="Calibri" w:hAnsi="Calibri" w:cs="Calibri"/>
          <w:noProof/>
          <w:lang w:val="en-US"/>
        </w:rPr>
      </w:pPr>
      <w:r w:rsidRPr="008356CB">
        <w:rPr>
          <w:lang w:val="en-US"/>
        </w:rPr>
        <w:br w:type="page"/>
      </w:r>
    </w:p>
    <w:p w:rsidR="000E735E" w:rsidRDefault="000E735E" w:rsidP="000E735E">
      <w:pPr>
        <w:tabs>
          <w:tab w:val="left" w:pos="1290"/>
        </w:tabs>
        <w:spacing w:after="0" w:line="360" w:lineRule="auto"/>
        <w:jc w:val="both"/>
        <w:rPr>
          <w:b/>
          <w:lang w:val="en-US"/>
        </w:rPr>
      </w:pPr>
      <w:r>
        <w:rPr>
          <w:b/>
          <w:lang w:val="en-US"/>
        </w:rPr>
        <w:lastRenderedPageBreak/>
        <w:t>References</w:t>
      </w:r>
    </w:p>
    <w:p w:rsidR="000E735E" w:rsidRDefault="000E735E" w:rsidP="00B9651F">
      <w:pPr>
        <w:pStyle w:val="EndNoteBibliography"/>
        <w:spacing w:after="0"/>
      </w:pPr>
    </w:p>
    <w:p w:rsidR="00B9651F" w:rsidRPr="00B9651F" w:rsidRDefault="002266D0" w:rsidP="00B9651F">
      <w:pPr>
        <w:pStyle w:val="EndNoteBibliography"/>
        <w:spacing w:after="0"/>
      </w:pPr>
      <w:r>
        <w:fldChar w:fldCharType="begin"/>
      </w:r>
      <w:r>
        <w:instrText xml:space="preserve"> ADDIN EN.REFLIST </w:instrText>
      </w:r>
      <w:r>
        <w:fldChar w:fldCharType="separate"/>
      </w:r>
      <w:r w:rsidR="00B9651F" w:rsidRPr="00B9651F">
        <w:t xml:space="preserve">1 Medicine SfM-F. Management considerations for pregnant patients with COVID-19 2020 [Available from: </w:t>
      </w:r>
      <w:hyperlink r:id="rId5" w:history="1">
        <w:r w:rsidR="00B9651F" w:rsidRPr="00B9651F">
          <w:rPr>
            <w:rStyle w:val="Hyperlink"/>
          </w:rPr>
          <w:t>https://s3.amazonaws.com/cdn.smfm.org/media/2415/SMFM_COVID_Management_of_COVID_pos_preg_patients_7-2-20.PDF_.pdf</w:t>
        </w:r>
      </w:hyperlink>
      <w:r w:rsidR="00B9651F" w:rsidRPr="00B9651F">
        <w:t>.</w:t>
      </w:r>
    </w:p>
    <w:p w:rsidR="00B9651F" w:rsidRPr="00B9651F" w:rsidRDefault="00B9651F" w:rsidP="00B9651F">
      <w:pPr>
        <w:pStyle w:val="EndNoteBibliography"/>
        <w:spacing w:after="0"/>
      </w:pPr>
      <w:r w:rsidRPr="00B9651F">
        <w:t xml:space="preserve">2 e.V. FvG. hCoV-19 Variants Dahboard Munich2024 [Available from: </w:t>
      </w:r>
      <w:hyperlink r:id="rId6" w:history="1">
        <w:r w:rsidRPr="00B9651F">
          <w:rPr>
            <w:rStyle w:val="Hyperlink"/>
          </w:rPr>
          <w:t>https://gisaid.org/hcov-19-variants-dashboard/</w:t>
        </w:r>
      </w:hyperlink>
      <w:r w:rsidRPr="00B9651F">
        <w:t>.</w:t>
      </w:r>
    </w:p>
    <w:p w:rsidR="00B9651F" w:rsidRPr="00B9651F" w:rsidRDefault="00B9651F" w:rsidP="00B9651F">
      <w:pPr>
        <w:pStyle w:val="EndNoteBibliography"/>
        <w:spacing w:after="0"/>
      </w:pPr>
      <w:r w:rsidRPr="00B9651F">
        <w:t xml:space="preserve">3 GmBh ÖAfGuE. GISIAD Österreich-Report 2024 [Available from: </w:t>
      </w:r>
      <w:hyperlink r:id="rId7" w:history="1">
        <w:r w:rsidRPr="00B9651F">
          <w:rPr>
            <w:rStyle w:val="Hyperlink"/>
          </w:rPr>
          <w:t>https://www.ages.at/forschung/wissen-aktuell/detail/gisaid-oesterreich-report</w:t>
        </w:r>
      </w:hyperlink>
      <w:r w:rsidRPr="00B9651F">
        <w:t>.</w:t>
      </w:r>
    </w:p>
    <w:p w:rsidR="005345E1" w:rsidRPr="00A23BF4" w:rsidRDefault="00B9651F" w:rsidP="00FA66A5">
      <w:pPr>
        <w:pStyle w:val="EndNoteBibliography"/>
      </w:pPr>
      <w:r w:rsidRPr="00B9651F">
        <w:t>4 Love MI, Huber W, Anders S. Moderated estimation of fold change and dispersion for RNA-seq data with DESeq2. Genome Biol. 2014;15(12):550.</w:t>
      </w:r>
      <w:r w:rsidR="002266D0">
        <w:fldChar w:fldCharType="end"/>
      </w:r>
      <w:bookmarkStart w:id="0" w:name="_GoBack"/>
      <w:bookmarkEnd w:id="0"/>
    </w:p>
    <w:sectPr w:rsidR="005345E1" w:rsidRPr="00A23B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Neonat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exv0p5pm0zxw4edzt2pta9d5v5t0dtwvrvd&quot;&gt;CC Endnote&lt;record-ids&gt;&lt;item&gt;299&lt;/item&gt;&lt;/record-ids&gt;&lt;/item&gt;&lt;/Libraries&gt;"/>
  </w:docVars>
  <w:rsids>
    <w:rsidRoot w:val="00A23BF4"/>
    <w:rsid w:val="000E735E"/>
    <w:rsid w:val="001F5F82"/>
    <w:rsid w:val="002266D0"/>
    <w:rsid w:val="005345E1"/>
    <w:rsid w:val="00621ADA"/>
    <w:rsid w:val="008356CB"/>
    <w:rsid w:val="009B4B7F"/>
    <w:rsid w:val="00A14474"/>
    <w:rsid w:val="00A23BF4"/>
    <w:rsid w:val="00B85EA3"/>
    <w:rsid w:val="00B9651F"/>
    <w:rsid w:val="00BB637F"/>
    <w:rsid w:val="00C31FBF"/>
    <w:rsid w:val="00C80D89"/>
    <w:rsid w:val="00C9681A"/>
    <w:rsid w:val="00E14144"/>
    <w:rsid w:val="00E52294"/>
    <w:rsid w:val="00ED5AC9"/>
    <w:rsid w:val="00F53A78"/>
    <w:rsid w:val="00FA66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5866"/>
  <w15:chartTrackingRefBased/>
  <w15:docId w15:val="{8FB3BAC2-6A11-4639-BE3A-F169FD51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23BF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23BF4"/>
    <w:rPr>
      <w:color w:val="0000FF"/>
      <w:u w:val="single"/>
    </w:rPr>
  </w:style>
  <w:style w:type="character" w:styleId="Kommentarzeichen">
    <w:name w:val="annotation reference"/>
    <w:basedOn w:val="Absatz-Standardschriftart"/>
    <w:uiPriority w:val="99"/>
    <w:semiHidden/>
    <w:unhideWhenUsed/>
    <w:rsid w:val="00C31FBF"/>
    <w:rPr>
      <w:sz w:val="16"/>
      <w:szCs w:val="16"/>
    </w:rPr>
  </w:style>
  <w:style w:type="paragraph" w:styleId="Kommentartext">
    <w:name w:val="annotation text"/>
    <w:basedOn w:val="Standard"/>
    <w:link w:val="KommentartextZchn"/>
    <w:uiPriority w:val="99"/>
    <w:unhideWhenUsed/>
    <w:rsid w:val="00C31FBF"/>
    <w:pPr>
      <w:spacing w:line="240" w:lineRule="auto"/>
    </w:pPr>
    <w:rPr>
      <w:sz w:val="20"/>
      <w:szCs w:val="20"/>
    </w:rPr>
  </w:style>
  <w:style w:type="character" w:customStyle="1" w:styleId="KommentartextZchn">
    <w:name w:val="Kommentartext Zchn"/>
    <w:basedOn w:val="Absatz-Standardschriftart"/>
    <w:link w:val="Kommentartext"/>
    <w:uiPriority w:val="99"/>
    <w:rsid w:val="00C31FBF"/>
    <w:rPr>
      <w:sz w:val="20"/>
      <w:szCs w:val="20"/>
    </w:rPr>
  </w:style>
  <w:style w:type="paragraph" w:styleId="Sprechblasentext">
    <w:name w:val="Balloon Text"/>
    <w:basedOn w:val="Standard"/>
    <w:link w:val="SprechblasentextZchn"/>
    <w:uiPriority w:val="99"/>
    <w:semiHidden/>
    <w:unhideWhenUsed/>
    <w:rsid w:val="00C31FB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31FBF"/>
    <w:rPr>
      <w:rFonts w:ascii="Segoe UI" w:hAnsi="Segoe UI" w:cs="Segoe UI"/>
      <w:sz w:val="18"/>
      <w:szCs w:val="18"/>
    </w:rPr>
  </w:style>
  <w:style w:type="paragraph" w:customStyle="1" w:styleId="EndNoteBibliographyTitle">
    <w:name w:val="EndNote Bibliography Title"/>
    <w:basedOn w:val="Standard"/>
    <w:link w:val="EndNoteBibliographyTitleZchn"/>
    <w:rsid w:val="002266D0"/>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2266D0"/>
    <w:rPr>
      <w:rFonts w:ascii="Calibri" w:hAnsi="Calibri" w:cs="Calibri"/>
      <w:noProof/>
      <w:lang w:val="en-US"/>
    </w:rPr>
  </w:style>
  <w:style w:type="paragraph" w:customStyle="1" w:styleId="EndNoteBibliography">
    <w:name w:val="EndNote Bibliography"/>
    <w:basedOn w:val="Standard"/>
    <w:link w:val="EndNoteBibliographyZchn"/>
    <w:rsid w:val="002266D0"/>
    <w:pPr>
      <w:spacing w:line="240" w:lineRule="auto"/>
      <w:jc w:val="both"/>
    </w:pPr>
    <w:rPr>
      <w:rFonts w:ascii="Calibri" w:hAnsi="Calibri" w:cs="Calibri"/>
      <w:noProof/>
      <w:lang w:val="en-US"/>
    </w:rPr>
  </w:style>
  <w:style w:type="character" w:customStyle="1" w:styleId="EndNoteBibliographyZchn">
    <w:name w:val="EndNote Bibliography Zchn"/>
    <w:basedOn w:val="Absatz-Standardschriftart"/>
    <w:link w:val="EndNoteBibliography"/>
    <w:rsid w:val="002266D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ges.at/forschung/wissen-aktuell/detail/gisaid-oesterreich-repo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said.org/hcov-19-variants-dashboard/" TargetMode="External"/><Relationship Id="rId5" Type="http://schemas.openxmlformats.org/officeDocument/2006/relationships/hyperlink" Target="https://s3.amazonaws.com/cdn.smfm.org/media/2415/SMFM_COVID_Management_of_COVID_pos_preg_patients_7-2-20.PDF_.pdf" TargetMode="External"/><Relationship Id="rId4" Type="http://schemas.openxmlformats.org/officeDocument/2006/relationships/hyperlink" Target="http://www.ingenuity.com/" TargetMode="Externa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1918</Words>
  <Characters>12090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tirol-kliniken</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WINKLER Ira,Dr.</dc:creator>
  <cp:keywords/>
  <dc:description/>
  <cp:lastModifiedBy>WINKLER Ira,Dr.med.univ.</cp:lastModifiedBy>
  <cp:revision>6</cp:revision>
  <dcterms:created xsi:type="dcterms:W3CDTF">2025-02-24T10:21:00Z</dcterms:created>
  <dcterms:modified xsi:type="dcterms:W3CDTF">2025-02-25T13:52:00Z</dcterms:modified>
</cp:coreProperties>
</file>