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55" w:rsidRDefault="00E117E0" w:rsidP="00EB49E5">
      <w:pPr>
        <w:jc w:val="center"/>
      </w:pPr>
      <w:bookmarkStart w:id="0" w:name="_GoBack"/>
      <w:bookmarkEnd w:id="0"/>
      <w:r>
        <w:t>Table 1</w:t>
      </w:r>
    </w:p>
    <w:p w:rsidR="00EB49E5" w:rsidRDefault="00EB49E5" w:rsidP="00EB49E5">
      <w:pPr>
        <w:jc w:val="center"/>
      </w:pPr>
    </w:p>
    <w:p w:rsidR="00EB49E5" w:rsidRDefault="00EB49E5" w:rsidP="00EB49E5">
      <w:pPr>
        <w:jc w:val="center"/>
      </w:pPr>
    </w:p>
    <w:tbl>
      <w:tblPr>
        <w:tblStyle w:val="Tabellenraster"/>
        <w:tblW w:w="7763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1134"/>
      </w:tblGrid>
      <w:tr w:rsidR="00EB49E5" w:rsidTr="00EB49E5">
        <w:tc>
          <w:tcPr>
            <w:tcW w:w="2943" w:type="dxa"/>
          </w:tcPr>
          <w:p w:rsidR="00EB49E5" w:rsidRDefault="00EB49E5" w:rsidP="00EB49E5">
            <w:pPr>
              <w:spacing w:line="480" w:lineRule="auto"/>
            </w:pPr>
          </w:p>
        </w:tc>
        <w:tc>
          <w:tcPr>
            <w:tcW w:w="1843" w:type="dxa"/>
          </w:tcPr>
          <w:p w:rsidR="00EB49E5" w:rsidRDefault="00EB49E5" w:rsidP="00EB49E5">
            <w:pPr>
              <w:spacing w:line="480" w:lineRule="auto"/>
              <w:jc w:val="center"/>
            </w:pPr>
            <w:r>
              <w:t>Prior OAT</w:t>
            </w:r>
          </w:p>
          <w:p w:rsidR="00EB49E5" w:rsidRDefault="00EB49E5" w:rsidP="007E6EFE">
            <w:pPr>
              <w:spacing w:line="480" w:lineRule="auto"/>
              <w:jc w:val="center"/>
            </w:pPr>
            <w:r>
              <w:t xml:space="preserve">n = </w:t>
            </w:r>
            <w:r w:rsidR="007E6EFE">
              <w:t>809</w:t>
            </w:r>
          </w:p>
        </w:tc>
        <w:tc>
          <w:tcPr>
            <w:tcW w:w="1843" w:type="dxa"/>
          </w:tcPr>
          <w:p w:rsidR="00EB49E5" w:rsidRDefault="00EB49E5" w:rsidP="00EB49E5">
            <w:pPr>
              <w:spacing w:line="480" w:lineRule="auto"/>
              <w:jc w:val="center"/>
            </w:pPr>
            <w:proofErr w:type="spellStart"/>
            <w:r>
              <w:t>No</w:t>
            </w:r>
            <w:proofErr w:type="spellEnd"/>
            <w:r>
              <w:t xml:space="preserve"> </w:t>
            </w:r>
            <w:proofErr w:type="spellStart"/>
            <w:r>
              <w:t>prior</w:t>
            </w:r>
            <w:proofErr w:type="spellEnd"/>
            <w:r>
              <w:t xml:space="preserve"> OAT</w:t>
            </w:r>
          </w:p>
          <w:p w:rsidR="00EB49E5" w:rsidRDefault="00EB49E5" w:rsidP="007E6EFE">
            <w:pPr>
              <w:spacing w:line="480" w:lineRule="auto"/>
              <w:jc w:val="center"/>
            </w:pPr>
            <w:r>
              <w:t xml:space="preserve">n = </w:t>
            </w:r>
            <w:r w:rsidR="007621A3">
              <w:t>2</w:t>
            </w:r>
            <w:r w:rsidR="007E6EFE">
              <w:t xml:space="preserve"> 915</w:t>
            </w:r>
          </w:p>
        </w:tc>
        <w:tc>
          <w:tcPr>
            <w:tcW w:w="1134" w:type="dxa"/>
          </w:tcPr>
          <w:p w:rsidR="00EB49E5" w:rsidRDefault="00EB49E5" w:rsidP="00EB49E5">
            <w:pPr>
              <w:spacing w:line="480" w:lineRule="auto"/>
              <w:jc w:val="center"/>
              <w:rPr>
                <w:i/>
              </w:rPr>
            </w:pPr>
          </w:p>
          <w:p w:rsidR="00EB49E5" w:rsidRDefault="00EB49E5" w:rsidP="00EB49E5">
            <w:pPr>
              <w:spacing w:line="480" w:lineRule="auto"/>
              <w:jc w:val="center"/>
            </w:pPr>
            <w:r w:rsidRPr="00EB49E5">
              <w:rPr>
                <w:i/>
              </w:rPr>
              <w:t xml:space="preserve">P </w:t>
            </w:r>
            <w:proofErr w:type="spellStart"/>
            <w:r>
              <w:t>value</w:t>
            </w:r>
            <w:proofErr w:type="spellEnd"/>
          </w:p>
        </w:tc>
      </w:tr>
      <w:tr w:rsidR="00EB49E5" w:rsidRPr="00A34E66" w:rsidTr="00EB49E5">
        <w:tc>
          <w:tcPr>
            <w:tcW w:w="2943" w:type="dxa"/>
          </w:tcPr>
          <w:p w:rsidR="00EB49E5" w:rsidRDefault="00EB49E5" w:rsidP="00EB49E5">
            <w:pPr>
              <w:spacing w:line="480" w:lineRule="auto"/>
            </w:pPr>
            <w:proofErr w:type="spellStart"/>
            <w:r>
              <w:t>Mean</w:t>
            </w:r>
            <w:proofErr w:type="spellEnd"/>
            <w:r>
              <w:t xml:space="preserve"> </w:t>
            </w:r>
            <w:proofErr w:type="spellStart"/>
            <w:r>
              <w:t>age</w:t>
            </w:r>
            <w:proofErr w:type="spellEnd"/>
            <w:r>
              <w:t xml:space="preserve"> (</w:t>
            </w:r>
            <w:proofErr w:type="spellStart"/>
            <w:r>
              <w:t>years</w:t>
            </w:r>
            <w:proofErr w:type="spellEnd"/>
            <w:r>
              <w:t>) ± SD</w:t>
            </w:r>
          </w:p>
        </w:tc>
        <w:tc>
          <w:tcPr>
            <w:tcW w:w="1843" w:type="dxa"/>
          </w:tcPr>
          <w:p w:rsidR="00EB49E5" w:rsidRPr="007621A3" w:rsidRDefault="00A34E66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76.8 ± 9.9</w:t>
            </w:r>
          </w:p>
        </w:tc>
        <w:tc>
          <w:tcPr>
            <w:tcW w:w="1843" w:type="dxa"/>
          </w:tcPr>
          <w:p w:rsidR="00EB49E5" w:rsidRPr="007621A3" w:rsidRDefault="00A34E66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71.5</w:t>
            </w:r>
            <w:r w:rsidR="00EB49E5" w:rsidRPr="007621A3">
              <w:rPr>
                <w:lang w:val="en-US"/>
              </w:rPr>
              <w:t xml:space="preserve"> ±</w:t>
            </w:r>
            <w:r>
              <w:rPr>
                <w:lang w:val="en-US"/>
              </w:rPr>
              <w:t xml:space="preserve"> 14.0</w:t>
            </w:r>
          </w:p>
        </w:tc>
        <w:tc>
          <w:tcPr>
            <w:tcW w:w="1134" w:type="dxa"/>
          </w:tcPr>
          <w:p w:rsidR="00EB49E5" w:rsidRPr="007621A3" w:rsidRDefault="007621A3" w:rsidP="007621A3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EB49E5" w:rsidRPr="007621A3">
              <w:rPr>
                <w:lang w:val="en-US"/>
              </w:rPr>
              <w:t>&lt; .001</w:t>
            </w:r>
          </w:p>
        </w:tc>
      </w:tr>
      <w:tr w:rsidR="00EB49E5" w:rsidRPr="00A34E66" w:rsidTr="00EB49E5">
        <w:tc>
          <w:tcPr>
            <w:tcW w:w="2943" w:type="dxa"/>
          </w:tcPr>
          <w:p w:rsidR="00EB49E5" w:rsidRPr="007621A3" w:rsidRDefault="00EB49E5" w:rsidP="00EB49E5">
            <w:pPr>
              <w:spacing w:line="480" w:lineRule="auto"/>
              <w:rPr>
                <w:lang w:val="en-US"/>
              </w:rPr>
            </w:pPr>
            <w:r w:rsidRPr="007621A3">
              <w:rPr>
                <w:lang w:val="en-US"/>
              </w:rPr>
              <w:t>Female sex</w:t>
            </w:r>
          </w:p>
        </w:tc>
        <w:tc>
          <w:tcPr>
            <w:tcW w:w="1843" w:type="dxa"/>
          </w:tcPr>
          <w:p w:rsidR="00EB49E5" w:rsidRPr="00EB49E5" w:rsidRDefault="00A34E66" w:rsidP="007E6EFE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7E6EFE">
              <w:rPr>
                <w:lang w:val="en-US"/>
              </w:rPr>
              <w:t>5</w:t>
            </w:r>
            <w:r>
              <w:rPr>
                <w:lang w:val="en-US"/>
              </w:rPr>
              <w:t>3</w:t>
            </w:r>
            <w:r w:rsidR="00EB49E5" w:rsidRPr="00EB49E5">
              <w:rPr>
                <w:lang w:val="en-US"/>
              </w:rPr>
              <w:t xml:space="preserve"> (</w:t>
            </w:r>
            <w:r w:rsidR="007E6EFE">
              <w:rPr>
                <w:lang w:val="en-US"/>
              </w:rPr>
              <w:t>43.6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7621A3" w:rsidP="007E6EFE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E6EFE">
              <w:rPr>
                <w:lang w:val="en-US"/>
              </w:rPr>
              <w:t xml:space="preserve"> 420</w:t>
            </w:r>
            <w:r w:rsidR="00EB49E5" w:rsidRPr="00EB49E5">
              <w:rPr>
                <w:lang w:val="en-US"/>
              </w:rPr>
              <w:t xml:space="preserve"> (</w:t>
            </w:r>
            <w:r w:rsidR="007E6EFE">
              <w:rPr>
                <w:lang w:val="en-US"/>
              </w:rPr>
              <w:t>48.7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7621A3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EB49E5">
              <w:rPr>
                <w:lang w:val="en-US"/>
              </w:rPr>
              <w:t>.</w:t>
            </w:r>
            <w:r w:rsidR="007E6EFE">
              <w:rPr>
                <w:lang w:val="en-US"/>
              </w:rPr>
              <w:t>01</w:t>
            </w:r>
          </w:p>
        </w:tc>
      </w:tr>
      <w:tr w:rsidR="00EB49E5" w:rsidRPr="00A34E66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AF</w:t>
            </w:r>
          </w:p>
        </w:tc>
        <w:tc>
          <w:tcPr>
            <w:tcW w:w="1843" w:type="dxa"/>
          </w:tcPr>
          <w:p w:rsidR="00EB49E5" w:rsidRPr="00EB49E5" w:rsidRDefault="007621A3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E6EFE">
              <w:rPr>
                <w:lang w:val="en-US"/>
              </w:rPr>
              <w:t>47</w:t>
            </w:r>
            <w:r w:rsidR="00EB49E5">
              <w:rPr>
                <w:lang w:val="en-US"/>
              </w:rPr>
              <w:t xml:space="preserve"> (</w:t>
            </w:r>
            <w:r w:rsidR="007E6EFE">
              <w:rPr>
                <w:lang w:val="en-US"/>
              </w:rPr>
              <w:t>18.2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7E6EFE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402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13.8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7E6EFE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.00</w:t>
            </w:r>
            <w:r w:rsidR="007621A3">
              <w:rPr>
                <w:lang w:val="en-US"/>
              </w:rPr>
              <w:t>2</w:t>
            </w:r>
          </w:p>
        </w:tc>
      </w:tr>
      <w:tr w:rsidR="00EB49E5" w:rsidRPr="007E6EFE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hypertension</w:t>
            </w:r>
          </w:p>
        </w:tc>
        <w:tc>
          <w:tcPr>
            <w:tcW w:w="1843" w:type="dxa"/>
          </w:tcPr>
          <w:p w:rsidR="00EB49E5" w:rsidRPr="00EB49E5" w:rsidRDefault="007E6EFE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134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16.6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7E6EFE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339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11.6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7621A3" w:rsidP="00EB49E5">
            <w:pPr>
              <w:spacing w:line="480" w:lineRule="auto"/>
              <w:jc w:val="center"/>
              <w:rPr>
                <w:lang w:val="en-US"/>
              </w:rPr>
            </w:pPr>
            <w:r w:rsidRPr="007621A3">
              <w:rPr>
                <w:lang w:val="en-US"/>
              </w:rPr>
              <w:t>&lt; .001</w:t>
            </w:r>
          </w:p>
        </w:tc>
      </w:tr>
      <w:tr w:rsidR="00EB49E5" w:rsidRPr="00EB49E5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diabetes</w:t>
            </w:r>
          </w:p>
        </w:tc>
        <w:tc>
          <w:tcPr>
            <w:tcW w:w="1843" w:type="dxa"/>
          </w:tcPr>
          <w:p w:rsidR="00EB49E5" w:rsidRPr="00EB49E5" w:rsidRDefault="007E6EFE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295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36.5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7E6EFE" w:rsidP="007621A3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737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25.3 </w:t>
            </w:r>
            <w:r w:rsidR="00EB49E5" w:rsidRPr="00EB49E5">
              <w:rPr>
                <w:lang w:val="en-US"/>
              </w:rPr>
              <w:t>%)</w:t>
            </w:r>
          </w:p>
        </w:tc>
        <w:tc>
          <w:tcPr>
            <w:tcW w:w="1134" w:type="dxa"/>
          </w:tcPr>
          <w:p w:rsidR="00EB49E5" w:rsidRPr="00EB49E5" w:rsidRDefault="007621A3" w:rsidP="00EB49E5">
            <w:pPr>
              <w:spacing w:line="480" w:lineRule="auto"/>
              <w:jc w:val="center"/>
              <w:rPr>
                <w:lang w:val="en-US"/>
              </w:rPr>
            </w:pPr>
            <w:r w:rsidRPr="007621A3">
              <w:rPr>
                <w:lang w:val="en-US"/>
              </w:rPr>
              <w:t>&lt; .001</w:t>
            </w:r>
          </w:p>
        </w:tc>
      </w:tr>
    </w:tbl>
    <w:p w:rsidR="00EB49E5" w:rsidRDefault="00EB49E5"/>
    <w:p w:rsidR="00A34C40" w:rsidRDefault="00A34C40"/>
    <w:p w:rsidR="00A34C40" w:rsidRPr="00A34C40" w:rsidRDefault="00A34C40">
      <w:pPr>
        <w:rPr>
          <w:lang w:val="en-US"/>
        </w:rPr>
      </w:pPr>
      <w:r w:rsidRPr="00A34C40">
        <w:rPr>
          <w:lang w:val="en-US"/>
        </w:rPr>
        <w:t xml:space="preserve">Patient characteristics of acute </w:t>
      </w:r>
      <w:r>
        <w:rPr>
          <w:lang w:val="en-US"/>
        </w:rPr>
        <w:t>intracerebral hemorrhage</w:t>
      </w:r>
      <w:r w:rsidRPr="00A34C40">
        <w:rPr>
          <w:lang w:val="en-US"/>
        </w:rPr>
        <w:t xml:space="preserve"> patients admitted 2012 – 2014 within 24 h of symptom onset with or without active OAT (VKA or NOAC) upon admission.</w:t>
      </w:r>
    </w:p>
    <w:sectPr w:rsidR="00A34C40" w:rsidRPr="00A34C4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E5"/>
    <w:rsid w:val="007621A3"/>
    <w:rsid w:val="007E6EFE"/>
    <w:rsid w:val="00866E55"/>
    <w:rsid w:val="00A34C40"/>
    <w:rsid w:val="00A34E66"/>
    <w:rsid w:val="00A83A68"/>
    <w:rsid w:val="00CC7EE1"/>
    <w:rsid w:val="00E117E0"/>
    <w:rsid w:val="00EB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B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62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2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21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1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B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62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2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21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1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Mannheim (UMM)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Knoll Kathrin</cp:lastModifiedBy>
  <cp:revision>2</cp:revision>
  <dcterms:created xsi:type="dcterms:W3CDTF">2016-06-06T06:09:00Z</dcterms:created>
  <dcterms:modified xsi:type="dcterms:W3CDTF">2016-06-06T06:09:00Z</dcterms:modified>
</cp:coreProperties>
</file>