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03" w:rsidRPr="00C35097" w:rsidRDefault="009E6B03" w:rsidP="009E6B03">
      <w:pPr>
        <w:bidi w:val="0"/>
        <w:spacing w:line="480" w:lineRule="auto"/>
      </w:pPr>
      <w:r w:rsidRPr="00C35097">
        <w:rPr>
          <w:b/>
        </w:rPr>
        <w:t xml:space="preserve">Supplement </w:t>
      </w:r>
      <w:r w:rsidR="00BC382D">
        <w:rPr>
          <w:b/>
        </w:rPr>
        <w:t>Table 2</w:t>
      </w:r>
      <w:bookmarkStart w:id="0" w:name="_GoBack"/>
      <w:bookmarkEnd w:id="0"/>
      <w:r w:rsidRPr="00C35097">
        <w:rPr>
          <w:b/>
        </w:rPr>
        <w:t>.</w:t>
      </w:r>
      <w:r w:rsidRPr="00C35097">
        <w:t xml:space="preserve"> The frequency of first-ever ischemic stroke subtypes and diagnostic examination in study population</w:t>
      </w:r>
    </w:p>
    <w:tbl>
      <w:tblPr>
        <w:tblStyle w:val="TableGrid2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276"/>
        <w:gridCol w:w="1134"/>
        <w:gridCol w:w="1134"/>
        <w:gridCol w:w="1276"/>
        <w:gridCol w:w="1275"/>
        <w:gridCol w:w="963"/>
      </w:tblGrid>
      <w:tr w:rsidR="009E6B03" w:rsidRPr="00C35097" w:rsidTr="00D95316">
        <w:trPr>
          <w:trHeight w:val="1340"/>
        </w:trPr>
        <w:tc>
          <w:tcPr>
            <w:tcW w:w="9894" w:type="dxa"/>
            <w:gridSpan w:val="8"/>
            <w:hideMark/>
          </w:tcPr>
          <w:p w:rsidR="009E6B03" w:rsidRPr="00C35097" w:rsidRDefault="009E6B03" w:rsidP="00D95316">
            <w:pPr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:rsidR="009E6B03" w:rsidRPr="00C35097" w:rsidRDefault="009E6B03" w:rsidP="00D95316">
            <w:pPr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hd w:val="clear" w:color="auto" w:fill="FFFFFF"/>
              </w:rPr>
              <w:t xml:space="preserve">First-ever ischemic stroke subtypes </w:t>
            </w:r>
          </w:p>
        </w:tc>
      </w:tr>
      <w:tr w:rsidR="009E6B03" w:rsidRPr="00C35097" w:rsidTr="00D95316">
        <w:trPr>
          <w:trHeight w:val="134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</w:pPr>
            <w:proofErr w:type="spellStart"/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Cardioembolic</w:t>
            </w:r>
            <w:proofErr w:type="spellEnd"/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n=77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(15%)</w:t>
            </w:r>
          </w:p>
          <w:p w:rsidR="009E6B03" w:rsidRPr="00C35097" w:rsidRDefault="009E6B03" w:rsidP="00D95316">
            <w:pPr>
              <w:bidi w:val="0"/>
              <w:spacing w:line="480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:rsidR="009E6B03" w:rsidRPr="00C35097" w:rsidRDefault="009E6B03" w:rsidP="00D95316">
            <w:pPr>
              <w:bidi w:val="0"/>
              <w:spacing w:line="480" w:lineRule="auto"/>
              <w:ind w:right="140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Non-</w:t>
            </w:r>
            <w:proofErr w:type="spellStart"/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cardioembolic</w:t>
            </w:r>
            <w:proofErr w:type="spellEnd"/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n=187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(36.5%)</w:t>
            </w:r>
          </w:p>
          <w:p w:rsidR="009E6B03" w:rsidRPr="00C35097" w:rsidRDefault="009E6B03" w:rsidP="00D95316">
            <w:pPr>
              <w:bidi w:val="0"/>
              <w:spacing w:after="240" w:line="480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:rsidR="009E6B03" w:rsidRPr="00C35097" w:rsidRDefault="009E6B03" w:rsidP="00D95316">
            <w:pPr>
              <w:spacing w:line="480" w:lineRule="auto"/>
              <w:ind w:left="-270" w:right="-270"/>
              <w:jc w:val="center"/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 xml:space="preserve">Ischemic Stroke of Undetermined 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-270" w:right="-270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Mechanism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-270" w:right="-270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/>
                <w:color w:val="222222"/>
                <w:sz w:val="22"/>
                <w:szCs w:val="22"/>
                <w:shd w:val="clear" w:color="auto" w:fill="FFFFFF"/>
              </w:rPr>
              <w:t>                         n= 225 (43.9%)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6B03" w:rsidRPr="00C35097" w:rsidTr="00D95316">
        <w:trPr>
          <w:trHeight w:val="220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Diagnostic examination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Cardioembolic</w:t>
            </w:r>
            <w:proofErr w:type="spellEnd"/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n=77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(15%)</w:t>
            </w:r>
          </w:p>
          <w:p w:rsidR="009E6B03" w:rsidRPr="00C35097" w:rsidRDefault="009E6B03" w:rsidP="00D95316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spacing w:line="480" w:lineRule="auto"/>
              <w:ind w:left="140" w:right="140"/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Small artery disease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n= 115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(22.4%)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Large  artery disease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 xml:space="preserve">n= 72 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(14%)</w:t>
            </w:r>
          </w:p>
          <w:p w:rsidR="009E6B03" w:rsidRPr="00C35097" w:rsidRDefault="009E6B03" w:rsidP="00D95316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Undetermined</w:t>
            </w:r>
          </w:p>
          <w:p w:rsidR="009E6B03" w:rsidRPr="00C35097" w:rsidRDefault="009E6B03" w:rsidP="00D95316">
            <w:pPr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≥2 causes identified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n= 3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Undetermined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Negative evaluation=134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Undetermined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 xml:space="preserve">Incomplete evaluative 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color w:val="222222"/>
                <w:sz w:val="20"/>
                <w:szCs w:val="20"/>
                <w:shd w:val="clear" w:color="auto" w:fill="FFFFFF"/>
              </w:rPr>
              <w:t>n=88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spacing w:line="48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sz w:val="20"/>
                <w:szCs w:val="20"/>
              </w:rPr>
              <w:t>Total</w:t>
            </w:r>
          </w:p>
          <w:p w:rsidR="009E6B03" w:rsidRPr="00C35097" w:rsidRDefault="009E6B03" w:rsidP="00D95316">
            <w:pPr>
              <w:bidi w:val="0"/>
              <w:spacing w:line="48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bCs/>
                <w:sz w:val="20"/>
                <w:szCs w:val="20"/>
              </w:rPr>
              <w:t>n=512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Duplex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49 (63.6%)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94 (82.5%)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71 (98.6)%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3 (100%)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133 (99.2%)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356 (69.5%)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CT-angiography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 (1.4%)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 (0.2%)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MR-angiography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 (1.3%)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 (0.9%)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6 (8.3%)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1(33.3%)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 (0.7%)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14 (2.7%)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Angiography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7 (9.7)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8 (1.6)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lastRenderedPageBreak/>
              <w:t>MR-venography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2 (0.4)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ECG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n</w:t>
            </w:r>
            <w:proofErr w:type="gramEnd"/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 xml:space="preserve"> (%)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77 (100)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114 (100)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72 (100)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3 (100)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134 (100)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89 (100)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512 (100)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Echocardiography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21 (27.3)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11 (9.6)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9 (12.5)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21 (15.6)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6 (6.7)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70 (13.7)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CT-Scan</w:t>
            </w:r>
          </w:p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n</w:t>
            </w:r>
            <w:proofErr w:type="gramEnd"/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 xml:space="preserve"> (%)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77 (100)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113 (99.1)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72 (100)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3 (100)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134 (100)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89 (100)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510 (99.6)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MRI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8 (10.4%)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16 (14%)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8(11.1%)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10 (7.4)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4 (4.4)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62 (12.1%)</w:t>
            </w:r>
          </w:p>
        </w:tc>
      </w:tr>
      <w:tr w:rsidR="009E6B03" w:rsidRPr="00C35097" w:rsidTr="00D95316">
        <w:trPr>
          <w:trHeight w:val="560"/>
        </w:trPr>
        <w:tc>
          <w:tcPr>
            <w:tcW w:w="1560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TCD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44 (57.1)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82 (71.9)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65 (90.3)</w:t>
            </w:r>
          </w:p>
        </w:tc>
        <w:tc>
          <w:tcPr>
            <w:tcW w:w="1134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2 (66.6)</w:t>
            </w:r>
          </w:p>
        </w:tc>
        <w:tc>
          <w:tcPr>
            <w:tcW w:w="1276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115 (85.8)</w:t>
            </w:r>
          </w:p>
        </w:tc>
        <w:tc>
          <w:tcPr>
            <w:tcW w:w="1275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963" w:type="dxa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317 (61.9)</w:t>
            </w:r>
          </w:p>
        </w:tc>
      </w:tr>
      <w:tr w:rsidR="009E6B03" w:rsidRPr="00C35097" w:rsidTr="00D95316">
        <w:trPr>
          <w:trHeight w:val="560"/>
        </w:trPr>
        <w:tc>
          <w:tcPr>
            <w:tcW w:w="9894" w:type="dxa"/>
            <w:gridSpan w:val="8"/>
            <w:hideMark/>
          </w:tcPr>
          <w:p w:rsidR="009E6B03" w:rsidRPr="00C35097" w:rsidRDefault="009E6B03" w:rsidP="00D95316">
            <w:pPr>
              <w:bidi w:val="0"/>
              <w:spacing w:line="480" w:lineRule="auto"/>
              <w:ind w:left="140" w:right="140"/>
              <w:rPr>
                <w:rFonts w:asciiTheme="majorBidi" w:hAnsiTheme="majorBidi" w:cstheme="majorBidi"/>
                <w:sz w:val="20"/>
                <w:szCs w:val="20"/>
              </w:rPr>
            </w:pPr>
            <w:r w:rsidRPr="00C35097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</w:rPr>
              <w:t>Abbreviations: ECG: Electrocardiography; CT: Computerized Tomography; MRI: Magnetic Resonance Imaging; TCD: Transcranial Doppler</w:t>
            </w:r>
          </w:p>
          <w:p w:rsidR="009E6B03" w:rsidRPr="00C35097" w:rsidRDefault="009E6B03" w:rsidP="00D95316">
            <w:pPr>
              <w:bidi w:val="0"/>
              <w:spacing w:after="240"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9E6B03" w:rsidRPr="00C35097" w:rsidRDefault="009E6B03" w:rsidP="009E6B03">
      <w:pPr>
        <w:bidi w:val="0"/>
        <w:spacing w:line="480" w:lineRule="auto"/>
        <w:rPr>
          <w:b/>
          <w:color w:val="222222"/>
          <w:highlight w:val="white"/>
        </w:rPr>
      </w:pPr>
    </w:p>
    <w:p w:rsidR="009E6B03" w:rsidRPr="00C35097" w:rsidRDefault="009E6B03" w:rsidP="009E6B03">
      <w:pPr>
        <w:bidi w:val="0"/>
        <w:spacing w:after="200" w:line="480" w:lineRule="auto"/>
      </w:pPr>
      <w:r w:rsidRPr="00C35097">
        <w:rPr>
          <w:color w:val="222222"/>
          <w:highlight w:val="white"/>
        </w:rPr>
        <w:t>Abbreviations: ECG: Electrocardiography; CT: Computerized Tomography; MRI: Magnetic Resonance Imaging; TCD: Transcranial Doppler</w:t>
      </w:r>
    </w:p>
    <w:p w:rsidR="00D40E29" w:rsidRPr="009E6B03" w:rsidRDefault="00D40E29"/>
    <w:sectPr w:rsidR="00D40E29" w:rsidRPr="009E6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03"/>
    <w:rsid w:val="009E6B03"/>
    <w:rsid w:val="00A6455D"/>
    <w:rsid w:val="00AA16D8"/>
    <w:rsid w:val="00BC382D"/>
    <w:rsid w:val="00D40E29"/>
    <w:rsid w:val="00D86474"/>
    <w:rsid w:val="00E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E6B03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2">
    <w:name w:val="Table Grid2"/>
    <w:basedOn w:val="NormaleTabelle"/>
    <w:next w:val="Tabellenraster"/>
    <w:uiPriority w:val="59"/>
    <w:rsid w:val="009E6B03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9E6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E6B03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2">
    <w:name w:val="Table Grid2"/>
    <w:basedOn w:val="NormaleTabelle"/>
    <w:next w:val="Tabellenraster"/>
    <w:uiPriority w:val="59"/>
    <w:rsid w:val="009E6B03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9E6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1247</Characters>
  <Application>Microsoft Office Word</Application>
  <DocSecurity>0</DocSecurity>
  <Lines>19</Lines>
  <Paragraphs>6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 Feigin</dc:creator>
  <cp:keywords/>
  <dc:description/>
  <cp:lastModifiedBy>webera</cp:lastModifiedBy>
  <cp:revision>2</cp:revision>
  <dcterms:created xsi:type="dcterms:W3CDTF">2017-10-08T16:12:00Z</dcterms:created>
  <dcterms:modified xsi:type="dcterms:W3CDTF">2017-11-16T10:59:00Z</dcterms:modified>
</cp:coreProperties>
</file>