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8A4DB49" w14:textId="77777777" w:rsidR="001D19E7" w:rsidRPr="00EC3320" w:rsidRDefault="001D19E7" w:rsidP="001D19E7">
      <w:pPr>
        <w:pStyle w:val="Title"/>
        <w:spacing w:line="480" w:lineRule="auto"/>
      </w:pPr>
      <w:r w:rsidRPr="00EC3320">
        <w:t>Online Supplement:</w:t>
      </w:r>
    </w:p>
    <w:p w14:paraId="3253D505" w14:textId="442DEFBE" w:rsidR="00EC3320" w:rsidRPr="00EC3320" w:rsidRDefault="001D19E7" w:rsidP="00EC3320">
      <w:pPr>
        <w:pStyle w:val="Title"/>
        <w:spacing w:line="480" w:lineRule="auto"/>
      </w:pPr>
      <w:r w:rsidRPr="00EC3320">
        <w:t>Predicting Postoperative Lung Function Following Lobectomy</w:t>
      </w:r>
      <w:r w:rsidR="00EC3320" w:rsidRPr="00EC3320">
        <w:t>:</w:t>
      </w:r>
    </w:p>
    <w:p w14:paraId="31531D06" w14:textId="5C8D3037" w:rsidR="00EC3320" w:rsidRPr="00EC3320" w:rsidRDefault="00EC3320" w:rsidP="00EC3320">
      <w:pPr>
        <w:jc w:val="center"/>
        <w:rPr>
          <w:rFonts w:ascii="Arial" w:hAnsi="Arial" w:cs="Arial"/>
          <w:b/>
          <w:sz w:val="24"/>
          <w:szCs w:val="24"/>
        </w:rPr>
      </w:pPr>
      <w:r w:rsidRPr="00EC3320">
        <w:rPr>
          <w:rFonts w:ascii="Arial" w:hAnsi="Arial" w:cs="Arial"/>
          <w:b/>
          <w:sz w:val="24"/>
          <w:szCs w:val="24"/>
        </w:rPr>
        <w:t>A New Method to Adjust for Inherent Selection Bias</w:t>
      </w:r>
    </w:p>
    <w:p w14:paraId="5B701768" w14:textId="77777777" w:rsidR="001D19E7" w:rsidRPr="00FC68FD" w:rsidRDefault="001D19E7" w:rsidP="001D19E7">
      <w:pPr>
        <w:spacing w:after="0" w:line="480" w:lineRule="auto"/>
        <w:rPr>
          <w:rFonts w:ascii="Arial" w:hAnsi="Arial" w:cs="Arial"/>
          <w:b/>
          <w:sz w:val="24"/>
          <w:szCs w:val="24"/>
        </w:rPr>
      </w:pPr>
    </w:p>
    <w:p w14:paraId="763EE358" w14:textId="77777777" w:rsidR="001D19E7" w:rsidRPr="00FC68FD" w:rsidRDefault="001D19E7" w:rsidP="001D19E7">
      <w:pPr>
        <w:spacing w:after="0" w:line="480" w:lineRule="auto"/>
        <w:rPr>
          <w:rFonts w:ascii="Arial" w:hAnsi="Arial" w:cs="Arial"/>
          <w:b/>
          <w:sz w:val="24"/>
          <w:szCs w:val="24"/>
        </w:rPr>
      </w:pPr>
    </w:p>
    <w:p w14:paraId="2F66800E" w14:textId="71FF619C" w:rsidR="00DE1187" w:rsidRPr="00FC68FD" w:rsidRDefault="00DE1187" w:rsidP="00DE1187">
      <w:pPr>
        <w:pStyle w:val="BodyText2"/>
        <w:rPr>
          <w:rFonts w:ascii="Arial" w:hAnsi="Arial" w:cs="Arial"/>
        </w:rPr>
      </w:pPr>
      <w:r w:rsidRPr="00FC68FD">
        <w:rPr>
          <w:rFonts w:ascii="Arial" w:hAnsi="Arial" w:cs="Arial"/>
        </w:rPr>
        <w:t>Narda Ontiveros,</w:t>
      </w:r>
      <w:r w:rsidR="00FC68FD">
        <w:rPr>
          <w:rFonts w:ascii="Arial" w:hAnsi="Arial" w:cs="Arial"/>
          <w:vertAlign w:val="superscript"/>
        </w:rPr>
        <w:t>4</w:t>
      </w:r>
      <w:r w:rsidRPr="00FC68FD">
        <w:rPr>
          <w:rFonts w:ascii="Arial" w:hAnsi="Arial" w:cs="Arial"/>
        </w:rPr>
        <w:t xml:space="preserve"> David Eapen-John,</w:t>
      </w:r>
      <w:r w:rsidRPr="00FC68FD">
        <w:rPr>
          <w:rFonts w:ascii="Arial" w:hAnsi="Arial" w:cs="Arial"/>
          <w:vertAlign w:val="superscript"/>
        </w:rPr>
        <w:t xml:space="preserve"> 1</w:t>
      </w:r>
      <w:r w:rsidRPr="00FC68FD">
        <w:rPr>
          <w:rFonts w:ascii="Arial" w:hAnsi="Arial" w:cs="Arial"/>
        </w:rPr>
        <w:t xml:space="preserve"> Natasha Osorio,</w:t>
      </w:r>
      <w:r w:rsidR="00FC68FD">
        <w:rPr>
          <w:rFonts w:ascii="Arial" w:hAnsi="Arial" w:cs="Arial"/>
          <w:vertAlign w:val="superscript"/>
        </w:rPr>
        <w:t>4</w:t>
      </w:r>
      <w:r w:rsidRPr="00FC68FD">
        <w:rPr>
          <w:rFonts w:ascii="Arial" w:hAnsi="Arial" w:cs="Arial"/>
        </w:rPr>
        <w:t xml:space="preserve"> Juhee Song PhD,</w:t>
      </w:r>
      <w:r w:rsidRPr="00FC68FD">
        <w:rPr>
          <w:rFonts w:ascii="Arial" w:hAnsi="Arial" w:cs="Arial"/>
          <w:vertAlign w:val="superscript"/>
        </w:rPr>
        <w:t>2</w:t>
      </w:r>
      <w:r w:rsidRPr="00FC68FD">
        <w:rPr>
          <w:rFonts w:ascii="Arial" w:hAnsi="Arial" w:cs="Arial"/>
        </w:rPr>
        <w:t xml:space="preserve"> Liang Li PhD,</w:t>
      </w:r>
      <w:r w:rsidRPr="00FC68FD">
        <w:rPr>
          <w:rFonts w:ascii="Arial" w:hAnsi="Arial" w:cs="Arial"/>
          <w:vertAlign w:val="superscript"/>
        </w:rPr>
        <w:t>2</w:t>
      </w:r>
      <w:r w:rsidRPr="00FC68FD">
        <w:rPr>
          <w:rFonts w:ascii="Arial" w:hAnsi="Arial" w:cs="Arial"/>
        </w:rPr>
        <w:t xml:space="preserve"> Ajay Sheshadri MD MPH,</w:t>
      </w:r>
      <w:r w:rsidRPr="00FC68FD">
        <w:rPr>
          <w:rFonts w:ascii="Arial" w:hAnsi="Arial" w:cs="Arial"/>
          <w:vertAlign w:val="superscript"/>
        </w:rPr>
        <w:t>1</w:t>
      </w:r>
      <w:r w:rsidRPr="00FC68FD">
        <w:rPr>
          <w:rFonts w:ascii="Arial" w:hAnsi="Arial" w:cs="Arial"/>
        </w:rPr>
        <w:t xml:space="preserve"> Xin Tian, BS,</w:t>
      </w:r>
      <w:r w:rsidRPr="00FC68FD">
        <w:rPr>
          <w:rFonts w:ascii="Arial" w:hAnsi="Arial" w:cs="Arial"/>
          <w:vertAlign w:val="superscript"/>
        </w:rPr>
        <w:t>1</w:t>
      </w:r>
      <w:r w:rsidRPr="00FC68FD">
        <w:rPr>
          <w:rFonts w:ascii="Arial" w:hAnsi="Arial" w:cs="Arial"/>
        </w:rPr>
        <w:t xml:space="preserve"> Natasha Ghosh, MPH,</w:t>
      </w:r>
      <w:r w:rsidRPr="00FC68FD">
        <w:rPr>
          <w:rFonts w:ascii="Arial" w:hAnsi="Arial" w:cs="Arial"/>
          <w:vertAlign w:val="superscript"/>
        </w:rPr>
        <w:t>1</w:t>
      </w:r>
      <w:r w:rsidRPr="00FC68FD">
        <w:rPr>
          <w:rFonts w:ascii="Arial" w:hAnsi="Arial" w:cs="Arial"/>
        </w:rPr>
        <w:t xml:space="preserve"> Ara Vaporciyan,</w:t>
      </w:r>
      <w:r w:rsidRPr="00FC68FD">
        <w:rPr>
          <w:rFonts w:ascii="Arial" w:hAnsi="Arial" w:cs="Arial"/>
          <w:vertAlign w:val="superscript"/>
        </w:rPr>
        <w:t>3</w:t>
      </w:r>
      <w:r w:rsidRPr="00FC68FD">
        <w:rPr>
          <w:rFonts w:ascii="Arial" w:hAnsi="Arial" w:cs="Arial"/>
        </w:rPr>
        <w:t xml:space="preserve"> MD, Arlene Correa, PhD,</w:t>
      </w:r>
      <w:r w:rsidRPr="00FC68FD">
        <w:rPr>
          <w:rFonts w:ascii="Arial" w:hAnsi="Arial" w:cs="Arial"/>
          <w:vertAlign w:val="superscript"/>
        </w:rPr>
        <w:t>3</w:t>
      </w:r>
      <w:r w:rsidRPr="00FC68FD">
        <w:rPr>
          <w:rFonts w:ascii="Arial" w:hAnsi="Arial" w:cs="Arial"/>
        </w:rPr>
        <w:t xml:space="preserve"> Garrett Walsh, MD,</w:t>
      </w:r>
      <w:r w:rsidRPr="00FC68FD">
        <w:rPr>
          <w:rFonts w:ascii="Arial" w:hAnsi="Arial" w:cs="Arial"/>
          <w:vertAlign w:val="superscript"/>
        </w:rPr>
        <w:t>3</w:t>
      </w:r>
      <w:r w:rsidRPr="00FC68FD">
        <w:rPr>
          <w:rFonts w:ascii="Arial" w:hAnsi="Arial" w:cs="Arial"/>
        </w:rPr>
        <w:t xml:space="preserve"> Horiana B. Grosu MD,</w:t>
      </w:r>
      <w:r w:rsidRPr="00FC68FD">
        <w:rPr>
          <w:rFonts w:ascii="Arial" w:hAnsi="Arial" w:cs="Arial"/>
          <w:vertAlign w:val="superscript"/>
        </w:rPr>
        <w:t>2</w:t>
      </w:r>
      <w:r w:rsidRPr="00FC68FD">
        <w:rPr>
          <w:rFonts w:ascii="Arial" w:hAnsi="Arial" w:cs="Arial"/>
        </w:rPr>
        <w:t xml:space="preserve"> David E. Ost MD MPH</w:t>
      </w:r>
      <w:r w:rsidRPr="00FC68FD">
        <w:rPr>
          <w:rFonts w:ascii="Arial" w:hAnsi="Arial" w:cs="Arial"/>
          <w:vertAlign w:val="superscript"/>
        </w:rPr>
        <w:t>1</w:t>
      </w:r>
    </w:p>
    <w:p w14:paraId="0A4B648B" w14:textId="77777777" w:rsidR="00DE1187" w:rsidRPr="00FC68FD" w:rsidRDefault="00DE1187" w:rsidP="00DE1187">
      <w:pPr>
        <w:pStyle w:val="BodyText2"/>
        <w:rPr>
          <w:rFonts w:ascii="Arial" w:hAnsi="Arial" w:cs="Arial"/>
        </w:rPr>
      </w:pPr>
    </w:p>
    <w:p w14:paraId="095CD89B" w14:textId="77777777" w:rsidR="00DE1187" w:rsidRPr="00FC68FD" w:rsidRDefault="00DE1187" w:rsidP="00DE1187">
      <w:pPr>
        <w:pStyle w:val="BodyText2"/>
        <w:rPr>
          <w:rFonts w:ascii="Arial" w:hAnsi="Arial" w:cs="Arial"/>
        </w:rPr>
      </w:pPr>
    </w:p>
    <w:p w14:paraId="49EE56F3" w14:textId="11F04069" w:rsidR="00DE1187" w:rsidRPr="00FC68FD" w:rsidRDefault="00DE1187" w:rsidP="00DE1187">
      <w:pPr>
        <w:pStyle w:val="BodyText2"/>
        <w:numPr>
          <w:ilvl w:val="0"/>
          <w:numId w:val="4"/>
        </w:numPr>
        <w:tabs>
          <w:tab w:val="left" w:pos="0"/>
          <w:tab w:val="left" w:pos="360"/>
        </w:tabs>
        <w:spacing w:after="0" w:line="259" w:lineRule="auto"/>
        <w:ind w:left="360"/>
        <w:rPr>
          <w:rFonts w:ascii="Arial" w:hAnsi="Arial" w:cs="Arial"/>
        </w:rPr>
      </w:pPr>
      <w:r w:rsidRPr="00FC68FD">
        <w:rPr>
          <w:rFonts w:ascii="Arial" w:hAnsi="Arial" w:cs="Arial"/>
        </w:rPr>
        <w:t>Department of Pulmonary Medicine, MD Anderson Cancer Center, Houston Texas.</w:t>
      </w:r>
    </w:p>
    <w:p w14:paraId="578A7B4C" w14:textId="77777777" w:rsidR="00DE1187" w:rsidRPr="00FC68FD" w:rsidRDefault="00DE1187" w:rsidP="00DE1187">
      <w:pPr>
        <w:pStyle w:val="BodyText2"/>
        <w:numPr>
          <w:ilvl w:val="0"/>
          <w:numId w:val="4"/>
        </w:numPr>
        <w:tabs>
          <w:tab w:val="left" w:pos="0"/>
          <w:tab w:val="left" w:pos="360"/>
        </w:tabs>
        <w:spacing w:after="0" w:line="259" w:lineRule="auto"/>
        <w:ind w:left="360"/>
        <w:rPr>
          <w:rFonts w:ascii="Arial" w:hAnsi="Arial" w:cs="Arial"/>
        </w:rPr>
      </w:pPr>
      <w:r w:rsidRPr="00FC68FD">
        <w:rPr>
          <w:rFonts w:ascii="Arial" w:hAnsi="Arial" w:cs="Arial"/>
        </w:rPr>
        <w:t>Department of Biostatistics, MD Anderson Cancer Center, Houston Texas</w:t>
      </w:r>
    </w:p>
    <w:p w14:paraId="76A8F656" w14:textId="77777777" w:rsidR="00DE1187" w:rsidRPr="00FC68FD" w:rsidRDefault="00DE1187" w:rsidP="00DE1187">
      <w:pPr>
        <w:pStyle w:val="BodyText2"/>
        <w:numPr>
          <w:ilvl w:val="0"/>
          <w:numId w:val="4"/>
        </w:numPr>
        <w:tabs>
          <w:tab w:val="left" w:pos="0"/>
          <w:tab w:val="left" w:pos="360"/>
        </w:tabs>
        <w:spacing w:after="0" w:line="259" w:lineRule="auto"/>
        <w:ind w:left="360"/>
        <w:rPr>
          <w:rFonts w:ascii="Arial" w:hAnsi="Arial" w:cs="Arial"/>
        </w:rPr>
      </w:pPr>
      <w:r w:rsidRPr="00FC68FD">
        <w:rPr>
          <w:rFonts w:ascii="Arial" w:hAnsi="Arial" w:cs="Arial"/>
        </w:rPr>
        <w:t>Department of Thoracic Surgery, MD Anderson Cancer Center, Houston Texas</w:t>
      </w:r>
    </w:p>
    <w:p w14:paraId="0C087451" w14:textId="3B6311FB" w:rsidR="00FC68FD" w:rsidRPr="00FC68FD" w:rsidRDefault="00FC68FD" w:rsidP="00DE1187">
      <w:pPr>
        <w:pStyle w:val="BodyText2"/>
        <w:numPr>
          <w:ilvl w:val="0"/>
          <w:numId w:val="4"/>
        </w:numPr>
        <w:tabs>
          <w:tab w:val="left" w:pos="0"/>
          <w:tab w:val="left" w:pos="360"/>
        </w:tabs>
        <w:spacing w:after="0" w:line="259" w:lineRule="auto"/>
        <w:ind w:left="360"/>
        <w:rPr>
          <w:rFonts w:ascii="Arial" w:hAnsi="Arial" w:cs="Arial"/>
        </w:rPr>
      </w:pPr>
      <w:r w:rsidRPr="00FC68FD">
        <w:rPr>
          <w:rFonts w:ascii="Arial" w:hAnsi="Arial" w:cs="Arial"/>
        </w:rPr>
        <w:t>School of Medicine and Health Sciences, Tecnológico de Monterrey, Monterrey, Nuevo León, México; work done while at MD Anderson Cancer Center</w:t>
      </w:r>
    </w:p>
    <w:p w14:paraId="4AFF3861" w14:textId="77777777" w:rsidR="00DE1187" w:rsidRPr="00FC68FD" w:rsidRDefault="00DE1187" w:rsidP="00DE1187">
      <w:pPr>
        <w:pStyle w:val="BodyText2"/>
        <w:tabs>
          <w:tab w:val="left" w:pos="0"/>
          <w:tab w:val="left" w:pos="360"/>
        </w:tabs>
        <w:rPr>
          <w:rFonts w:ascii="Arial" w:hAnsi="Arial" w:cs="Arial"/>
        </w:rPr>
      </w:pPr>
    </w:p>
    <w:p w14:paraId="3C22B3E2" w14:textId="77777777" w:rsidR="00DE1187" w:rsidRPr="00FC68FD" w:rsidRDefault="00DE1187" w:rsidP="00DE1187">
      <w:pPr>
        <w:pStyle w:val="BodyText2"/>
        <w:tabs>
          <w:tab w:val="left" w:pos="0"/>
          <w:tab w:val="left" w:pos="360"/>
        </w:tabs>
        <w:rPr>
          <w:rFonts w:ascii="Arial" w:hAnsi="Arial" w:cs="Arial"/>
        </w:rPr>
      </w:pPr>
    </w:p>
    <w:p w14:paraId="1A5BCC5B" w14:textId="77777777" w:rsidR="00DE1187" w:rsidRPr="00FC68FD" w:rsidRDefault="00DE1187" w:rsidP="00DE1187">
      <w:pPr>
        <w:spacing w:after="0" w:line="240" w:lineRule="auto"/>
        <w:rPr>
          <w:rFonts w:ascii="Arial" w:hAnsi="Arial" w:cs="Arial"/>
        </w:rPr>
      </w:pPr>
      <w:r w:rsidRPr="00FC68FD">
        <w:rPr>
          <w:rFonts w:ascii="Arial" w:hAnsi="Arial" w:cs="Arial"/>
          <w:b/>
        </w:rPr>
        <w:t xml:space="preserve">Corresponding Author Information:  </w:t>
      </w:r>
      <w:r w:rsidRPr="00FC68FD">
        <w:rPr>
          <w:rFonts w:ascii="Arial" w:hAnsi="Arial" w:cs="Arial"/>
        </w:rPr>
        <w:t xml:space="preserve">David E. Ost, MD, The University of Texas MD Anderson Cancer Center, Pulmonary Department, 1515 Holcombe Blvd, Unit 1462, Houston Tx, 77030; Email: </w:t>
      </w:r>
      <w:hyperlink r:id="rId8" w:history="1">
        <w:r w:rsidRPr="00FC68FD">
          <w:rPr>
            <w:rStyle w:val="Hyperlink"/>
            <w:rFonts w:ascii="Arial" w:hAnsi="Arial" w:cs="Arial"/>
          </w:rPr>
          <w:t>dost@mdanderson.org</w:t>
        </w:r>
      </w:hyperlink>
      <w:r w:rsidRPr="00FC68FD">
        <w:rPr>
          <w:rFonts w:ascii="Arial" w:hAnsi="Arial" w:cs="Arial"/>
        </w:rPr>
        <w:t>; phone: 713-745-8775; fax: 713-749-4922.</w:t>
      </w:r>
    </w:p>
    <w:p w14:paraId="4EBB7E13" w14:textId="77777777" w:rsidR="00DE1187" w:rsidRPr="00FC68FD" w:rsidRDefault="00DE1187" w:rsidP="00DE1187">
      <w:pPr>
        <w:pStyle w:val="BodyText2"/>
        <w:tabs>
          <w:tab w:val="left" w:pos="0"/>
          <w:tab w:val="left" w:pos="360"/>
        </w:tabs>
        <w:rPr>
          <w:rFonts w:ascii="Arial" w:hAnsi="Arial" w:cs="Arial"/>
        </w:rPr>
      </w:pPr>
    </w:p>
    <w:p w14:paraId="09E06F87" w14:textId="77777777" w:rsidR="00DE1187" w:rsidRPr="00FC68FD" w:rsidRDefault="00DE1187" w:rsidP="00DE1187">
      <w:pPr>
        <w:pStyle w:val="BodyText2"/>
        <w:tabs>
          <w:tab w:val="left" w:pos="0"/>
          <w:tab w:val="left" w:pos="360"/>
        </w:tabs>
        <w:rPr>
          <w:rFonts w:ascii="Arial" w:hAnsi="Arial" w:cs="Arial"/>
        </w:rPr>
      </w:pPr>
    </w:p>
    <w:p w14:paraId="0223529B" w14:textId="77777777" w:rsidR="00DE1187" w:rsidRPr="00FC68FD" w:rsidRDefault="00DE1187" w:rsidP="00DE1187">
      <w:pPr>
        <w:spacing w:after="0" w:line="240" w:lineRule="auto"/>
        <w:rPr>
          <w:rFonts w:ascii="Arial" w:hAnsi="Arial" w:cs="Arial"/>
        </w:rPr>
      </w:pPr>
      <w:r w:rsidRPr="00FC68FD">
        <w:rPr>
          <w:rFonts w:ascii="Arial" w:hAnsi="Arial" w:cs="Arial"/>
          <w:b/>
        </w:rPr>
        <w:t>Conflicts of Interest:</w:t>
      </w:r>
      <w:r w:rsidRPr="00FC68FD">
        <w:rPr>
          <w:rFonts w:ascii="Arial" w:hAnsi="Arial" w:cs="Arial"/>
        </w:rPr>
        <w:t xml:space="preserve">  none to declare</w:t>
      </w:r>
    </w:p>
    <w:p w14:paraId="2024BF81" w14:textId="77777777" w:rsidR="00DE1187" w:rsidRPr="00FC68FD" w:rsidRDefault="00DE1187" w:rsidP="00DE1187">
      <w:pPr>
        <w:spacing w:after="0" w:line="240" w:lineRule="auto"/>
        <w:rPr>
          <w:rFonts w:ascii="Arial" w:hAnsi="Arial" w:cs="Arial"/>
        </w:rPr>
      </w:pPr>
      <w:r w:rsidRPr="00FC68FD">
        <w:rPr>
          <w:rFonts w:ascii="Arial" w:hAnsi="Arial" w:cs="Arial"/>
          <w:b/>
        </w:rPr>
        <w:t>Funding:</w:t>
      </w:r>
      <w:r w:rsidRPr="00FC68FD">
        <w:rPr>
          <w:rFonts w:ascii="Arial" w:hAnsi="Arial" w:cs="Arial"/>
        </w:rPr>
        <w:t xml:space="preserve"> Statistical analysis work supported in part by the Cancer Center Support Grant (NCI Grant P30 CA016672).</w:t>
      </w:r>
    </w:p>
    <w:p w14:paraId="3CD37E60" w14:textId="77777777" w:rsidR="00DE1187" w:rsidRPr="00FC68FD" w:rsidRDefault="00DE1187" w:rsidP="00DE1187">
      <w:pPr>
        <w:spacing w:after="0" w:line="240" w:lineRule="auto"/>
        <w:rPr>
          <w:rFonts w:ascii="Arial" w:hAnsi="Arial" w:cs="Arial"/>
        </w:rPr>
      </w:pPr>
    </w:p>
    <w:p w14:paraId="1F98CFB4" w14:textId="77777777" w:rsidR="00DE1187" w:rsidRPr="00FC68FD" w:rsidRDefault="00DE1187" w:rsidP="00DE1187">
      <w:pPr>
        <w:spacing w:after="0" w:line="240" w:lineRule="auto"/>
        <w:rPr>
          <w:rFonts w:ascii="Arial" w:hAnsi="Arial" w:cs="Arial"/>
        </w:rPr>
        <w:sectPr w:rsidR="00DE1187" w:rsidRPr="00FC68FD">
          <w:pgSz w:w="12240" w:h="15840"/>
          <w:pgMar w:top="1440" w:right="1440" w:bottom="1440" w:left="1440" w:header="720" w:footer="720" w:gutter="0"/>
          <w:cols w:space="720"/>
          <w:docGrid w:linePitch="360"/>
        </w:sectPr>
      </w:pPr>
    </w:p>
    <w:p w14:paraId="18A3F06F" w14:textId="4307DC3C" w:rsidR="00DE1187" w:rsidRPr="00C33A14" w:rsidRDefault="00DE1187" w:rsidP="00DE1187">
      <w:pPr>
        <w:spacing w:after="0" w:line="240" w:lineRule="auto"/>
        <w:rPr>
          <w:rFonts w:ascii="Arial" w:hAnsi="Arial" w:cs="Arial"/>
        </w:rPr>
      </w:pPr>
    </w:p>
    <w:p w14:paraId="771E86A1" w14:textId="77777777" w:rsidR="001E0FE7" w:rsidRPr="001D19E7" w:rsidRDefault="001D19E7" w:rsidP="001D19E7">
      <w:pPr>
        <w:pStyle w:val="Heading1"/>
        <w:spacing w:after="0" w:line="480" w:lineRule="auto"/>
        <w:rPr>
          <w:rFonts w:ascii="Arial" w:hAnsi="Arial" w:cs="Arial"/>
          <w:sz w:val="24"/>
          <w:szCs w:val="24"/>
        </w:rPr>
      </w:pPr>
      <w:r w:rsidRPr="001D19E7">
        <w:rPr>
          <w:rFonts w:ascii="Arial" w:hAnsi="Arial" w:cs="Arial"/>
          <w:sz w:val="24"/>
          <w:szCs w:val="24"/>
        </w:rPr>
        <w:t>Methods</w:t>
      </w:r>
    </w:p>
    <w:p w14:paraId="691FCB9E" w14:textId="77777777" w:rsidR="001D19E7" w:rsidRDefault="001D19E7" w:rsidP="001D19E7">
      <w:pPr>
        <w:spacing w:after="0" w:line="480" w:lineRule="auto"/>
        <w:rPr>
          <w:rFonts w:ascii="Arial" w:hAnsi="Arial" w:cs="Arial"/>
          <w:b/>
          <w:sz w:val="24"/>
          <w:szCs w:val="24"/>
        </w:rPr>
      </w:pPr>
    </w:p>
    <w:p w14:paraId="45474EE6" w14:textId="3B8BAEE2" w:rsidR="0069762F" w:rsidRPr="0069762F" w:rsidRDefault="0069762F" w:rsidP="001D19E7">
      <w:pPr>
        <w:spacing w:after="0" w:line="480" w:lineRule="auto"/>
        <w:rPr>
          <w:rFonts w:ascii="Arial" w:hAnsi="Arial" w:cs="Arial"/>
          <w:sz w:val="24"/>
          <w:szCs w:val="24"/>
        </w:rPr>
      </w:pPr>
      <w:r>
        <w:rPr>
          <w:rFonts w:ascii="Arial" w:hAnsi="Arial" w:cs="Arial"/>
          <w:sz w:val="24"/>
          <w:szCs w:val="24"/>
        </w:rPr>
        <w:t>Prediction Models</w:t>
      </w:r>
    </w:p>
    <w:p w14:paraId="5246E485" w14:textId="77777777" w:rsidR="00FD1A1B" w:rsidRDefault="0069762F" w:rsidP="001D19E7">
      <w:pPr>
        <w:spacing w:after="0" w:line="480" w:lineRule="auto"/>
        <w:rPr>
          <w:rFonts w:ascii="Arial" w:hAnsi="Arial" w:cs="Arial"/>
          <w:sz w:val="24"/>
          <w:szCs w:val="24"/>
        </w:rPr>
      </w:pPr>
      <w:r>
        <w:rPr>
          <w:rFonts w:ascii="Arial" w:hAnsi="Arial" w:cs="Arial"/>
          <w:b/>
          <w:sz w:val="24"/>
          <w:szCs w:val="24"/>
        </w:rPr>
        <w:t xml:space="preserve">     </w:t>
      </w:r>
      <w:r w:rsidR="006504F6">
        <w:rPr>
          <w:rFonts w:ascii="Arial" w:hAnsi="Arial" w:cs="Arial"/>
          <w:sz w:val="24"/>
          <w:szCs w:val="24"/>
        </w:rPr>
        <w:t>Our p</w:t>
      </w:r>
      <w:r>
        <w:rPr>
          <w:rFonts w:ascii="Arial" w:hAnsi="Arial" w:cs="Arial"/>
          <w:sz w:val="24"/>
          <w:szCs w:val="24"/>
        </w:rPr>
        <w:t>rediction models use % of predicted rather than raw numbers, such as liters for FEV1</w:t>
      </w:r>
      <w:r w:rsidR="006504F6">
        <w:rPr>
          <w:rFonts w:ascii="Arial" w:hAnsi="Arial" w:cs="Arial"/>
          <w:sz w:val="24"/>
          <w:szCs w:val="24"/>
        </w:rPr>
        <w:t xml:space="preserve"> or ml/min/mm Hg for DLCO</w:t>
      </w:r>
      <w:r>
        <w:rPr>
          <w:rFonts w:ascii="Arial" w:hAnsi="Arial" w:cs="Arial"/>
          <w:sz w:val="24"/>
          <w:szCs w:val="24"/>
        </w:rPr>
        <w:t>.  The reasons for this are</w:t>
      </w:r>
      <w:r w:rsidR="006504F6">
        <w:rPr>
          <w:rFonts w:ascii="Arial" w:hAnsi="Arial" w:cs="Arial"/>
          <w:sz w:val="24"/>
          <w:szCs w:val="24"/>
        </w:rPr>
        <w:t xml:space="preserve"> several</w:t>
      </w:r>
      <w:r>
        <w:rPr>
          <w:rFonts w:ascii="Arial" w:hAnsi="Arial" w:cs="Arial"/>
          <w:sz w:val="24"/>
          <w:szCs w:val="24"/>
        </w:rPr>
        <w:t>.</w:t>
      </w:r>
      <w:r w:rsidR="006504F6">
        <w:rPr>
          <w:rFonts w:ascii="Arial" w:hAnsi="Arial" w:cs="Arial"/>
          <w:sz w:val="24"/>
          <w:szCs w:val="24"/>
        </w:rPr>
        <w:t xml:space="preserve">  </w:t>
      </w:r>
      <w:r>
        <w:rPr>
          <w:rFonts w:ascii="Arial" w:hAnsi="Arial" w:cs="Arial"/>
          <w:sz w:val="24"/>
          <w:szCs w:val="24"/>
        </w:rPr>
        <w:t xml:space="preserve">First, </w:t>
      </w:r>
      <w:r w:rsidR="006504F6">
        <w:rPr>
          <w:rFonts w:ascii="Arial" w:hAnsi="Arial" w:cs="Arial"/>
          <w:sz w:val="24"/>
          <w:szCs w:val="24"/>
        </w:rPr>
        <w:t xml:space="preserve">existing guidelines use % of </w:t>
      </w:r>
      <w:r w:rsidR="00D1751C">
        <w:rPr>
          <w:rFonts w:ascii="Arial" w:hAnsi="Arial" w:cs="Arial"/>
          <w:sz w:val="24"/>
          <w:szCs w:val="24"/>
        </w:rPr>
        <w:t>predicted</w:t>
      </w:r>
      <w:r w:rsidR="006504F6">
        <w:rPr>
          <w:rFonts w:ascii="Arial" w:hAnsi="Arial" w:cs="Arial"/>
          <w:sz w:val="24"/>
          <w:szCs w:val="24"/>
        </w:rPr>
        <w:t>.</w:t>
      </w:r>
      <w:r w:rsidR="006504F6">
        <w:rPr>
          <w:rFonts w:ascii="Arial" w:hAnsi="Arial" w:cs="Arial"/>
          <w:sz w:val="24"/>
          <w:szCs w:val="24"/>
        </w:rPr>
        <w:fldChar w:fldCharType="begin"/>
      </w:r>
      <w:r w:rsidR="006504F6">
        <w:rPr>
          <w:rFonts w:ascii="Arial" w:hAnsi="Arial" w:cs="Arial"/>
          <w:sz w:val="24"/>
          <w:szCs w:val="24"/>
        </w:rPr>
        <w:instrText xml:space="preserve"> ADDIN EN.CITE &lt;EndNote&gt;&lt;Cite&gt;&lt;Author&gt;Brunelli&lt;/Author&gt;&lt;Year&gt;2013&lt;/Year&gt;&lt;RecNum&gt;2250&lt;/RecNum&gt;&lt;DisplayText&gt;(1)&lt;/DisplayText&gt;&lt;record&gt;&lt;rec-number&gt;2250&lt;/rec-number&gt;&lt;foreign-keys&gt;&lt;key app="EN" db-id="pxstx0zxgapxfaewtpu525rgsp9dvp5vxs2d" timestamp="1407103796"&gt;2250&lt;/key&gt;&lt;/foreign-keys&gt;&lt;ref-type name="Journal Article"&gt;17&lt;/ref-type&gt;&lt;contributors&gt;&lt;authors&gt;&lt;author&gt;Brunelli, A.&lt;/author&gt;&lt;author&gt;Kim, A. W.&lt;/author&gt;&lt;author&gt;Berger, K. I.&lt;/author&gt;&lt;author&gt;Addrizzo-Harris, D. J.&lt;/author&gt;&lt;/authors&gt;&lt;/contributors&gt;&lt;auth-address&gt;Division of Thoracic Surgery, Ospedali Riuniti, Ancona, Italy.&lt;/auth-address&gt;&lt;titles&gt;&lt;title&gt;Physiologic evaluation of the patient with lung cancer being considered for resectional surgery: Diagnosis and management of lung cancer, 3rd ed: American College of Chest Physicians evidence-based clinical practice guidelines&lt;/title&gt;&lt;secondary-title&gt;Chest&lt;/secondary-title&gt;&lt;alt-title&gt;Chest&lt;/alt-title&gt;&lt;/titles&gt;&lt;periodical&gt;&lt;full-title&gt;Chest&lt;/full-title&gt;&lt;/periodical&gt;&lt;alt-periodical&gt;&lt;full-title&gt;Chest&lt;/full-title&gt;&lt;/alt-periodical&gt;&lt;pages&gt;e166S-90S&lt;/pages&gt;&lt;volume&gt;143&lt;/volume&gt;&lt;number&gt;5 Suppl&lt;/number&gt;&lt;edition&gt;2013/05/10&lt;/edition&gt;&lt;keywords&gt;&lt;keyword&gt;Age Factors&lt;/keyword&gt;&lt;keyword&gt;Exercise Test&lt;/keyword&gt;&lt;keyword&gt;Humans&lt;/keyword&gt;&lt;keyword&gt;Lung Neoplasms/*physiopathology/*surgery&lt;/keyword&gt;&lt;keyword&gt;Oxygen Consumption/physiology&lt;/keyword&gt;&lt;keyword&gt;Patient Care Team&lt;/keyword&gt;&lt;keyword&gt;Predictive Value of Tests&lt;/keyword&gt;&lt;keyword&gt;Preoperative Care&lt;/keyword&gt;&lt;keyword&gt;*Respiratory Function Tests&lt;/keyword&gt;&lt;keyword&gt;Risk Assessment&lt;/keyword&gt;&lt;/keywords&gt;&lt;dates&gt;&lt;year&gt;2013&lt;/year&gt;&lt;pub-dates&gt;&lt;date&gt;May&lt;/date&gt;&lt;/pub-dates&gt;&lt;/dates&gt;&lt;isbn&gt;1931-3543 (Electronic)&amp;#xD;0012-3692 (Linking)&lt;/isbn&gt;&lt;accession-num&gt;23649437&lt;/accession-num&gt;&lt;work-type&gt;Practice Guideline&amp;#xD;Research Support, Non-U.S. Gov&amp;apos;t&lt;/work-type&gt;&lt;urls&gt;&lt;related-urls&gt;&lt;url&gt;http://www.ncbi.nlm.nih.gov/pubmed/23649437&lt;/url&gt;&lt;/related-urls&gt;&lt;/urls&gt;&lt;electronic-resource-num&gt;10.1378/chest.12-2395&lt;/electronic-resource-num&gt;&lt;language&gt;eng&lt;/language&gt;&lt;/record&gt;&lt;/Cite&gt;&lt;/EndNote&gt;</w:instrText>
      </w:r>
      <w:r w:rsidR="006504F6">
        <w:rPr>
          <w:rFonts w:ascii="Arial" w:hAnsi="Arial" w:cs="Arial"/>
          <w:sz w:val="24"/>
          <w:szCs w:val="24"/>
        </w:rPr>
        <w:fldChar w:fldCharType="separate"/>
      </w:r>
      <w:r w:rsidR="006504F6">
        <w:rPr>
          <w:rFonts w:ascii="Arial" w:hAnsi="Arial" w:cs="Arial"/>
          <w:noProof/>
          <w:sz w:val="24"/>
          <w:szCs w:val="24"/>
        </w:rPr>
        <w:t>(1)</w:t>
      </w:r>
      <w:r w:rsidR="006504F6">
        <w:rPr>
          <w:rFonts w:ascii="Arial" w:hAnsi="Arial" w:cs="Arial"/>
          <w:sz w:val="24"/>
          <w:szCs w:val="24"/>
        </w:rPr>
        <w:fldChar w:fldCharType="end"/>
      </w:r>
      <w:r w:rsidR="006504F6">
        <w:rPr>
          <w:rFonts w:ascii="Arial" w:hAnsi="Arial" w:cs="Arial"/>
          <w:sz w:val="24"/>
          <w:szCs w:val="24"/>
        </w:rPr>
        <w:t xml:space="preserve">  U</w:t>
      </w:r>
      <w:r>
        <w:rPr>
          <w:rFonts w:ascii="Arial" w:hAnsi="Arial" w:cs="Arial"/>
          <w:sz w:val="24"/>
          <w:szCs w:val="24"/>
        </w:rPr>
        <w:t>sing liters for the postoperative value is not</w:t>
      </w:r>
      <w:r w:rsidR="006504F6">
        <w:rPr>
          <w:rFonts w:ascii="Arial" w:hAnsi="Arial" w:cs="Arial"/>
          <w:sz w:val="24"/>
          <w:szCs w:val="24"/>
        </w:rPr>
        <w:t xml:space="preserve"> as</w:t>
      </w:r>
      <w:r>
        <w:rPr>
          <w:rFonts w:ascii="Arial" w:hAnsi="Arial" w:cs="Arial"/>
          <w:sz w:val="24"/>
          <w:szCs w:val="24"/>
        </w:rPr>
        <w:t xml:space="preserve"> informative, since the same number may constitute a sufficient value of postoperative function for a smaller person while being insufficient for a larger person.  </w:t>
      </w:r>
      <w:r w:rsidR="006504F6">
        <w:rPr>
          <w:rFonts w:ascii="Arial" w:hAnsi="Arial" w:cs="Arial"/>
          <w:sz w:val="24"/>
          <w:szCs w:val="24"/>
        </w:rPr>
        <w:t>Using raw numbers</w:t>
      </w:r>
      <w:r>
        <w:rPr>
          <w:rFonts w:ascii="Arial" w:hAnsi="Arial" w:cs="Arial"/>
          <w:sz w:val="24"/>
          <w:szCs w:val="24"/>
        </w:rPr>
        <w:t xml:space="preserve"> makes graphical interpretation of the data less informative</w:t>
      </w:r>
      <w:r w:rsidR="006504F6">
        <w:rPr>
          <w:rFonts w:ascii="Arial" w:hAnsi="Arial" w:cs="Arial"/>
          <w:sz w:val="24"/>
          <w:szCs w:val="24"/>
        </w:rPr>
        <w:t xml:space="preserve"> and makes the LOA not as useful clinically</w:t>
      </w:r>
      <w:r>
        <w:rPr>
          <w:rFonts w:ascii="Arial" w:hAnsi="Arial" w:cs="Arial"/>
          <w:sz w:val="24"/>
          <w:szCs w:val="24"/>
        </w:rPr>
        <w:t xml:space="preserve">. </w:t>
      </w:r>
      <w:r w:rsidR="00500DE5">
        <w:rPr>
          <w:rFonts w:ascii="Arial" w:hAnsi="Arial" w:cs="Arial"/>
          <w:sz w:val="24"/>
          <w:szCs w:val="24"/>
        </w:rPr>
        <w:t>Second</w:t>
      </w:r>
      <w:r>
        <w:rPr>
          <w:rFonts w:ascii="Arial" w:hAnsi="Arial" w:cs="Arial"/>
          <w:sz w:val="24"/>
          <w:szCs w:val="24"/>
        </w:rPr>
        <w:t xml:space="preserve">, when assessing selection bias, it is easy to miss the impact of selection bias when you evaluate only the raw numbers rather than the % of predicted.  For example, consider the scatter plots in figure 5 and e-figures 1-3.  If we had </w:t>
      </w:r>
      <w:r w:rsidR="009E5855">
        <w:rPr>
          <w:rFonts w:ascii="Arial" w:hAnsi="Arial" w:cs="Arial"/>
          <w:sz w:val="24"/>
          <w:szCs w:val="24"/>
        </w:rPr>
        <w:t>used liters for FEV1 in</w:t>
      </w:r>
      <w:r>
        <w:rPr>
          <w:rFonts w:ascii="Arial" w:hAnsi="Arial" w:cs="Arial"/>
          <w:sz w:val="24"/>
          <w:szCs w:val="24"/>
        </w:rPr>
        <w:t xml:space="preserve"> the scatter plot</w:t>
      </w:r>
      <w:r w:rsidR="009E5855">
        <w:rPr>
          <w:rFonts w:ascii="Arial" w:hAnsi="Arial" w:cs="Arial"/>
          <w:sz w:val="24"/>
          <w:szCs w:val="24"/>
        </w:rPr>
        <w:t>,</w:t>
      </w:r>
      <w:r>
        <w:rPr>
          <w:rFonts w:ascii="Arial" w:hAnsi="Arial" w:cs="Arial"/>
          <w:sz w:val="24"/>
          <w:szCs w:val="24"/>
        </w:rPr>
        <w:t xml:space="preserve"> the truncation of the normal distribution would not be as </w:t>
      </w:r>
      <w:r w:rsidR="006504F6">
        <w:rPr>
          <w:rFonts w:ascii="Arial" w:hAnsi="Arial" w:cs="Arial"/>
          <w:sz w:val="24"/>
          <w:szCs w:val="24"/>
        </w:rPr>
        <w:t>obvious</w:t>
      </w:r>
      <w:r>
        <w:rPr>
          <w:rFonts w:ascii="Arial" w:hAnsi="Arial" w:cs="Arial"/>
          <w:sz w:val="24"/>
          <w:szCs w:val="24"/>
        </w:rPr>
        <w:t xml:space="preserve">.  Using % of predicted, it is clear that patients with ppo values </w:t>
      </w:r>
      <w:r w:rsidR="009E5855">
        <w:rPr>
          <w:rFonts w:ascii="Arial" w:hAnsi="Arial" w:cs="Arial"/>
          <w:sz w:val="24"/>
          <w:szCs w:val="24"/>
        </w:rPr>
        <w:t>under 40% are not likely to get surgery</w:t>
      </w:r>
      <w:r>
        <w:rPr>
          <w:rFonts w:ascii="Arial" w:hAnsi="Arial" w:cs="Arial"/>
          <w:sz w:val="24"/>
          <w:szCs w:val="24"/>
        </w:rPr>
        <w:t>.  But i</w:t>
      </w:r>
      <w:r w:rsidR="006504F6">
        <w:rPr>
          <w:rFonts w:ascii="Arial" w:hAnsi="Arial" w:cs="Arial"/>
          <w:sz w:val="24"/>
          <w:szCs w:val="24"/>
        </w:rPr>
        <w:t xml:space="preserve">f you use liters for FEV1, because there is wide variation in patient height and weight, the truncation becomes less obvious unless you plot the distribution in 3 or 4 dimensions. </w:t>
      </w:r>
      <w:r w:rsidR="00FD1A1B">
        <w:rPr>
          <w:rFonts w:ascii="Arial" w:hAnsi="Arial" w:cs="Arial"/>
          <w:sz w:val="24"/>
          <w:szCs w:val="24"/>
        </w:rPr>
        <w:t xml:space="preserve">There is still selection bias present, but the bias is not based on a metric that uses liters, but rather on a metric based on % of predicted. </w:t>
      </w:r>
      <w:r w:rsidR="006504F6">
        <w:rPr>
          <w:rFonts w:ascii="Arial" w:hAnsi="Arial" w:cs="Arial"/>
          <w:sz w:val="24"/>
          <w:szCs w:val="24"/>
        </w:rPr>
        <w:t>The same applies for DLCO.</w:t>
      </w:r>
    </w:p>
    <w:p w14:paraId="5BAA9E67" w14:textId="3171B19B" w:rsidR="0069762F" w:rsidRDefault="00FD1A1B" w:rsidP="001D19E7">
      <w:pPr>
        <w:spacing w:after="0" w:line="480" w:lineRule="auto"/>
        <w:rPr>
          <w:rFonts w:ascii="Arial" w:hAnsi="Arial" w:cs="Arial"/>
          <w:sz w:val="24"/>
          <w:szCs w:val="24"/>
        </w:rPr>
      </w:pPr>
      <w:r>
        <w:rPr>
          <w:rFonts w:ascii="Arial" w:hAnsi="Arial" w:cs="Arial"/>
          <w:sz w:val="24"/>
          <w:szCs w:val="24"/>
        </w:rPr>
        <w:t xml:space="preserve">     </w:t>
      </w:r>
      <w:r w:rsidR="009E5855">
        <w:rPr>
          <w:rFonts w:ascii="Arial" w:hAnsi="Arial" w:cs="Arial"/>
          <w:sz w:val="24"/>
          <w:szCs w:val="24"/>
        </w:rPr>
        <w:t>We can verify this by looking at the scatter plots from other studies. Scatter plots from studies that use liters for FEV1 rather than % of predicted do not demonstrate truncation as clearly,</w:t>
      </w:r>
      <w:r w:rsidR="009E5855">
        <w:rPr>
          <w:rFonts w:ascii="Arial" w:hAnsi="Arial" w:cs="Arial"/>
          <w:sz w:val="24"/>
          <w:szCs w:val="24"/>
        </w:rPr>
        <w:fldChar w:fldCharType="begin"/>
      </w:r>
      <w:r w:rsidR="009E5855">
        <w:rPr>
          <w:rFonts w:ascii="Arial" w:hAnsi="Arial" w:cs="Arial"/>
          <w:sz w:val="24"/>
          <w:szCs w:val="24"/>
        </w:rPr>
        <w:instrText xml:space="preserve"> ADDIN EN.CITE &lt;EndNote&gt;&lt;Cite&gt;&lt;Author&gt;Bolliger&lt;/Author&gt;&lt;Year&gt;2002&lt;/Year&gt;&lt;RecNum&gt;2867&lt;/RecNum&gt;&lt;DisplayText&gt;(2)&lt;/DisplayText&gt;&lt;record&gt;&lt;rec-number&gt;2867&lt;/rec-number&gt;&lt;foreign-keys&gt;&lt;key app="EN" db-id="pxstx0zxgapxfaewtpu525rgsp9dvp5vxs2d" timestamp="1471279992"&gt;2867&lt;/key&gt;&lt;/foreign-keys&gt;&lt;ref-type name="Journal Article"&gt;17&lt;/ref-type&gt;&lt;contributors&gt;&lt;authors&gt;&lt;author&gt;Bolliger, C. T.&lt;/author&gt;&lt;author&gt;Guckel, C.&lt;/author&gt;&lt;author&gt;Engel, H.&lt;/author&gt;&lt;author&gt;Stohr, S.&lt;/author&gt;&lt;author&gt;Wyser, C. P.&lt;/author&gt;&lt;author&gt;Schoetzau, A.&lt;/author&gt;&lt;author&gt;Habicht, J.&lt;/author&gt;&lt;author&gt;Soler, M.&lt;/author&gt;&lt;author&gt;Tamm, M.&lt;/author&gt;&lt;author&gt;Perruchoud, A. P.&lt;/author&gt;&lt;/authors&gt;&lt;/contributors&gt;&lt;auth-address&gt;Respiratory Division, Department of Internal Medicine, Institute of Nuclear Medicine, Department of Surgery, University Hospital, Basel, Switzerland. ctb@sun.ac.za&lt;/auth-address&gt;&lt;titles&gt;&lt;title&gt;Prediction of functional reserves after lung resection: comparison between quantitative computed tomography, scintigraphy, and anatomy&lt;/title&gt;&lt;secondary-title&gt;Respiration&lt;/secondary-title&gt;&lt;/titles&gt;&lt;periodical&gt;&lt;full-title&gt;Respiration&lt;/full-title&gt;&lt;/periodical&gt;&lt;pages&gt;482-9&lt;/pages&gt;&lt;volume&gt;69&lt;/volume&gt;&lt;number&gt;6&lt;/number&gt;&lt;keywords&gt;&lt;keyword&gt;Aged&lt;/keyword&gt;&lt;keyword&gt;Female&lt;/keyword&gt;&lt;keyword&gt;Forced Expiratory Volume&lt;/keyword&gt;&lt;keyword&gt;Humans&lt;/keyword&gt;&lt;keyword&gt;Lung/radiography/radionuclide imaging&lt;/keyword&gt;&lt;keyword&gt;Male&lt;/keyword&gt;&lt;keyword&gt;Middle Aged&lt;/keyword&gt;&lt;keyword&gt;Oxygen Consumption&lt;/keyword&gt;&lt;keyword&gt;*Pneumonectomy&lt;/keyword&gt;&lt;keyword&gt;Postoperative Period&lt;/keyword&gt;&lt;keyword&gt;Prospective Studies&lt;/keyword&gt;&lt;keyword&gt;*Respiratory Function Tests&lt;/keyword&gt;&lt;keyword&gt;Spirometry&lt;/keyword&gt;&lt;keyword&gt;Tomography, X-Ray Computed&lt;/keyword&gt;&lt;keyword&gt;Vital Capacity&lt;/keyword&gt;&lt;/keywords&gt;&lt;dates&gt;&lt;year&gt;2002&lt;/year&gt;&lt;/dates&gt;&lt;isbn&gt;0025-7931 (Print)&amp;#xD;0025-7931 (Linking)&lt;/isbn&gt;&lt;accession-num&gt;12456999&lt;/accession-num&gt;&lt;urls&gt;&lt;related-urls&gt;&lt;url&gt;http://www.ncbi.nlm.nih.gov/pubmed/12456999&lt;/url&gt;&lt;/related-urls&gt;&lt;/urls&gt;&lt;electronic-resource-num&gt;66474&lt;/electronic-resource-num&gt;&lt;/record&gt;&lt;/Cite&gt;&lt;/EndNote&gt;</w:instrText>
      </w:r>
      <w:r w:rsidR="009E5855">
        <w:rPr>
          <w:rFonts w:ascii="Arial" w:hAnsi="Arial" w:cs="Arial"/>
          <w:sz w:val="24"/>
          <w:szCs w:val="24"/>
        </w:rPr>
        <w:fldChar w:fldCharType="separate"/>
      </w:r>
      <w:r w:rsidR="009E5855">
        <w:rPr>
          <w:rFonts w:ascii="Arial" w:hAnsi="Arial" w:cs="Arial"/>
          <w:noProof/>
          <w:sz w:val="24"/>
          <w:szCs w:val="24"/>
        </w:rPr>
        <w:t>(2)</w:t>
      </w:r>
      <w:r w:rsidR="009E5855">
        <w:rPr>
          <w:rFonts w:ascii="Arial" w:hAnsi="Arial" w:cs="Arial"/>
          <w:sz w:val="24"/>
          <w:szCs w:val="24"/>
        </w:rPr>
        <w:fldChar w:fldCharType="end"/>
      </w:r>
      <w:r w:rsidR="009E5855">
        <w:rPr>
          <w:rFonts w:ascii="Arial" w:hAnsi="Arial" w:cs="Arial"/>
          <w:sz w:val="24"/>
          <w:szCs w:val="24"/>
        </w:rPr>
        <w:t xml:space="preserve"> since no single number in liters constitutes the prediction threshold below which surgery would be ill advised.  Conversely, those studies that use </w:t>
      </w:r>
      <w:r w:rsidR="009E5855">
        <w:rPr>
          <w:rFonts w:ascii="Arial" w:hAnsi="Arial" w:cs="Arial"/>
          <w:sz w:val="24"/>
          <w:szCs w:val="24"/>
        </w:rPr>
        <w:lastRenderedPageBreak/>
        <w:t>% predicted demonstrate truncation in their scatter plots</w:t>
      </w:r>
      <w:r>
        <w:rPr>
          <w:rFonts w:ascii="Arial" w:hAnsi="Arial" w:cs="Arial"/>
          <w:sz w:val="24"/>
          <w:szCs w:val="24"/>
        </w:rPr>
        <w:t xml:space="preserve"> </w:t>
      </w:r>
      <w:r w:rsidR="009E5855">
        <w:rPr>
          <w:rFonts w:ascii="Arial" w:hAnsi="Arial" w:cs="Arial"/>
          <w:sz w:val="24"/>
          <w:szCs w:val="24"/>
        </w:rPr>
        <w:fldChar w:fldCharType="begin">
          <w:fldData xml:space="preserve">PEVuZE5vdGU+PENpdGU+PEF1dGhvcj5PaG5vPC9BdXRob3I+PFllYXI+MjAxNTwvWWVhcj48UmVj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</w:fldData>
        </w:fldChar>
      </w:r>
      <w:r w:rsidR="009E5855">
        <w:rPr>
          <w:rFonts w:ascii="Arial" w:hAnsi="Arial" w:cs="Arial"/>
          <w:sz w:val="24"/>
          <w:szCs w:val="24"/>
        </w:rPr>
        <w:instrText xml:space="preserve"> ADDIN EN.CITE </w:instrText>
      </w:r>
      <w:r w:rsidR="009E5855">
        <w:rPr>
          <w:rFonts w:ascii="Arial" w:hAnsi="Arial" w:cs="Arial"/>
          <w:sz w:val="24"/>
          <w:szCs w:val="24"/>
        </w:rPr>
        <w:fldChar w:fldCharType="begin">
          <w:fldData xml:space="preserve">PEVuZE5vdGU+PENpdGU+PEF1dGhvcj5PaG5vPC9BdXRob3I+PFllYXI+MjAxNTwvWWVhcj48UmVj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</w:fldData>
        </w:fldChar>
      </w:r>
      <w:r w:rsidR="009E5855">
        <w:rPr>
          <w:rFonts w:ascii="Arial" w:hAnsi="Arial" w:cs="Arial"/>
          <w:sz w:val="24"/>
          <w:szCs w:val="24"/>
        </w:rPr>
        <w:instrText xml:space="preserve"> ADDIN EN.CITE.DATA </w:instrText>
      </w:r>
      <w:r w:rsidR="009E5855">
        <w:rPr>
          <w:rFonts w:ascii="Arial" w:hAnsi="Arial" w:cs="Arial"/>
          <w:sz w:val="24"/>
          <w:szCs w:val="24"/>
        </w:rPr>
      </w:r>
      <w:r w:rsidR="009E5855">
        <w:rPr>
          <w:rFonts w:ascii="Arial" w:hAnsi="Arial" w:cs="Arial"/>
          <w:sz w:val="24"/>
          <w:szCs w:val="24"/>
        </w:rPr>
        <w:fldChar w:fldCharType="end"/>
      </w:r>
      <w:r w:rsidR="009E5855">
        <w:rPr>
          <w:rFonts w:ascii="Arial" w:hAnsi="Arial" w:cs="Arial"/>
          <w:sz w:val="24"/>
          <w:szCs w:val="24"/>
        </w:rPr>
      </w:r>
      <w:r w:rsidR="009E5855">
        <w:rPr>
          <w:rFonts w:ascii="Arial" w:hAnsi="Arial" w:cs="Arial"/>
          <w:sz w:val="24"/>
          <w:szCs w:val="24"/>
        </w:rPr>
        <w:fldChar w:fldCharType="separate"/>
      </w:r>
      <w:r w:rsidR="009E5855">
        <w:rPr>
          <w:rFonts w:ascii="Arial" w:hAnsi="Arial" w:cs="Arial"/>
          <w:noProof/>
          <w:sz w:val="24"/>
          <w:szCs w:val="24"/>
        </w:rPr>
        <w:t>(3)</w:t>
      </w:r>
      <w:r w:rsidR="009E5855">
        <w:rPr>
          <w:rFonts w:ascii="Arial" w:hAnsi="Arial" w:cs="Arial"/>
          <w:sz w:val="24"/>
          <w:szCs w:val="24"/>
        </w:rPr>
        <w:fldChar w:fldCharType="end"/>
      </w:r>
      <w:r w:rsidR="009E5855">
        <w:rPr>
          <w:rFonts w:ascii="Arial" w:hAnsi="Arial" w:cs="Arial"/>
          <w:sz w:val="24"/>
          <w:szCs w:val="24"/>
        </w:rPr>
        <w:t xml:space="preserve">, with the thresholds corresponding to </w:t>
      </w:r>
      <w:r>
        <w:rPr>
          <w:rFonts w:ascii="Arial" w:hAnsi="Arial" w:cs="Arial"/>
          <w:sz w:val="24"/>
          <w:szCs w:val="24"/>
        </w:rPr>
        <w:t>local</w:t>
      </w:r>
      <w:r w:rsidR="009E5855">
        <w:rPr>
          <w:rFonts w:ascii="Arial" w:hAnsi="Arial" w:cs="Arial"/>
          <w:sz w:val="24"/>
          <w:szCs w:val="24"/>
        </w:rPr>
        <w:t xml:space="preserve"> clinical practice guidelines (e.g. 30% of predicted).  </w:t>
      </w:r>
    </w:p>
    <w:p w14:paraId="093E5E94" w14:textId="77777777" w:rsidR="0069762F" w:rsidRPr="0069762F" w:rsidRDefault="0069762F" w:rsidP="001D19E7">
      <w:pPr>
        <w:spacing w:after="0" w:line="480" w:lineRule="auto"/>
        <w:rPr>
          <w:rFonts w:ascii="Arial" w:hAnsi="Arial" w:cs="Arial"/>
          <w:sz w:val="24"/>
          <w:szCs w:val="24"/>
        </w:rPr>
      </w:pPr>
    </w:p>
    <w:p w14:paraId="3BF081A8" w14:textId="7A483B71" w:rsidR="007F2135" w:rsidRDefault="007F2135" w:rsidP="0013524F">
      <w:pPr>
        <w:spacing w:after="0" w:line="480" w:lineRule="auto"/>
        <w:rPr>
          <w:rFonts w:ascii="Arial" w:hAnsi="Arial" w:cs="Arial"/>
          <w:sz w:val="24"/>
          <w:szCs w:val="24"/>
        </w:rPr>
      </w:pPr>
      <w:r>
        <w:rPr>
          <w:rFonts w:ascii="Arial" w:hAnsi="Arial" w:cs="Arial"/>
          <w:sz w:val="24"/>
          <w:szCs w:val="24"/>
        </w:rPr>
        <w:t>Assessing and Correcting for Selection Bias</w:t>
      </w:r>
    </w:p>
    <w:p w14:paraId="0737767E" w14:textId="77777777" w:rsidR="007F2135" w:rsidRDefault="007F2135" w:rsidP="007F2135">
      <w:pPr>
        <w:spacing w:after="0" w:line="480" w:lineRule="auto"/>
        <w:rPr>
          <w:rFonts w:ascii="Arial" w:hAnsi="Arial" w:cs="Arial"/>
          <w:sz w:val="24"/>
          <w:szCs w:val="24"/>
        </w:rPr>
      </w:pPr>
      <w:r>
        <w:rPr>
          <w:rFonts w:ascii="Arial" w:hAnsi="Arial" w:cs="Arial"/>
          <w:sz w:val="24"/>
          <w:szCs w:val="24"/>
        </w:rPr>
        <w:t xml:space="preserve">     Because MDACC is a tertiary referral center, many patients have all their follow-up care provided locally.  Because of this only a fraction of patients return for longitudinal care.  This is not problematic in terms of analyzing the data if we look only at patients that had surgery (Cohort A) since the data is missing completely at random (MCAR).  However, it leads to a problem when including surgical candidates that did not have surgery because of limited pulmonary reserve, since we do not know which patients would have returned and which would have had their care locally.  We cannot include all of them since this would overweight the natural distribution towards the low end of the spectrum.  But we do know the percentage of patients that returned for longitudinal care among patients that had surgery.  We therefore randomly selected the same percentage of non-surgery patients to combine with the surgery patients to generate cohort B.</w:t>
      </w:r>
    </w:p>
    <w:p w14:paraId="14AADF61" w14:textId="77777777" w:rsidR="007F2135" w:rsidRDefault="007F2135" w:rsidP="0013524F">
      <w:pPr>
        <w:spacing w:after="0" w:line="480" w:lineRule="auto"/>
        <w:rPr>
          <w:rFonts w:ascii="Arial" w:hAnsi="Arial" w:cs="Arial"/>
          <w:sz w:val="24"/>
          <w:szCs w:val="24"/>
        </w:rPr>
      </w:pPr>
    </w:p>
    <w:p w14:paraId="03D3536E" w14:textId="77777777" w:rsidR="0013524F" w:rsidRPr="0013524F" w:rsidRDefault="0013524F" w:rsidP="0013524F">
      <w:pPr>
        <w:spacing w:after="0" w:line="480" w:lineRule="auto"/>
        <w:rPr>
          <w:rFonts w:ascii="Arial" w:hAnsi="Arial" w:cs="Arial"/>
          <w:sz w:val="24"/>
          <w:szCs w:val="24"/>
        </w:rPr>
      </w:pPr>
      <w:r>
        <w:rPr>
          <w:rFonts w:ascii="Arial" w:hAnsi="Arial" w:cs="Arial"/>
          <w:sz w:val="24"/>
          <w:szCs w:val="24"/>
        </w:rPr>
        <w:t>Multiple Imputation</w:t>
      </w:r>
    </w:p>
    <w:p w14:paraId="5D344D12" w14:textId="77777777" w:rsidR="0013524F" w:rsidRPr="001D19E7" w:rsidRDefault="001D19E7" w:rsidP="001D19E7">
      <w:pPr>
        <w:pStyle w:val="BodyText"/>
      </w:pPr>
      <w:r w:rsidRPr="001D19E7">
        <w:t xml:space="preserve">     In cohort B, patients that did not have surgery due to limited pulmonary reserve had preoperative data and predictions but no postoperative FEV1 or DLCO.  It was therefore necessary to impute what the postoperative values would have been had surgery been performed.  We did this by using the multiple imputation method (proc MI procedure in SAS).</w:t>
      </w:r>
    </w:p>
    <w:p w14:paraId="3A7D8887" w14:textId="5C0A976B" w:rsidR="00F02631" w:rsidRDefault="001D19E7" w:rsidP="001D19E7">
      <w:pPr>
        <w:spacing w:after="0" w:line="480" w:lineRule="auto"/>
        <w:rPr>
          <w:rFonts w:ascii="Arial" w:hAnsi="Arial" w:cs="Arial"/>
          <w:sz w:val="24"/>
          <w:szCs w:val="24"/>
        </w:rPr>
      </w:pPr>
      <w:r w:rsidRPr="001D19E7">
        <w:rPr>
          <w:rFonts w:ascii="Arial" w:hAnsi="Arial" w:cs="Arial"/>
          <w:sz w:val="24"/>
          <w:szCs w:val="24"/>
        </w:rPr>
        <w:lastRenderedPageBreak/>
        <w:t xml:space="preserve">     The </w:t>
      </w:r>
      <w:r w:rsidRPr="001D19E7">
        <w:rPr>
          <w:rFonts w:ascii="Arial" w:hAnsi="Arial" w:cs="Arial"/>
          <w:color w:val="000000"/>
          <w:sz w:val="24"/>
          <w:szCs w:val="24"/>
        </w:rPr>
        <w:t xml:space="preserve">SAS multiple imputation procedure assumes that the missing data is missing at random (MAR), that is, the probability that an observation is missing may depend on the observed part of the data </w:t>
      </w:r>
      <w:r w:rsidR="00C51E0A">
        <w:rPr>
          <w:rFonts w:ascii="Arial" w:hAnsi="Arial" w:cs="Arial"/>
          <w:color w:val="000000"/>
          <w:sz w:val="24"/>
          <w:szCs w:val="24"/>
        </w:rPr>
        <w:t>but not on a missing part of the data</w:t>
      </w:r>
      <w:r w:rsidRPr="001D19E7">
        <w:rPr>
          <w:rFonts w:ascii="Arial" w:hAnsi="Arial" w:cs="Arial"/>
          <w:color w:val="000000"/>
          <w:sz w:val="24"/>
          <w:szCs w:val="24"/>
        </w:rPr>
        <w:t>.</w:t>
      </w:r>
      <w:r w:rsidRPr="001D19E7">
        <w:rPr>
          <w:rFonts w:ascii="Arial" w:hAnsi="Arial" w:cs="Arial"/>
          <w:color w:val="000000"/>
          <w:sz w:val="24"/>
          <w:szCs w:val="24"/>
        </w:rPr>
        <w:fldChar w:fldCharType="begin"/>
      </w:r>
      <w:r w:rsidR="009E5855">
        <w:rPr>
          <w:rFonts w:ascii="Arial" w:hAnsi="Arial" w:cs="Arial"/>
          <w:color w:val="000000"/>
          <w:sz w:val="24"/>
          <w:szCs w:val="24"/>
        </w:rPr>
        <w:instrText xml:space="preserve"> ADDIN EN.CITE &lt;EndNote&gt;&lt;Cite&gt;&lt;Author&gt;SAS Institute Inc.&lt;/Author&gt;&lt;Year&gt;2015&lt;/Year&gt;&lt;RecNum&gt;3158&lt;/RecNum&gt;&lt;DisplayText&gt;(4)&lt;/DisplayText&gt;&lt;record&gt;&lt;rec-number&gt;3158&lt;/rec-number&gt;&lt;foreign-keys&gt;&lt;key app="EN" db-id="pxstx0zxgapxfaewtpu525rgsp9dvp5vxs2d" timestamp="1489026258"&gt;3158&lt;/key&gt;&lt;/foreign-keys&gt;&lt;ref-type name="Book Section"&gt;5&lt;/ref-type&gt;&lt;contributors&gt;&lt;authors&gt;&lt;author&gt;SAS Institute Inc.,&lt;/author&gt;&lt;/authors&gt;&lt;/contributors&gt;&lt;titles&gt;&lt;title&gt;The MI Procedure&lt;/title&gt;&lt;secondary-title&gt;SAS/STAT 14.1 User&amp;apos;s Guide&lt;/secondary-title&gt;&lt;/titles&gt;&lt;pages&gt;5918-5919&lt;/pages&gt;&lt;section&gt;75&lt;/section&gt;&lt;dates&gt;&lt;year&gt;2015&lt;/year&gt;&lt;/dates&gt;&lt;pub-location&gt;Cary, NC&lt;/pub-location&gt;&lt;publisher&gt;SAS Institute, Inc.&lt;/publisher&gt;&lt;urls&gt;&lt;/urls&gt;&lt;/record&gt;&lt;/Cite&gt;&lt;/EndNote&gt;</w:instrText>
      </w:r>
      <w:r w:rsidRPr="001D19E7">
        <w:rPr>
          <w:rFonts w:ascii="Arial" w:hAnsi="Arial" w:cs="Arial"/>
          <w:color w:val="000000"/>
          <w:sz w:val="24"/>
          <w:szCs w:val="24"/>
        </w:rPr>
        <w:fldChar w:fldCharType="separate"/>
      </w:r>
      <w:r w:rsidR="009E5855">
        <w:rPr>
          <w:rFonts w:ascii="Arial" w:hAnsi="Arial" w:cs="Arial"/>
          <w:noProof/>
          <w:color w:val="000000"/>
          <w:sz w:val="24"/>
          <w:szCs w:val="24"/>
        </w:rPr>
        <w:t>(4)</w:t>
      </w:r>
      <w:r w:rsidRPr="001D19E7">
        <w:rPr>
          <w:rFonts w:ascii="Arial" w:hAnsi="Arial" w:cs="Arial"/>
          <w:color w:val="000000"/>
          <w:sz w:val="24"/>
          <w:szCs w:val="24"/>
        </w:rPr>
        <w:fldChar w:fldCharType="end"/>
      </w:r>
      <w:r w:rsidRPr="001D19E7">
        <w:rPr>
          <w:rFonts w:ascii="Arial" w:hAnsi="Arial" w:cs="Arial"/>
          <w:color w:val="000000"/>
          <w:sz w:val="24"/>
          <w:szCs w:val="24"/>
        </w:rPr>
        <w:t xml:space="preserve">  </w:t>
      </w:r>
      <w:r w:rsidR="00C51E0A">
        <w:rPr>
          <w:rFonts w:ascii="Arial" w:hAnsi="Arial" w:cs="Arial"/>
          <w:color w:val="000000"/>
          <w:sz w:val="24"/>
          <w:szCs w:val="24"/>
        </w:rPr>
        <w:t xml:space="preserve">So it is </w:t>
      </w:r>
      <w:r w:rsidR="006A494E">
        <w:rPr>
          <w:rFonts w:ascii="Arial" w:hAnsi="Arial" w:cs="Arial"/>
          <w:color w:val="000000"/>
          <w:sz w:val="24"/>
          <w:szCs w:val="24"/>
        </w:rPr>
        <w:t>acceptable</w:t>
      </w:r>
      <w:r w:rsidR="00C51E0A">
        <w:rPr>
          <w:rFonts w:ascii="Arial" w:hAnsi="Arial" w:cs="Arial"/>
          <w:color w:val="000000"/>
          <w:sz w:val="24"/>
          <w:szCs w:val="24"/>
        </w:rPr>
        <w:t xml:space="preserve"> if the</w:t>
      </w:r>
      <w:r w:rsidR="00C51E0A" w:rsidRPr="001D19E7">
        <w:rPr>
          <w:rFonts w:ascii="Arial" w:hAnsi="Arial" w:cs="Arial"/>
          <w:color w:val="000000"/>
          <w:sz w:val="24"/>
          <w:szCs w:val="24"/>
        </w:rPr>
        <w:t xml:space="preserve"> missing postoperative FEV1 depend</w:t>
      </w:r>
      <w:r w:rsidR="00C51E0A">
        <w:rPr>
          <w:rFonts w:ascii="Arial" w:hAnsi="Arial" w:cs="Arial"/>
          <w:color w:val="000000"/>
          <w:sz w:val="24"/>
          <w:szCs w:val="24"/>
        </w:rPr>
        <w:t>s</w:t>
      </w:r>
      <w:r w:rsidR="00C51E0A" w:rsidRPr="001D19E7">
        <w:rPr>
          <w:rFonts w:ascii="Arial" w:hAnsi="Arial" w:cs="Arial"/>
          <w:color w:val="000000"/>
          <w:sz w:val="24"/>
          <w:szCs w:val="24"/>
        </w:rPr>
        <w:t xml:space="preserve"> on ppoFEV1 </w:t>
      </w:r>
      <w:r w:rsidR="00C51E0A">
        <w:rPr>
          <w:rFonts w:ascii="Arial" w:hAnsi="Arial" w:cs="Arial"/>
          <w:color w:val="000000"/>
          <w:sz w:val="24"/>
          <w:szCs w:val="24"/>
        </w:rPr>
        <w:t>using the quantitative perfusion (Q) or the</w:t>
      </w:r>
      <w:r w:rsidR="00C51E0A" w:rsidRPr="001D19E7">
        <w:rPr>
          <w:rFonts w:ascii="Arial" w:hAnsi="Arial" w:cs="Arial"/>
          <w:color w:val="000000"/>
          <w:sz w:val="24"/>
          <w:szCs w:val="24"/>
        </w:rPr>
        <w:t xml:space="preserve"> </w:t>
      </w:r>
      <w:r w:rsidR="00C51E0A">
        <w:rPr>
          <w:rFonts w:ascii="Arial" w:hAnsi="Arial" w:cs="Arial"/>
          <w:color w:val="000000"/>
          <w:sz w:val="24"/>
          <w:szCs w:val="24"/>
        </w:rPr>
        <w:t>segment counting 18 (SC18) or segments counting 19 (SC19) methods.</w:t>
      </w:r>
      <w:r w:rsidR="00C51E0A" w:rsidRPr="001D19E7">
        <w:rPr>
          <w:rFonts w:ascii="Arial" w:hAnsi="Arial" w:cs="Arial"/>
          <w:sz w:val="24"/>
          <w:szCs w:val="24"/>
        </w:rPr>
        <w:t xml:space="preserve"> </w:t>
      </w:r>
      <w:r w:rsidRPr="001D19E7">
        <w:rPr>
          <w:rFonts w:ascii="Arial" w:hAnsi="Arial" w:cs="Arial"/>
          <w:sz w:val="24"/>
          <w:szCs w:val="24"/>
        </w:rPr>
        <w:t xml:space="preserve">There were 4 variables associated with FEV1: the actual postoperative FEV1 and three different predictions of it (Q, SC18, and SC19 models).  Patients that had surgery had all 4 of these variables while patients that did not have surgery had 3 of these variables. </w:t>
      </w:r>
      <w:r w:rsidRPr="001D19E7">
        <w:rPr>
          <w:rFonts w:ascii="Arial" w:hAnsi="Arial" w:cs="Arial"/>
          <w:color w:val="000000"/>
          <w:sz w:val="24"/>
          <w:szCs w:val="24"/>
        </w:rPr>
        <w:t xml:space="preserve">We used a parametric regression method for monotone missing data patterns for FEV1 imputation.  </w:t>
      </w:r>
      <w:r w:rsidRPr="001D19E7">
        <w:rPr>
          <w:rFonts w:ascii="Arial" w:hAnsi="Arial" w:cs="Arial"/>
          <w:sz w:val="24"/>
          <w:szCs w:val="24"/>
        </w:rPr>
        <w:t>Using the data from the patients that had surgery, we fit a model where actual postoperative FEV1 was the dependent variable and the other three variables (ppoFEV1 using Q, SC18, and SC19 models) were the independent variables.  For each variable with missing values, the previous variables were used as covariates. The process was then repeated sequentially for variables with missing values</w:t>
      </w:r>
      <w:r w:rsidR="00F02631">
        <w:rPr>
          <w:rFonts w:ascii="Arial" w:hAnsi="Arial" w:cs="Arial"/>
          <w:sz w:val="24"/>
          <w:szCs w:val="24"/>
        </w:rPr>
        <w:t>.</w:t>
      </w:r>
    </w:p>
    <w:p w14:paraId="7CEB667A" w14:textId="14D634A4" w:rsidR="001D19E7" w:rsidRPr="001D19E7" w:rsidRDefault="00F02631" w:rsidP="001D19E7">
      <w:pPr>
        <w:spacing w:after="0" w:line="480" w:lineRule="auto"/>
        <w:rPr>
          <w:rFonts w:ascii="Arial" w:hAnsi="Arial" w:cs="Arial"/>
          <w:sz w:val="24"/>
          <w:szCs w:val="24"/>
        </w:rPr>
      </w:pPr>
      <w:r>
        <w:rPr>
          <w:rFonts w:ascii="Arial" w:hAnsi="Arial" w:cs="Arial"/>
          <w:sz w:val="24"/>
          <w:szCs w:val="24"/>
        </w:rPr>
        <w:t xml:space="preserve">     </w:t>
      </w:r>
      <w:r w:rsidR="001D19E7" w:rsidRPr="001D19E7">
        <w:rPr>
          <w:rFonts w:ascii="Arial" w:hAnsi="Arial" w:cs="Arial"/>
          <w:sz w:val="24"/>
          <w:szCs w:val="24"/>
        </w:rPr>
        <w:t>We generated 30 sets of imputed data</w:t>
      </w:r>
      <w:r w:rsidR="001D19E7">
        <w:rPr>
          <w:rFonts w:ascii="Arial" w:hAnsi="Arial" w:cs="Arial"/>
          <w:sz w:val="24"/>
          <w:szCs w:val="24"/>
        </w:rPr>
        <w:t>.</w:t>
      </w:r>
      <w:r w:rsidR="001D19E7" w:rsidRPr="001D19E7">
        <w:rPr>
          <w:rFonts w:ascii="Arial" w:hAnsi="Arial" w:cs="Arial"/>
          <w:sz w:val="24"/>
          <w:szCs w:val="24"/>
        </w:rPr>
        <w:t xml:space="preserve"> </w:t>
      </w:r>
      <w:r w:rsidR="001D19E7">
        <w:rPr>
          <w:rFonts w:ascii="Arial" w:hAnsi="Arial" w:cs="Arial"/>
          <w:sz w:val="24"/>
          <w:szCs w:val="24"/>
        </w:rPr>
        <w:t xml:space="preserve"> </w:t>
      </w:r>
      <w:r w:rsidR="001D19E7" w:rsidRPr="001D19E7">
        <w:rPr>
          <w:rFonts w:ascii="Arial" w:hAnsi="Arial" w:cs="Arial"/>
          <w:sz w:val="24"/>
          <w:szCs w:val="24"/>
        </w:rPr>
        <w:t>The statistical efficiency of multiple imputation methods is maximized when the number of repetitions</w:t>
      </w:r>
      <w:r>
        <w:rPr>
          <w:rFonts w:ascii="Arial" w:hAnsi="Arial" w:cs="Arial"/>
          <w:sz w:val="24"/>
          <w:szCs w:val="24"/>
        </w:rPr>
        <w:t xml:space="preserve"> (M)</w:t>
      </w:r>
      <w:r w:rsidR="001D19E7" w:rsidRPr="001D19E7">
        <w:rPr>
          <w:rFonts w:ascii="Arial" w:hAnsi="Arial" w:cs="Arial"/>
          <w:sz w:val="24"/>
          <w:szCs w:val="24"/>
        </w:rPr>
        <w:t xml:space="preserve"> is infinite.  If the fraction of missing information is modest (&lt;20%), multiple imputation methods based on as few as M=5 or M=10 repetitions will achieve &gt;96% of the maximum statistical efficiency.  However, for inferential goals, such as confidence intervals and p-values, a small number of imputations might not be adequate.</w:t>
      </w:r>
      <w:r w:rsidR="001D19E7" w:rsidRPr="001D19E7">
        <w:rPr>
          <w:rFonts w:ascii="Arial" w:hAnsi="Arial" w:cs="Arial"/>
          <w:sz w:val="24"/>
          <w:szCs w:val="24"/>
        </w:rPr>
        <w:fldChar w:fldCharType="begin"/>
      </w:r>
      <w:r w:rsidR="009E5855">
        <w:rPr>
          <w:rFonts w:ascii="Arial" w:hAnsi="Arial" w:cs="Arial"/>
          <w:sz w:val="24"/>
          <w:szCs w:val="24"/>
        </w:rPr>
        <w:instrText xml:space="preserve"> ADDIN EN.CITE &lt;EndNote&gt;&lt;Cite&gt;&lt;Author&gt;SAS Institute Inc.&lt;/Author&gt;&lt;Year&gt;2015&lt;/Year&gt;&lt;RecNum&gt;3158&lt;/RecNum&gt;&lt;DisplayText&gt;(4)&lt;/DisplayText&gt;&lt;record&gt;&lt;rec-number&gt;3158&lt;/rec-number&gt;&lt;foreign-keys&gt;&lt;key app="EN" db-id="pxstx0zxgapxfaewtpu525rgsp9dvp5vxs2d" timestamp="1489026258"&gt;3158&lt;/key&gt;&lt;/foreign-keys&gt;&lt;ref-type name="Book Section"&gt;5&lt;/ref-type&gt;&lt;contributors&gt;&lt;authors&gt;&lt;author&gt;SAS Institute Inc.,&lt;/author&gt;&lt;/authors&gt;&lt;/contributors&gt;&lt;titles&gt;&lt;title&gt;The MI Procedure&lt;/title&gt;&lt;secondary-title&gt;SAS/STAT 14.1 User&amp;apos;s Guide&lt;/secondary-title&gt;&lt;/titles&gt;&lt;pages&gt;5918-5919&lt;/pages&gt;&lt;section&gt;75&lt;/section&gt;&lt;dates&gt;&lt;year&gt;2015&lt;/year&gt;&lt;/dates&gt;&lt;pub-location&gt;Cary, NC&lt;/pub-location&gt;&lt;publisher&gt;SAS Institute, Inc.&lt;/publisher&gt;&lt;urls&gt;&lt;/urls&gt;&lt;/record&gt;&lt;/Cite&gt;&lt;/EndNote&gt;</w:instrText>
      </w:r>
      <w:r w:rsidR="001D19E7" w:rsidRPr="001D19E7">
        <w:rPr>
          <w:rFonts w:ascii="Arial" w:hAnsi="Arial" w:cs="Arial"/>
          <w:sz w:val="24"/>
          <w:szCs w:val="24"/>
        </w:rPr>
        <w:fldChar w:fldCharType="separate"/>
      </w:r>
      <w:r w:rsidR="009E5855">
        <w:rPr>
          <w:rFonts w:ascii="Arial" w:hAnsi="Arial" w:cs="Arial"/>
          <w:noProof/>
          <w:sz w:val="24"/>
          <w:szCs w:val="24"/>
        </w:rPr>
        <w:t>(4)</w:t>
      </w:r>
      <w:r w:rsidR="001D19E7" w:rsidRPr="001D19E7">
        <w:rPr>
          <w:rFonts w:ascii="Arial" w:hAnsi="Arial" w:cs="Arial"/>
          <w:sz w:val="24"/>
          <w:szCs w:val="24"/>
        </w:rPr>
        <w:fldChar w:fldCharType="end"/>
      </w:r>
      <w:r w:rsidR="001D19E7" w:rsidRPr="001D19E7">
        <w:rPr>
          <w:rFonts w:ascii="Arial" w:hAnsi="Arial" w:cs="Arial"/>
          <w:sz w:val="24"/>
          <w:szCs w:val="24"/>
        </w:rPr>
        <w:t xml:space="preserve"> The work of Graham, Olchowski, and Gilreath, suggests that multiple imputation with 20 imputations for 30% missing information is sufficient to achieve a 1% power fall off tolerance as compared to </w:t>
      </w:r>
      <w:r w:rsidR="001D19E7" w:rsidRPr="001D19E7">
        <w:rPr>
          <w:rFonts w:ascii="Arial" w:hAnsi="Arial" w:cs="Arial"/>
          <w:sz w:val="24"/>
          <w:szCs w:val="24"/>
        </w:rPr>
        <w:lastRenderedPageBreak/>
        <w:t>an infinite number of imputations.</w:t>
      </w:r>
      <w:r w:rsidR="001D19E7" w:rsidRPr="001D19E7">
        <w:rPr>
          <w:rFonts w:ascii="Arial" w:hAnsi="Arial" w:cs="Arial"/>
          <w:sz w:val="24"/>
          <w:szCs w:val="24"/>
        </w:rPr>
        <w:fldChar w:fldCharType="begin"/>
      </w:r>
      <w:r w:rsidR="009E5855">
        <w:rPr>
          <w:rFonts w:ascii="Arial" w:hAnsi="Arial" w:cs="Arial"/>
          <w:sz w:val="24"/>
          <w:szCs w:val="24"/>
        </w:rPr>
        <w:instrText xml:space="preserve"> ADDIN EN.CITE &lt;EndNote&gt;&lt;Cite&gt;&lt;Author&gt;Graham&lt;/Author&gt;&lt;Year&gt;2007&lt;/Year&gt;&lt;RecNum&gt;3160&lt;/RecNum&gt;&lt;DisplayText&gt;(5)&lt;/DisplayText&gt;&lt;record&gt;&lt;rec-number&gt;3160&lt;/rec-number&gt;&lt;foreign-keys&gt;&lt;key app="EN" db-id="pxstx0zxgapxfaewtpu525rgsp9dvp5vxs2d" timestamp="1489028843"&gt;3160&lt;/key&gt;&lt;/foreign-keys&gt;&lt;ref-type name="Journal Article"&gt;17&lt;/ref-type&gt;&lt;contributors&gt;&lt;authors&gt;&lt;author&gt;J. W. Graham&lt;/author&gt;&lt;author&gt;A. E. Olchowski&lt;/author&gt;&lt;author&gt;T. D. Gilreath&lt;/author&gt;&lt;/authors&gt;&lt;/contributors&gt;&lt;titles&gt;&lt;title&gt;How Many Imputations Are Really Needed?&lt;/title&gt;&lt;secondary-title&gt;Prevention Science&lt;/secondary-title&gt;&lt;/titles&gt;&lt;periodical&gt;&lt;full-title&gt;Prevention Science&lt;/full-title&gt;&lt;/periodical&gt;&lt;pages&gt;206-213&lt;/pages&gt;&lt;volume&gt;8&lt;/volume&gt;&lt;dates&gt;&lt;year&gt;2007&lt;/year&gt;&lt;/dates&gt;&lt;urls&gt;&lt;/urls&gt;&lt;/record&gt;&lt;/Cite&gt;&lt;/EndNote&gt;</w:instrText>
      </w:r>
      <w:r w:rsidR="001D19E7" w:rsidRPr="001D19E7">
        <w:rPr>
          <w:rFonts w:ascii="Arial" w:hAnsi="Arial" w:cs="Arial"/>
          <w:sz w:val="24"/>
          <w:szCs w:val="24"/>
        </w:rPr>
        <w:fldChar w:fldCharType="separate"/>
      </w:r>
      <w:r w:rsidR="009E5855">
        <w:rPr>
          <w:rFonts w:ascii="Arial" w:hAnsi="Arial" w:cs="Arial"/>
          <w:noProof/>
          <w:sz w:val="24"/>
          <w:szCs w:val="24"/>
        </w:rPr>
        <w:t>(5)</w:t>
      </w:r>
      <w:r w:rsidR="001D19E7" w:rsidRPr="001D19E7">
        <w:rPr>
          <w:rFonts w:ascii="Arial" w:hAnsi="Arial" w:cs="Arial"/>
          <w:sz w:val="24"/>
          <w:szCs w:val="24"/>
        </w:rPr>
        <w:fldChar w:fldCharType="end"/>
      </w:r>
      <w:r w:rsidR="001D19E7" w:rsidRPr="001D19E7">
        <w:rPr>
          <w:rFonts w:ascii="Arial" w:hAnsi="Arial" w:cs="Arial"/>
          <w:sz w:val="24"/>
          <w:szCs w:val="24"/>
        </w:rPr>
        <w:t xml:space="preserve">  We therefore chose to generate 30 imputed sets of data.</w:t>
      </w:r>
    </w:p>
    <w:p w14:paraId="6DC74270" w14:textId="097961BD" w:rsidR="001D19E7" w:rsidRDefault="001D19E7" w:rsidP="001D19E7">
      <w:pPr>
        <w:spacing w:after="0" w:line="480" w:lineRule="auto"/>
        <w:rPr>
          <w:rFonts w:ascii="Arial" w:hAnsi="Arial" w:cs="Arial"/>
          <w:sz w:val="24"/>
          <w:szCs w:val="24"/>
        </w:rPr>
      </w:pPr>
      <w:r w:rsidRPr="001D19E7">
        <w:rPr>
          <w:rFonts w:ascii="Arial" w:hAnsi="Arial" w:cs="Arial"/>
          <w:sz w:val="24"/>
          <w:szCs w:val="24"/>
        </w:rPr>
        <w:t xml:space="preserve">     Once we had the 30 sets of imputed data we compared agreement between “actual” postoperative values (which consisted of real or imputed values) and predicted values using Bland-Altman plots as described above. Note that in each set the surgical patients (corresponding to Cohort A) would remain the same but what varied between the 30 sets was the imputed values for </w:t>
      </w:r>
      <w:r w:rsidR="00C0063A">
        <w:rPr>
          <w:rFonts w:ascii="Arial" w:hAnsi="Arial" w:cs="Arial"/>
          <w:sz w:val="24"/>
          <w:szCs w:val="24"/>
        </w:rPr>
        <w:t xml:space="preserve">the </w:t>
      </w:r>
      <w:r w:rsidRPr="001D19E7">
        <w:rPr>
          <w:rFonts w:ascii="Arial" w:hAnsi="Arial" w:cs="Arial"/>
          <w:sz w:val="24"/>
          <w:szCs w:val="24"/>
        </w:rPr>
        <w:t>non-surgical patients.  With 30 imputations, we compute 30 different sets of the point and variance estimates for bias.  The point estimate of bias from multiple imputations is the average of the 30 bias estimates. The variance estimate associated with the mean bias is the sum of within-imputation variance, which is the average of the 30 variance estimates, and (1+1/m) multiplied by the between-imputation variance where m is the number of imputations.</w:t>
      </w:r>
      <w:r w:rsidRPr="001D19E7">
        <w:rPr>
          <w:rFonts w:ascii="Arial" w:hAnsi="Arial" w:cs="Arial"/>
          <w:sz w:val="24"/>
          <w:szCs w:val="24"/>
        </w:rPr>
        <w:fldChar w:fldCharType="begin"/>
      </w:r>
      <w:r w:rsidR="009E5855">
        <w:rPr>
          <w:rFonts w:ascii="Arial" w:hAnsi="Arial" w:cs="Arial"/>
          <w:sz w:val="24"/>
          <w:szCs w:val="24"/>
        </w:rPr>
        <w:instrText xml:space="preserve"> ADDIN EN.CITE &lt;EndNote&gt;&lt;Cite&gt;&lt;Author&gt;Yuan&lt;/Author&gt;&lt;RecNum&gt;3159&lt;/RecNum&gt;&lt;DisplayText&gt;(6)&lt;/DisplayText&gt;&lt;record&gt;&lt;rec-number&gt;3159&lt;/rec-number&gt;&lt;foreign-keys&gt;&lt;key app="EN" db-id="pxstx0zxgapxfaewtpu525rgsp9dvp5vxs2d" timestamp="1489028125"&gt;3159&lt;/key&gt;&lt;/foreign-keys&gt;&lt;ref-type name="Web Page"&gt;12&lt;/ref-type&gt;&lt;contributors&gt;&lt;authors&gt;&lt;author&gt;Yang C. Yuan&lt;/author&gt;&lt;/authors&gt;&lt;/contributors&gt;&lt;titles&gt;&lt;title&gt;Multiple Imputation for Missing Data: Concept and New Development&lt;/title&gt;&lt;/titles&gt;&lt;volume&gt;2017&lt;/volume&gt;&lt;number&gt;3/8/2017&lt;/number&gt;&lt;dates&gt;&lt;/dates&gt;&lt;pub-location&gt;http://www.ats.ucla.edu/stat/sas/library/multipleimputation.pdf&lt;/pub-location&gt;&lt;publisher&gt;UCLA: Statistical Consulting Group&lt;/publisher&gt;&lt;urls&gt;&lt;related-urls&gt;&lt;url&gt;http://www.ats.ucla.edu/stat/sas/library/multipleimputation.pdf&lt;/url&gt;&lt;/related-urls&gt;&lt;/urls&gt;&lt;custom2&gt;3/8/2017&lt;/custom2&gt;&lt;/record&gt;&lt;/Cite&gt;&lt;/EndNote&gt;</w:instrText>
      </w:r>
      <w:r w:rsidRPr="001D19E7">
        <w:rPr>
          <w:rFonts w:ascii="Arial" w:hAnsi="Arial" w:cs="Arial"/>
          <w:sz w:val="24"/>
          <w:szCs w:val="24"/>
        </w:rPr>
        <w:fldChar w:fldCharType="separate"/>
      </w:r>
      <w:r w:rsidR="009E5855">
        <w:rPr>
          <w:rFonts w:ascii="Arial" w:hAnsi="Arial" w:cs="Arial"/>
          <w:noProof/>
          <w:sz w:val="24"/>
          <w:szCs w:val="24"/>
        </w:rPr>
        <w:t>(6)</w:t>
      </w:r>
      <w:r w:rsidRPr="001D19E7">
        <w:rPr>
          <w:rFonts w:ascii="Arial" w:hAnsi="Arial" w:cs="Arial"/>
          <w:sz w:val="24"/>
          <w:szCs w:val="24"/>
        </w:rPr>
        <w:fldChar w:fldCharType="end"/>
      </w:r>
    </w:p>
    <w:p w14:paraId="104CC717" w14:textId="77777777" w:rsidR="009F5179" w:rsidRDefault="009F5179" w:rsidP="001D19E7">
      <w:pPr>
        <w:spacing w:after="0" w:line="480" w:lineRule="auto"/>
        <w:rPr>
          <w:rFonts w:ascii="Arial" w:hAnsi="Arial" w:cs="Arial"/>
          <w:sz w:val="24"/>
          <w:szCs w:val="24"/>
        </w:rPr>
      </w:pPr>
    </w:p>
    <w:p w14:paraId="6C7E6F55" w14:textId="77777777" w:rsidR="009F5179" w:rsidRDefault="009F5179" w:rsidP="001D19E7">
      <w:pPr>
        <w:spacing w:after="0" w:line="480" w:lineRule="auto"/>
        <w:rPr>
          <w:rFonts w:ascii="Arial" w:hAnsi="Arial" w:cs="Arial"/>
          <w:sz w:val="24"/>
          <w:szCs w:val="24"/>
        </w:rPr>
      </w:pPr>
      <w:r>
        <w:rPr>
          <w:rFonts w:ascii="Arial" w:hAnsi="Arial" w:cs="Arial"/>
          <w:sz w:val="24"/>
          <w:szCs w:val="24"/>
        </w:rPr>
        <w:t xml:space="preserve">Determining Threshold values </w:t>
      </w:r>
    </w:p>
    <w:p w14:paraId="4981EFA3" w14:textId="1363FBB6" w:rsidR="00DE5F1A" w:rsidRDefault="00740F47" w:rsidP="00BF2559">
      <w:pPr>
        <w:spacing w:after="0" w:line="480" w:lineRule="auto"/>
        <w:rPr>
          <w:rFonts w:ascii="Arial" w:hAnsi="Arial" w:cs="Arial"/>
          <w:sz w:val="24"/>
          <w:szCs w:val="24"/>
        </w:rPr>
      </w:pPr>
      <w:r w:rsidRPr="00BF2559">
        <w:rPr>
          <w:rFonts w:ascii="Arial" w:hAnsi="Arial" w:cs="Arial"/>
          <w:sz w:val="24"/>
          <w:szCs w:val="24"/>
        </w:rPr>
        <w:t xml:space="preserve">     Among patients that had surgery, the predicted and actual postoperative values were truncated because of selection bias as noted above.  </w:t>
      </w:r>
      <w:r w:rsidR="0060234C" w:rsidRPr="00BF2559">
        <w:rPr>
          <w:rFonts w:ascii="Arial" w:hAnsi="Arial" w:cs="Arial"/>
          <w:sz w:val="24"/>
          <w:szCs w:val="24"/>
        </w:rPr>
        <w:t xml:space="preserve">What we need to do is adjust for the truncation of the normal distribution that was created by the selection bias </w:t>
      </w:r>
      <w:r w:rsidR="003D109C" w:rsidRPr="00BF2559">
        <w:rPr>
          <w:rFonts w:ascii="Arial" w:hAnsi="Arial" w:cs="Arial"/>
          <w:sz w:val="24"/>
          <w:szCs w:val="24"/>
        </w:rPr>
        <w:t xml:space="preserve">in order to </w:t>
      </w:r>
      <w:r w:rsidR="0060234C" w:rsidRPr="00BF2559">
        <w:rPr>
          <w:rFonts w:ascii="Arial" w:hAnsi="Arial" w:cs="Arial"/>
          <w:sz w:val="24"/>
          <w:szCs w:val="24"/>
        </w:rPr>
        <w:t xml:space="preserve">derive the </w:t>
      </w:r>
      <w:r w:rsidR="00DE5F1A">
        <w:rPr>
          <w:rFonts w:ascii="Arial" w:hAnsi="Arial" w:cs="Arial"/>
          <w:sz w:val="24"/>
          <w:szCs w:val="24"/>
        </w:rPr>
        <w:t>parameters of the non-trunca</w:t>
      </w:r>
      <w:r w:rsidR="00F04D67">
        <w:rPr>
          <w:rFonts w:ascii="Arial" w:hAnsi="Arial" w:cs="Arial"/>
          <w:sz w:val="24"/>
          <w:szCs w:val="24"/>
        </w:rPr>
        <w:t>ted/non-biased distributions.  W</w:t>
      </w:r>
      <w:r w:rsidR="00BF2559">
        <w:rPr>
          <w:rFonts w:ascii="Arial" w:hAnsi="Arial" w:cs="Arial"/>
          <w:sz w:val="24"/>
          <w:szCs w:val="24"/>
        </w:rPr>
        <w:t>e use</w:t>
      </w:r>
      <w:r w:rsidR="00F04D67">
        <w:rPr>
          <w:rFonts w:ascii="Arial" w:hAnsi="Arial" w:cs="Arial"/>
          <w:sz w:val="24"/>
          <w:szCs w:val="24"/>
        </w:rPr>
        <w:t>d</w:t>
      </w:r>
      <w:r w:rsidR="00BF2559">
        <w:rPr>
          <w:rFonts w:ascii="Arial" w:hAnsi="Arial" w:cs="Arial"/>
          <w:sz w:val="24"/>
          <w:szCs w:val="24"/>
        </w:rPr>
        <w:t xml:space="preserve"> </w:t>
      </w:r>
      <w:r w:rsidR="0060234C">
        <w:rPr>
          <w:rFonts w:ascii="Arial" w:hAnsi="Arial" w:cs="Arial"/>
          <w:sz w:val="24"/>
          <w:szCs w:val="24"/>
        </w:rPr>
        <w:t>the</w:t>
      </w:r>
      <w:r w:rsidR="00DE5F1A">
        <w:rPr>
          <w:rFonts w:ascii="Arial" w:hAnsi="Arial" w:cs="Arial"/>
          <w:sz w:val="24"/>
          <w:szCs w:val="24"/>
        </w:rPr>
        <w:t xml:space="preserve"> data from patients that had surgery (cohort A) and the</w:t>
      </w:r>
      <w:r w:rsidR="0060234C">
        <w:rPr>
          <w:rFonts w:ascii="Arial" w:hAnsi="Arial" w:cs="Arial"/>
          <w:sz w:val="24"/>
          <w:szCs w:val="24"/>
        </w:rPr>
        <w:t xml:space="preserve"> tm</w:t>
      </w:r>
      <w:r w:rsidR="00BF2559">
        <w:rPr>
          <w:rFonts w:ascii="Arial" w:hAnsi="Arial" w:cs="Arial"/>
          <w:sz w:val="24"/>
          <w:szCs w:val="24"/>
        </w:rPr>
        <w:t xml:space="preserve">vnorm function in R to estimate the parameters (mean=(m1, m2), sigma (v1, v2, covariance between actual </w:t>
      </w:r>
      <w:r w:rsidR="00BF2559" w:rsidRPr="00BF2559">
        <w:rPr>
          <w:rFonts w:ascii="Arial" w:hAnsi="Arial" w:cs="Arial"/>
          <w:sz w:val="24"/>
          <w:szCs w:val="24"/>
        </w:rPr>
        <w:t xml:space="preserve">and predicted) of the </w:t>
      </w:r>
      <w:r w:rsidR="00DE5F1A">
        <w:rPr>
          <w:rFonts w:ascii="Arial" w:hAnsi="Arial" w:cs="Arial"/>
          <w:sz w:val="24"/>
          <w:szCs w:val="24"/>
        </w:rPr>
        <w:t>true</w:t>
      </w:r>
      <w:r w:rsidR="00BF2559" w:rsidRPr="00BF2559">
        <w:rPr>
          <w:rFonts w:ascii="Arial" w:hAnsi="Arial" w:cs="Arial"/>
          <w:sz w:val="24"/>
          <w:szCs w:val="24"/>
        </w:rPr>
        <w:t xml:space="preserve"> bivariate normal distribution.</w:t>
      </w:r>
    </w:p>
    <w:p w14:paraId="18D31F74" w14:textId="77777777" w:rsidR="003E11C6" w:rsidRDefault="00DE5F1A" w:rsidP="00BF2559">
      <w:pPr>
        <w:spacing w:after="0" w:line="480" w:lineRule="auto"/>
        <w:rPr>
          <w:rFonts w:ascii="Arial" w:hAnsi="Arial" w:cs="Arial"/>
          <w:sz w:val="24"/>
          <w:szCs w:val="24"/>
        </w:rPr>
      </w:pPr>
      <w:r>
        <w:rPr>
          <w:rFonts w:ascii="Arial" w:hAnsi="Arial" w:cs="Arial"/>
          <w:sz w:val="24"/>
          <w:szCs w:val="24"/>
        </w:rPr>
        <w:t xml:space="preserve">     We then use</w:t>
      </w:r>
      <w:r w:rsidR="00BF2559" w:rsidRPr="00BF2559">
        <w:rPr>
          <w:rFonts w:ascii="Arial" w:hAnsi="Arial" w:cs="Arial"/>
          <w:sz w:val="24"/>
          <w:szCs w:val="24"/>
        </w:rPr>
        <w:t xml:space="preserve"> m1, m2, s1, s2, and r (s1, s2, and r can be estimated from sigma) </w:t>
      </w:r>
      <w:r>
        <w:rPr>
          <w:rFonts w:ascii="Arial" w:hAnsi="Arial" w:cs="Arial"/>
          <w:sz w:val="24"/>
          <w:szCs w:val="24"/>
        </w:rPr>
        <w:t xml:space="preserve">(s1, s2: standard deviation) to calculate the conditional distribution desired.  The </w:t>
      </w:r>
      <w:r w:rsidR="00BF2559" w:rsidRPr="00BF2559">
        <w:rPr>
          <w:rFonts w:ascii="Arial" w:hAnsi="Arial" w:cs="Arial"/>
          <w:sz w:val="24"/>
          <w:szCs w:val="24"/>
        </w:rPr>
        <w:t xml:space="preserve">conditional </w:t>
      </w:r>
      <w:r w:rsidR="00BF2559" w:rsidRPr="00BF2559">
        <w:rPr>
          <w:rFonts w:ascii="Arial" w:hAnsi="Arial" w:cs="Arial"/>
          <w:sz w:val="24"/>
          <w:szCs w:val="24"/>
        </w:rPr>
        <w:lastRenderedPageBreak/>
        <w:t xml:space="preserve">distribution of actual post FEV1 given predicted FEV1=x will be distributed as </w:t>
      </w:r>
      <w:r w:rsidR="00BF2559">
        <w:rPr>
          <w:rFonts w:ascii="Arial" w:hAnsi="Arial" w:cs="Arial"/>
          <w:sz w:val="24"/>
          <w:szCs w:val="24"/>
        </w:rPr>
        <w:t>a n</w:t>
      </w:r>
      <w:r w:rsidR="00BF2559" w:rsidRPr="00BF2559">
        <w:rPr>
          <w:rFonts w:ascii="Arial" w:hAnsi="Arial" w:cs="Arial"/>
          <w:sz w:val="24"/>
          <w:szCs w:val="24"/>
        </w:rPr>
        <w:t>ormal distribution with mean=(m</w:t>
      </w:r>
      <w:r w:rsidR="00BF2559" w:rsidRPr="00BF2559">
        <w:rPr>
          <w:rFonts w:ascii="Arial" w:hAnsi="Arial" w:cs="Arial"/>
          <w:sz w:val="24"/>
          <w:szCs w:val="24"/>
          <w:vertAlign w:val="subscript"/>
        </w:rPr>
        <w:t>1</w:t>
      </w:r>
      <w:r w:rsidR="00BF2559" w:rsidRPr="00BF2559">
        <w:rPr>
          <w:rFonts w:ascii="Arial" w:hAnsi="Arial" w:cs="Arial"/>
          <w:sz w:val="24"/>
          <w:szCs w:val="24"/>
        </w:rPr>
        <w:t>+s</w:t>
      </w:r>
      <w:r w:rsidR="00BF2559" w:rsidRPr="00BF2559">
        <w:rPr>
          <w:rFonts w:ascii="Arial" w:hAnsi="Arial" w:cs="Arial"/>
          <w:sz w:val="24"/>
          <w:szCs w:val="24"/>
          <w:vertAlign w:val="subscript"/>
        </w:rPr>
        <w:t>1</w:t>
      </w:r>
      <w:r w:rsidR="00BF2559" w:rsidRPr="00BF2559">
        <w:rPr>
          <w:rFonts w:ascii="Arial" w:hAnsi="Arial" w:cs="Arial"/>
          <w:sz w:val="24"/>
          <w:szCs w:val="24"/>
        </w:rPr>
        <w:t>/s</w:t>
      </w:r>
      <w:r w:rsidR="00BF2559" w:rsidRPr="00BF2559">
        <w:rPr>
          <w:rFonts w:ascii="Arial" w:hAnsi="Arial" w:cs="Arial"/>
          <w:sz w:val="24"/>
          <w:szCs w:val="24"/>
          <w:vertAlign w:val="subscript"/>
        </w:rPr>
        <w:t>2</w:t>
      </w:r>
      <w:r w:rsidR="00BF2559" w:rsidRPr="00BF2559">
        <w:rPr>
          <w:rFonts w:ascii="Arial" w:hAnsi="Arial" w:cs="Arial"/>
          <w:sz w:val="24"/>
          <w:szCs w:val="24"/>
        </w:rPr>
        <w:t>*r*(x-m</w:t>
      </w:r>
      <w:r w:rsidR="00BF2559" w:rsidRPr="00BF2559">
        <w:rPr>
          <w:rFonts w:ascii="Arial" w:hAnsi="Arial" w:cs="Arial"/>
          <w:sz w:val="24"/>
          <w:szCs w:val="24"/>
          <w:vertAlign w:val="subscript"/>
        </w:rPr>
        <w:t>2</w:t>
      </w:r>
      <w:r w:rsidR="00BF2559" w:rsidRPr="00BF2559">
        <w:rPr>
          <w:rFonts w:ascii="Arial" w:hAnsi="Arial" w:cs="Arial"/>
          <w:sz w:val="24"/>
          <w:szCs w:val="24"/>
        </w:rPr>
        <w:t>)) and variance=(1-r</w:t>
      </w:r>
      <w:r w:rsidR="00BF2559" w:rsidRPr="00BF2559">
        <w:rPr>
          <w:rFonts w:ascii="Arial" w:hAnsi="Arial" w:cs="Arial"/>
          <w:sz w:val="24"/>
          <w:szCs w:val="24"/>
          <w:vertAlign w:val="superscript"/>
        </w:rPr>
        <w:t>2</w:t>
      </w:r>
      <w:r w:rsidR="00BF2559" w:rsidRPr="00BF2559">
        <w:rPr>
          <w:rFonts w:ascii="Arial" w:hAnsi="Arial" w:cs="Arial"/>
          <w:sz w:val="24"/>
          <w:szCs w:val="24"/>
        </w:rPr>
        <w:t>)s</w:t>
      </w:r>
      <w:r w:rsidR="00BF2559" w:rsidRPr="00BF2559">
        <w:rPr>
          <w:rFonts w:ascii="Arial" w:hAnsi="Arial" w:cs="Arial"/>
          <w:sz w:val="24"/>
          <w:szCs w:val="24"/>
          <w:vertAlign w:val="subscript"/>
        </w:rPr>
        <w:t>1</w:t>
      </w:r>
      <w:r w:rsidR="00BF2559" w:rsidRPr="00BF2559">
        <w:rPr>
          <w:rFonts w:ascii="Arial" w:hAnsi="Arial" w:cs="Arial"/>
          <w:sz w:val="24"/>
          <w:szCs w:val="24"/>
          <w:vertAlign w:val="superscript"/>
        </w:rPr>
        <w:t>2</w:t>
      </w:r>
      <w:r w:rsidR="003E11C6">
        <w:rPr>
          <w:rFonts w:ascii="Arial" w:hAnsi="Arial" w:cs="Arial"/>
          <w:sz w:val="24"/>
          <w:szCs w:val="24"/>
        </w:rPr>
        <w:t>.</w:t>
      </w:r>
    </w:p>
    <w:p w14:paraId="766A5371" w14:textId="4CB2FC45" w:rsidR="00BF2559" w:rsidRDefault="003E11C6" w:rsidP="00BF2559">
      <w:pPr>
        <w:spacing w:after="0" w:line="480" w:lineRule="auto"/>
        <w:rPr>
          <w:rFonts w:ascii="Arial" w:hAnsi="Arial" w:cs="Arial"/>
          <w:sz w:val="24"/>
          <w:szCs w:val="24"/>
        </w:rPr>
      </w:pPr>
      <w:r>
        <w:rPr>
          <w:rFonts w:ascii="Arial" w:hAnsi="Arial" w:cs="Arial"/>
          <w:sz w:val="24"/>
          <w:szCs w:val="24"/>
        </w:rPr>
        <w:t xml:space="preserve">     Clinically, w</w:t>
      </w:r>
      <w:r w:rsidR="00BF2559">
        <w:rPr>
          <w:rFonts w:ascii="Arial" w:hAnsi="Arial" w:cs="Arial"/>
          <w:sz w:val="24"/>
          <w:szCs w:val="24"/>
        </w:rPr>
        <w:t xml:space="preserve">e want to identify x which satisfies </w:t>
      </w:r>
      <w:r w:rsidR="00600AF6">
        <w:rPr>
          <w:rFonts w:ascii="Arial" w:hAnsi="Arial" w:cs="Arial"/>
          <w:sz w:val="24"/>
          <w:szCs w:val="24"/>
        </w:rPr>
        <w:t xml:space="preserve">Pr(Actual FEV1 &gt; minimum sufficient postoperative FEV1 | ppoFEV1 = x) = desired level of clinical certainty.  </w:t>
      </w:r>
      <w:r w:rsidR="006E3AB2">
        <w:rPr>
          <w:rFonts w:ascii="Arial" w:hAnsi="Arial" w:cs="Arial"/>
          <w:sz w:val="24"/>
          <w:szCs w:val="24"/>
        </w:rPr>
        <w:t xml:space="preserve">This can be read as the probability that the actual postoperative FEV1 will be greater than our minimum sufficient posteroperative FEV1 is equal to our </w:t>
      </w:r>
      <w:r w:rsidR="00160867">
        <w:rPr>
          <w:rFonts w:ascii="Arial" w:hAnsi="Arial" w:cs="Arial"/>
          <w:sz w:val="24"/>
          <w:szCs w:val="24"/>
        </w:rPr>
        <w:t>desired level of clinical certainty</w:t>
      </w:r>
      <w:r w:rsidR="006E3AB2">
        <w:rPr>
          <w:rFonts w:ascii="Arial" w:hAnsi="Arial" w:cs="Arial"/>
          <w:sz w:val="24"/>
          <w:szCs w:val="24"/>
        </w:rPr>
        <w:t xml:space="preserve">, given that the ppoFEV is </w:t>
      </w:r>
      <w:r w:rsidR="00160867">
        <w:rPr>
          <w:rFonts w:ascii="Arial" w:hAnsi="Arial" w:cs="Arial"/>
          <w:sz w:val="24"/>
          <w:szCs w:val="24"/>
        </w:rPr>
        <w:t>x</w:t>
      </w:r>
      <w:r w:rsidR="006E3AB2">
        <w:rPr>
          <w:rFonts w:ascii="Arial" w:hAnsi="Arial" w:cs="Arial"/>
          <w:sz w:val="24"/>
          <w:szCs w:val="24"/>
        </w:rPr>
        <w:t xml:space="preserve">.  </w:t>
      </w:r>
      <w:r>
        <w:rPr>
          <w:rFonts w:ascii="Arial" w:hAnsi="Arial" w:cs="Arial"/>
          <w:sz w:val="24"/>
          <w:szCs w:val="24"/>
        </w:rPr>
        <w:t>Note that the minimum sufficient postoperative value must be determined by the physician, although based on current guidelines this would usually be either 30% or 40%.</w:t>
      </w:r>
      <w:r>
        <w:rPr>
          <w:rFonts w:ascii="Arial" w:hAnsi="Arial" w:cs="Arial"/>
          <w:sz w:val="24"/>
          <w:szCs w:val="24"/>
        </w:rPr>
        <w:fldChar w:fldCharType="begin"/>
      </w:r>
      <w:r w:rsidR="006504F6">
        <w:rPr>
          <w:rFonts w:ascii="Arial" w:hAnsi="Arial" w:cs="Arial"/>
          <w:sz w:val="24"/>
          <w:szCs w:val="24"/>
        </w:rPr>
        <w:instrText xml:space="preserve"> ADDIN EN.CITE &lt;EndNote&gt;&lt;Cite&gt;&lt;Author&gt;Brunelli&lt;/Author&gt;&lt;Year&gt;2013&lt;/Year&gt;&lt;RecNum&gt;2250&lt;/RecNum&gt;&lt;DisplayText&gt;(1)&lt;/DisplayText&gt;&lt;record&gt;&lt;rec-number&gt;2250&lt;/rec-number&gt;&lt;foreign-keys&gt;&lt;key app="EN" db-id="pxstx0zxgapxfaewtpu525rgsp9dvp5vxs2d" timestamp="1407103796"&gt;2250&lt;/key&gt;&lt;/foreign-keys&gt;&lt;ref-type name="Journal Article"&gt;17&lt;/ref-type&gt;&lt;contributors&gt;&lt;authors&gt;&lt;author&gt;Brunelli, A.&lt;/author&gt;&lt;author&gt;Kim, A. W.&lt;/author&gt;&lt;author&gt;Berger, K. I.&lt;/author&gt;&lt;author&gt;Addrizzo-Harris, D. J.&lt;/author&gt;&lt;/authors&gt;&lt;/contributors&gt;&lt;auth-address&gt;Division of Thoracic Surgery, Ospedali Riuniti, Ancona, Italy.&lt;/auth-address&gt;&lt;titles&gt;&lt;title&gt;Physiologic evaluation of the patient with lung cancer being considered for resectional surgery: Diagnosis and management of lung cancer, 3rd ed: American College of Chest Physicians evidence-based clinical practice guidelines&lt;/title&gt;&lt;secondary-title&gt;Chest&lt;/secondary-title&gt;&lt;alt-title&gt;Chest&lt;/alt-title&gt;&lt;/titles&gt;&lt;periodical&gt;&lt;full-title&gt;Chest&lt;/full-title&gt;&lt;/periodical&gt;&lt;alt-periodical&gt;&lt;full-title&gt;Chest&lt;/full-title&gt;&lt;/alt-periodical&gt;&lt;pages&gt;e166S-90S&lt;/pages&gt;&lt;volume&gt;143&lt;/volume&gt;&lt;number&gt;5 Suppl&lt;/number&gt;&lt;edition&gt;2013/05/10&lt;/edition&gt;&lt;keywords&gt;&lt;keyword&gt;Age Factors&lt;/keyword&gt;&lt;keyword&gt;Exercise Test&lt;/keyword&gt;&lt;keyword&gt;Humans&lt;/keyword&gt;&lt;keyword&gt;Lung Neoplasms/*physiopathology/*surgery&lt;/keyword&gt;&lt;keyword&gt;Oxygen Consumption/physiology&lt;/keyword&gt;&lt;keyword&gt;Patient Care Team&lt;/keyword&gt;&lt;keyword&gt;Predictive Value of Tests&lt;/keyword&gt;&lt;keyword&gt;Preoperative Care&lt;/keyword&gt;&lt;keyword&gt;*Respiratory Function Tests&lt;/keyword&gt;&lt;keyword&gt;Risk Assessment&lt;/keyword&gt;&lt;/keywords&gt;&lt;dates&gt;&lt;year&gt;2013&lt;/year&gt;&lt;pub-dates&gt;&lt;date&gt;May&lt;/date&gt;&lt;/pub-dates&gt;&lt;/dates&gt;&lt;isbn&gt;1931-3543 (Electronic)&amp;#xD;0012-3692 (Linking)&lt;/isbn&gt;&lt;accession-num&gt;23649437&lt;/accession-num&gt;&lt;work-type&gt;Practice Guideline&amp;#xD;Research Support, Non-U.S. Gov&amp;apos;t&lt;/work-type&gt;&lt;urls&gt;&lt;related-urls&gt;&lt;url&gt;http://www.ncbi.nlm.nih.gov/pubmed/23649437&lt;/url&gt;&lt;/related-urls&gt;&lt;/urls&gt;&lt;electronic-resource-num&gt;10.1378/chest.12-2395&lt;/electronic-resource-num&gt;&lt;language&gt;eng&lt;/language&gt;&lt;/record&gt;&lt;/Cite&gt;&lt;/EndNote&gt;</w:instrText>
      </w:r>
      <w:r>
        <w:rPr>
          <w:rFonts w:ascii="Arial" w:hAnsi="Arial" w:cs="Arial"/>
          <w:sz w:val="24"/>
          <w:szCs w:val="24"/>
        </w:rPr>
        <w:fldChar w:fldCharType="separate"/>
      </w:r>
      <w:r w:rsidR="006504F6">
        <w:rPr>
          <w:rFonts w:ascii="Arial" w:hAnsi="Arial" w:cs="Arial"/>
          <w:noProof/>
          <w:sz w:val="24"/>
          <w:szCs w:val="24"/>
        </w:rPr>
        <w:t>(1)</w:t>
      </w:r>
      <w:r>
        <w:rPr>
          <w:rFonts w:ascii="Arial" w:hAnsi="Arial" w:cs="Arial"/>
          <w:sz w:val="24"/>
          <w:szCs w:val="24"/>
        </w:rPr>
        <w:fldChar w:fldCharType="end"/>
      </w:r>
      <w:r>
        <w:rPr>
          <w:rFonts w:ascii="Arial" w:hAnsi="Arial" w:cs="Arial"/>
          <w:sz w:val="24"/>
          <w:szCs w:val="24"/>
        </w:rPr>
        <w:t xml:space="preserve">  The desired level of clinical certainty is chosen by the surgeon and multidisciplinary team and must consider other factors such as alternative treatment modalities, their relative efficacy, and patient preferences.  For this analysis we chose to analyze three levels of clinical certainty, 95%, 97.5%, and 99%, but the same method can be used to derive thresholds for any chosen level of certainty.  </w:t>
      </w:r>
      <w:r w:rsidR="00F8394E">
        <w:rPr>
          <w:rFonts w:ascii="Arial" w:hAnsi="Arial" w:cs="Arial"/>
          <w:sz w:val="24"/>
          <w:szCs w:val="24"/>
        </w:rPr>
        <w:t>We used the same method for DLCO.</w:t>
      </w:r>
    </w:p>
    <w:p w14:paraId="606A4CF4" w14:textId="77777777" w:rsidR="00793EB6" w:rsidRDefault="006C3C9D" w:rsidP="00BF2559">
      <w:pPr>
        <w:spacing w:after="0" w:line="480" w:lineRule="auto"/>
        <w:rPr>
          <w:rFonts w:ascii="Arial" w:hAnsi="Arial" w:cs="Arial"/>
          <w:sz w:val="24"/>
          <w:szCs w:val="24"/>
        </w:rPr>
      </w:pPr>
      <w:r>
        <w:rPr>
          <w:rFonts w:ascii="Arial" w:hAnsi="Arial" w:cs="Arial"/>
          <w:sz w:val="24"/>
          <w:szCs w:val="24"/>
        </w:rPr>
        <w:t xml:space="preserve">     To visualize the adjusted bivariate normal distribution, we used scatter plots and contour plots.  In each instance we began with the original data, then generated 1,000 pairs of the underlying bivariate normal distributions that were obtained using</w:t>
      </w:r>
      <w:r w:rsidR="00A16CEC">
        <w:rPr>
          <w:rFonts w:ascii="Arial" w:hAnsi="Arial" w:cs="Arial"/>
          <w:sz w:val="24"/>
          <w:szCs w:val="24"/>
        </w:rPr>
        <w:t xml:space="preserve"> the</w:t>
      </w:r>
      <w:r>
        <w:rPr>
          <w:rFonts w:ascii="Arial" w:hAnsi="Arial" w:cs="Arial"/>
          <w:sz w:val="24"/>
          <w:szCs w:val="24"/>
        </w:rPr>
        <w:t xml:space="preserve"> tmvnorm function as described above.</w:t>
      </w:r>
    </w:p>
    <w:p w14:paraId="389BF217" w14:textId="77777777" w:rsidR="00793EB6" w:rsidRDefault="00793EB6" w:rsidP="00BF2559">
      <w:pPr>
        <w:spacing w:after="0" w:line="480" w:lineRule="auto"/>
        <w:rPr>
          <w:rFonts w:ascii="Arial" w:hAnsi="Arial" w:cs="Arial"/>
          <w:sz w:val="24"/>
          <w:szCs w:val="24"/>
        </w:rPr>
      </w:pPr>
    </w:p>
    <w:p w14:paraId="7D2F1359" w14:textId="77777777" w:rsidR="00793EB6" w:rsidRDefault="00793EB6" w:rsidP="00BF2559">
      <w:pPr>
        <w:spacing w:after="0" w:line="480" w:lineRule="auto"/>
        <w:rPr>
          <w:rFonts w:ascii="Arial" w:hAnsi="Arial" w:cs="Arial"/>
          <w:sz w:val="24"/>
          <w:szCs w:val="24"/>
        </w:rPr>
      </w:pPr>
      <w:r>
        <w:rPr>
          <w:rFonts w:ascii="Arial" w:hAnsi="Arial" w:cs="Arial"/>
          <w:sz w:val="24"/>
          <w:szCs w:val="24"/>
        </w:rPr>
        <w:t>Bland-Altman Limits of Agreement and Confidence Intervals</w:t>
      </w:r>
    </w:p>
    <w:p w14:paraId="1522DA8E" w14:textId="5911916B" w:rsidR="00793EB6" w:rsidRPr="00793EB6" w:rsidRDefault="005B2DFC" w:rsidP="00793EB6">
      <w:pPr>
        <w:spacing w:after="0" w:line="480" w:lineRule="auto"/>
        <w:rPr>
          <w:rFonts w:ascii="Arial" w:hAnsi="Arial" w:cs="Arial"/>
          <w:sz w:val="24"/>
          <w:szCs w:val="24"/>
        </w:rPr>
      </w:pPr>
      <w:r>
        <w:rPr>
          <w:rFonts w:ascii="Arial" w:hAnsi="Arial" w:cs="Arial"/>
          <w:sz w:val="24"/>
          <w:szCs w:val="24"/>
        </w:rPr>
        <w:t xml:space="preserve">     For table 3 using imputed data, the </w:t>
      </w:r>
      <w:r w:rsidR="007849C4">
        <w:rPr>
          <w:rFonts w:ascii="Arial" w:hAnsi="Arial" w:cs="Arial"/>
          <w:sz w:val="24"/>
          <w:szCs w:val="24"/>
        </w:rPr>
        <w:t xml:space="preserve">95% limits of agreement are provided by the formula: </w:t>
      </w:r>
      <w:r w:rsidR="00793EB6" w:rsidRPr="00793EB6">
        <w:rPr>
          <w:rFonts w:ascii="Arial" w:hAnsi="Arial" w:cs="Arial"/>
          <w:sz w:val="24"/>
          <w:szCs w:val="24"/>
        </w:rPr>
        <w:t>mean(diff)+/-1.96*SD</w:t>
      </w:r>
      <w:r w:rsidR="00793EB6" w:rsidRPr="00793EB6">
        <w:rPr>
          <w:rFonts w:ascii="Arial" w:hAnsi="Arial" w:cs="Arial"/>
          <w:sz w:val="24"/>
          <w:szCs w:val="24"/>
          <w:vertAlign w:val="subscript"/>
        </w:rPr>
        <w:t>imputed</w:t>
      </w:r>
      <w:r w:rsidR="00793EB6" w:rsidRPr="00793EB6">
        <w:rPr>
          <w:rFonts w:ascii="Arial" w:hAnsi="Arial" w:cs="Arial"/>
          <w:sz w:val="24"/>
          <w:szCs w:val="24"/>
        </w:rPr>
        <w:t>(diff), assuming normality</w:t>
      </w:r>
      <w:r w:rsidR="007849C4">
        <w:rPr>
          <w:rFonts w:ascii="Arial" w:hAnsi="Arial" w:cs="Arial"/>
          <w:sz w:val="24"/>
          <w:szCs w:val="24"/>
        </w:rPr>
        <w:t>. The</w:t>
      </w:r>
      <w:r w:rsidR="00793EB6" w:rsidRPr="00793EB6">
        <w:rPr>
          <w:rFonts w:ascii="Arial" w:hAnsi="Arial" w:cs="Arial"/>
          <w:sz w:val="24"/>
          <w:szCs w:val="24"/>
        </w:rPr>
        <w:t xml:space="preserve"> lower limit ± t</w:t>
      </w:r>
      <w:r w:rsidR="00793EB6" w:rsidRPr="00793EB6">
        <w:rPr>
          <w:rFonts w:ascii="Arial" w:hAnsi="Arial" w:cs="Arial"/>
          <w:sz w:val="24"/>
          <w:szCs w:val="24"/>
          <w:vertAlign w:val="subscript"/>
        </w:rPr>
        <w:t>(n-1, 0.025)</w:t>
      </w:r>
      <w:r w:rsidR="00793EB6" w:rsidRPr="00793EB6">
        <w:rPr>
          <w:rFonts w:ascii="Arial" w:hAnsi="Arial" w:cs="Arial"/>
          <w:sz w:val="24"/>
          <w:szCs w:val="24"/>
        </w:rPr>
        <w:t>*sqrt (3*Var</w:t>
      </w:r>
      <w:r w:rsidR="00793EB6" w:rsidRPr="00793EB6">
        <w:rPr>
          <w:rFonts w:ascii="Arial" w:hAnsi="Arial" w:cs="Arial"/>
          <w:sz w:val="24"/>
          <w:szCs w:val="24"/>
          <w:vertAlign w:val="subscript"/>
        </w:rPr>
        <w:t>imputed</w:t>
      </w:r>
      <w:r w:rsidR="00793EB6" w:rsidRPr="00793EB6">
        <w:rPr>
          <w:rFonts w:ascii="Arial" w:hAnsi="Arial" w:cs="Arial"/>
          <w:sz w:val="24"/>
          <w:szCs w:val="24"/>
        </w:rPr>
        <w:t xml:space="preserve">(diff)/n); describes a possible error in the estimate due to a </w:t>
      </w:r>
      <w:r w:rsidR="00793EB6" w:rsidRPr="00793EB6">
        <w:rPr>
          <w:rFonts w:ascii="Arial" w:hAnsi="Arial" w:cs="Arial"/>
          <w:sz w:val="24"/>
          <w:szCs w:val="24"/>
        </w:rPr>
        <w:lastRenderedPageBreak/>
        <w:t>sampling error</w:t>
      </w:r>
      <w:r w:rsidR="007849C4">
        <w:rPr>
          <w:rFonts w:ascii="Arial" w:hAnsi="Arial" w:cs="Arial"/>
          <w:sz w:val="24"/>
          <w:szCs w:val="24"/>
        </w:rPr>
        <w:t xml:space="preserve">. The </w:t>
      </w:r>
      <w:r w:rsidR="00793EB6" w:rsidRPr="00793EB6">
        <w:rPr>
          <w:rFonts w:ascii="Arial" w:hAnsi="Arial" w:cs="Arial"/>
          <w:sz w:val="24"/>
          <w:szCs w:val="24"/>
        </w:rPr>
        <w:t>upper limit ± t</w:t>
      </w:r>
      <w:r w:rsidR="00793EB6" w:rsidRPr="00793EB6">
        <w:rPr>
          <w:rFonts w:ascii="Arial" w:hAnsi="Arial" w:cs="Arial"/>
          <w:sz w:val="24"/>
          <w:szCs w:val="24"/>
          <w:vertAlign w:val="subscript"/>
        </w:rPr>
        <w:t>(n-1, 0.025)</w:t>
      </w:r>
      <w:r w:rsidR="00793EB6" w:rsidRPr="00793EB6">
        <w:rPr>
          <w:rFonts w:ascii="Arial" w:hAnsi="Arial" w:cs="Arial"/>
          <w:sz w:val="24"/>
          <w:szCs w:val="24"/>
        </w:rPr>
        <w:t>*sqrt (3*Var</w:t>
      </w:r>
      <w:r w:rsidR="00793EB6" w:rsidRPr="00793EB6">
        <w:rPr>
          <w:rFonts w:ascii="Arial" w:hAnsi="Arial" w:cs="Arial"/>
          <w:sz w:val="24"/>
          <w:szCs w:val="24"/>
          <w:vertAlign w:val="subscript"/>
        </w:rPr>
        <w:t>imputed</w:t>
      </w:r>
      <w:r w:rsidR="00793EB6" w:rsidRPr="00793EB6">
        <w:rPr>
          <w:rFonts w:ascii="Arial" w:hAnsi="Arial" w:cs="Arial"/>
          <w:sz w:val="24"/>
          <w:szCs w:val="24"/>
        </w:rPr>
        <w:t>(diff)/n); describes a possible error in the estimate due to a sampling error</w:t>
      </w:r>
      <w:r w:rsidR="007849C4">
        <w:rPr>
          <w:rFonts w:ascii="Arial" w:hAnsi="Arial" w:cs="Arial"/>
          <w:sz w:val="24"/>
          <w:szCs w:val="24"/>
        </w:rPr>
        <w:t xml:space="preserve">. The </w:t>
      </w:r>
      <w:r w:rsidR="00793EB6" w:rsidRPr="00793EB6">
        <w:rPr>
          <w:rFonts w:ascii="Arial" w:hAnsi="Arial" w:cs="Arial"/>
          <w:color w:val="000000"/>
          <w:sz w:val="24"/>
          <w:szCs w:val="24"/>
        </w:rPr>
        <w:t>SD</w:t>
      </w:r>
      <w:r w:rsidR="00793EB6" w:rsidRPr="00793EB6">
        <w:rPr>
          <w:rFonts w:ascii="Arial" w:hAnsi="Arial" w:cs="Arial"/>
          <w:color w:val="000000"/>
          <w:sz w:val="24"/>
          <w:szCs w:val="24"/>
          <w:vertAlign w:val="subscript"/>
        </w:rPr>
        <w:t>imputed</w:t>
      </w:r>
      <w:r w:rsidR="00793EB6" w:rsidRPr="00793EB6">
        <w:rPr>
          <w:rFonts w:ascii="Arial" w:hAnsi="Arial" w:cs="Arial"/>
          <w:color w:val="000000"/>
          <w:sz w:val="24"/>
          <w:szCs w:val="24"/>
        </w:rPr>
        <w:t xml:space="preserve">(diff) is estimated utilizing a method of combining m imputed data sets which is described by Yang in </w:t>
      </w:r>
      <w:hyperlink r:id="rId9" w:history="1">
        <w:r w:rsidR="00793EB6" w:rsidRPr="00793EB6">
          <w:rPr>
            <w:rStyle w:val="Hyperlink"/>
            <w:rFonts w:ascii="Arial" w:hAnsi="Arial" w:cs="Arial"/>
            <w:sz w:val="24"/>
            <w:szCs w:val="24"/>
          </w:rPr>
          <w:t>http://www.ats.ucla.edu/stat/sas/library/multipleimputation.pdf</w:t>
        </w:r>
      </w:hyperlink>
      <w:r w:rsidR="00793EB6" w:rsidRPr="00793EB6">
        <w:rPr>
          <w:rFonts w:ascii="Arial" w:hAnsi="Arial" w:cs="Arial"/>
          <w:color w:val="000000"/>
          <w:sz w:val="24"/>
          <w:szCs w:val="24"/>
        </w:rPr>
        <w:t>.</w:t>
      </w:r>
      <w:r w:rsidR="00793EB6" w:rsidRPr="00793EB6">
        <w:rPr>
          <w:rFonts w:ascii="Arial" w:hAnsi="Arial" w:cs="Arial"/>
          <w:color w:val="000000"/>
          <w:sz w:val="24"/>
          <w:szCs w:val="24"/>
        </w:rPr>
        <w:fldChar w:fldCharType="begin"/>
      </w:r>
      <w:r w:rsidR="00793EB6">
        <w:rPr>
          <w:rFonts w:ascii="Arial" w:hAnsi="Arial" w:cs="Arial"/>
          <w:color w:val="000000"/>
          <w:sz w:val="24"/>
          <w:szCs w:val="24"/>
        </w:rPr>
        <w:instrText xml:space="preserve"> ADDIN EN.CITE &lt;EndNote&gt;&lt;Cite&gt;&lt;Author&gt;Yuan&lt;/Author&gt;&lt;RecNum&gt;3159&lt;/RecNum&gt;&lt;DisplayText&gt;(6)&lt;/DisplayText&gt;&lt;record&gt;&lt;rec-number&gt;3159&lt;/rec-number&gt;&lt;foreign-keys&gt;&lt;key app="EN" db-id="pxstx0zxgapxfaewtpu525rgsp9dvp5vxs2d" timestamp="1489028125"&gt;3159&lt;/key&gt;&lt;/foreign-keys&gt;&lt;ref-type name="Web Page"&gt;12&lt;/ref-type&gt;&lt;contributors&gt;&lt;authors&gt;&lt;author&gt;Yang C. Yuan&lt;/author&gt;&lt;/authors&gt;&lt;/contributors&gt;&lt;titles&gt;&lt;title&gt;Multiple Imputation for Missing Data: Concept and New Development&lt;/title&gt;&lt;/titles&gt;&lt;volume&gt;2017&lt;/volume&gt;&lt;number&gt;3/8/2017&lt;/number&gt;&lt;dates&gt;&lt;/dates&gt;&lt;pub-location&gt;http://www.ats.ucla.edu/stat/sas/library/multipleimputation.pdf&lt;/pub-location&gt;&lt;publisher&gt;UCLA: Statistical Consulting Group&lt;/publisher&gt;&lt;urls&gt;&lt;related-urls&gt;&lt;url&gt;http://www.ats.ucla.edu/stat/sas/library/multipleimputation.pdf&lt;/url&gt;&lt;/related-urls&gt;&lt;/urls&gt;&lt;custom2&gt;3/8/2017&lt;/custom2&gt;&lt;/record&gt;&lt;/Cite&gt;&lt;/EndNote&gt;</w:instrText>
      </w:r>
      <w:r w:rsidR="00793EB6" w:rsidRPr="00793EB6">
        <w:rPr>
          <w:rFonts w:ascii="Arial" w:hAnsi="Arial" w:cs="Arial"/>
          <w:color w:val="000000"/>
          <w:sz w:val="24"/>
          <w:szCs w:val="24"/>
        </w:rPr>
        <w:fldChar w:fldCharType="separate"/>
      </w:r>
      <w:r w:rsidR="00793EB6">
        <w:rPr>
          <w:rFonts w:ascii="Arial" w:hAnsi="Arial" w:cs="Arial"/>
          <w:noProof/>
          <w:color w:val="000000"/>
          <w:sz w:val="24"/>
          <w:szCs w:val="24"/>
        </w:rPr>
        <w:t>(6)</w:t>
      </w:r>
      <w:r w:rsidR="00793EB6" w:rsidRPr="00793EB6">
        <w:rPr>
          <w:rFonts w:ascii="Arial" w:hAnsi="Arial" w:cs="Arial"/>
          <w:color w:val="000000"/>
          <w:sz w:val="24"/>
          <w:szCs w:val="24"/>
        </w:rPr>
        <w:fldChar w:fldCharType="end"/>
      </w:r>
      <w:bookmarkStart w:id="0" w:name="_GoBack"/>
      <w:bookmarkEnd w:id="0"/>
    </w:p>
    <w:p w14:paraId="68101FFE" w14:textId="1C2CAEB9" w:rsidR="006C3C9D" w:rsidRPr="00BF2559" w:rsidRDefault="006C3C9D" w:rsidP="00BF2559">
      <w:pPr>
        <w:spacing w:after="0" w:line="480" w:lineRule="auto"/>
        <w:rPr>
          <w:rFonts w:ascii="Arial" w:hAnsi="Arial" w:cs="Arial"/>
          <w:sz w:val="24"/>
          <w:szCs w:val="24"/>
        </w:rPr>
      </w:pPr>
    </w:p>
    <w:p w14:paraId="4DA83C8C" w14:textId="77777777" w:rsidR="007D36FE" w:rsidRDefault="007D36FE" w:rsidP="001D19E7">
      <w:pPr>
        <w:spacing w:after="0" w:line="480" w:lineRule="auto"/>
        <w:rPr>
          <w:rFonts w:ascii="Arial" w:hAnsi="Arial" w:cs="Arial"/>
          <w:sz w:val="24"/>
          <w:szCs w:val="24"/>
        </w:rPr>
      </w:pPr>
    </w:p>
    <w:p w14:paraId="4A27A891" w14:textId="77777777" w:rsidR="007D36FE" w:rsidRDefault="007D36FE" w:rsidP="007D36FE">
      <w:pPr>
        <w:pStyle w:val="Heading2"/>
      </w:pPr>
      <w:r>
        <w:t>Results</w:t>
      </w:r>
    </w:p>
    <w:p w14:paraId="6E7A971E" w14:textId="77777777" w:rsidR="007D36FE" w:rsidRDefault="007D36FE" w:rsidP="001D19E7">
      <w:pPr>
        <w:spacing w:after="0" w:line="480" w:lineRule="auto"/>
        <w:rPr>
          <w:rFonts w:ascii="Arial" w:hAnsi="Arial" w:cs="Arial"/>
          <w:b/>
          <w:sz w:val="24"/>
          <w:szCs w:val="24"/>
        </w:rPr>
      </w:pPr>
    </w:p>
    <w:p w14:paraId="70044EEF" w14:textId="77777777" w:rsidR="007D36FE" w:rsidRPr="007D36FE" w:rsidRDefault="007D36FE" w:rsidP="001D19E7">
      <w:pPr>
        <w:spacing w:after="0" w:line="480" w:lineRule="auto"/>
        <w:rPr>
          <w:rFonts w:ascii="Arial" w:hAnsi="Arial" w:cs="Arial"/>
          <w:sz w:val="24"/>
          <w:szCs w:val="24"/>
        </w:rPr>
      </w:pPr>
      <w:r w:rsidRPr="007D36FE">
        <w:rPr>
          <w:rFonts w:ascii="Arial" w:hAnsi="Arial" w:cs="Arial"/>
          <w:sz w:val="24"/>
          <w:szCs w:val="24"/>
        </w:rPr>
        <w:t>Cohort B</w:t>
      </w:r>
      <w:r w:rsidR="000D1292">
        <w:rPr>
          <w:rFonts w:ascii="Arial" w:hAnsi="Arial" w:cs="Arial"/>
          <w:sz w:val="24"/>
          <w:szCs w:val="24"/>
        </w:rPr>
        <w:t xml:space="preserve"> Missing Data Patterns</w:t>
      </w:r>
    </w:p>
    <w:p w14:paraId="70551C89" w14:textId="77777777" w:rsidR="0013524F" w:rsidRDefault="007D36FE" w:rsidP="000D1292">
      <w:pPr>
        <w:pStyle w:val="BodyText"/>
      </w:pPr>
      <w:r>
        <w:t xml:space="preserve">     </w:t>
      </w:r>
      <w:r w:rsidR="0013524F">
        <w:t xml:space="preserve">We first examined the data to describe the pattern of missingness.  </w:t>
      </w:r>
      <w:r>
        <w:t>The missing data followed a monotone missing patter</w:t>
      </w:r>
      <w:r w:rsidR="0013524F">
        <w:t>n</w:t>
      </w:r>
      <w:r>
        <w:t>.  Monotone patterns are those in which missingness</w:t>
      </w:r>
      <w:r w:rsidR="000D1292">
        <w:t xml:space="preserve"> occurs when data is available for all assessments until a time at which the patient drops out and provides no further assessments. An intermittent pattern is when there are missing observations in between assessments that are observed. A mixed patterns is one which starts off as mixed and then becomes monotone. </w:t>
      </w:r>
      <w:r w:rsidR="0013524F">
        <w:t>Since all the patients with missing data were missing their last measurement (i.e. postoperative value) the pattern was a pure monotone pattern.</w:t>
      </w:r>
    </w:p>
    <w:p w14:paraId="0C349B66" w14:textId="77777777" w:rsidR="0013524F" w:rsidRDefault="0013524F" w:rsidP="000D1292">
      <w:pPr>
        <w:pStyle w:val="BodyText"/>
      </w:pPr>
      <w:r>
        <w:t xml:space="preserve">     Next we compared patients that had missing data to those that had complete data to determine if the data was missing completely at random (MCAR).  Patients that had surgery had complete information on all 4 variables (Q, SC18, SC19, and actual postoperative value) while those with missing data (i.e. non-surgical) had information on 3 of the variables (Q, SC18, and SC19).   Th</w:t>
      </w:r>
      <w:r w:rsidR="00D4522D">
        <w:t xml:space="preserve">e </w:t>
      </w:r>
      <w:r>
        <w:t>missing data had a very different distribution of values (e-tables 1 and 2), indicating that the data may not be MCAR.</w:t>
      </w:r>
    </w:p>
    <w:p w14:paraId="593A539F" w14:textId="77777777" w:rsidR="00A678B5" w:rsidRDefault="00C51E0A" w:rsidP="000D1292">
      <w:pPr>
        <w:pStyle w:val="BodyText"/>
      </w:pPr>
      <w:r>
        <w:lastRenderedPageBreak/>
        <w:t xml:space="preserve">     We then identified auxiliary variables correlated with actual postoperative values.  All three models (Q, SC18, and SC19)</w:t>
      </w:r>
      <w:r w:rsidR="00D4522D">
        <w:t xml:space="preserve"> were strongly correlated with </w:t>
      </w:r>
      <w:r w:rsidR="00AA1B08">
        <w:t xml:space="preserve">each other and with </w:t>
      </w:r>
      <w:r w:rsidR="00D4522D">
        <w:t xml:space="preserve">actual postoperative values (e-tables 3 and 4) and </w:t>
      </w:r>
      <w:r w:rsidR="00AA1B08">
        <w:t>were</w:t>
      </w:r>
      <w:r w:rsidR="00D4522D">
        <w:t xml:space="preserve"> associated with missingness.</w:t>
      </w:r>
    </w:p>
    <w:p w14:paraId="2DA6E41D" w14:textId="616EA251" w:rsidR="00F8394E" w:rsidRDefault="00A678B5" w:rsidP="00AC2EA5">
      <w:pPr>
        <w:pStyle w:val="BodyText"/>
      </w:pPr>
      <w:r>
        <w:t xml:space="preserve">     Using </w:t>
      </w:r>
      <w:r w:rsidR="00AC2EA5">
        <w:t xml:space="preserve">the proc MI procedure in </w:t>
      </w:r>
      <w:r>
        <w:t>SAS</w:t>
      </w:r>
      <w:r w:rsidR="00AC2EA5">
        <w:t xml:space="preserve"> to perform parametric regression </w:t>
      </w:r>
      <w:r w:rsidR="002B3935">
        <w:t>we</w:t>
      </w:r>
      <w:r w:rsidR="00AC2EA5">
        <w:t xml:space="preserve"> generated M=30 sets of missing FEV1 and DLCO data.  Variance information for FEV1 and DLCO imputation is shown in e-table 5.  The relative efficiency with M=30 was 99% (as compared to an infinite number of repetitions) for both FEV1 and DLCO.</w:t>
      </w:r>
    </w:p>
    <w:p w14:paraId="7689EED8" w14:textId="77777777" w:rsidR="00F8394E" w:rsidRDefault="00F8394E" w:rsidP="00AC2EA5">
      <w:pPr>
        <w:pStyle w:val="BodyText"/>
      </w:pPr>
    </w:p>
    <w:p w14:paraId="08F5D3D7" w14:textId="77777777" w:rsidR="00821ADB" w:rsidRPr="007167B7" w:rsidRDefault="00821ADB" w:rsidP="00821ADB">
      <w:pPr>
        <w:pStyle w:val="EndNoteBibliography"/>
        <w:spacing w:after="0" w:line="480" w:lineRule="auto"/>
        <w:rPr>
          <w:noProof w:val="0"/>
          <w:szCs w:val="24"/>
        </w:rPr>
      </w:pPr>
      <w:r w:rsidRPr="007167B7">
        <w:rPr>
          <w:noProof w:val="0"/>
          <w:szCs w:val="24"/>
        </w:rPr>
        <w:t>Selection Bias</w:t>
      </w:r>
    </w:p>
    <w:p w14:paraId="59CC9E45" w14:textId="509E200C" w:rsidR="00821ADB" w:rsidRDefault="00821ADB" w:rsidP="00821ADB">
      <w:pPr>
        <w:spacing w:after="0" w:line="480" w:lineRule="auto"/>
        <w:rPr>
          <w:rFonts w:ascii="Arial" w:hAnsi="Arial" w:cs="Arial"/>
          <w:sz w:val="24"/>
          <w:szCs w:val="24"/>
        </w:rPr>
      </w:pPr>
      <w:r>
        <w:rPr>
          <w:rFonts w:ascii="Arial" w:hAnsi="Arial" w:cs="Arial"/>
          <w:sz w:val="24"/>
          <w:szCs w:val="24"/>
        </w:rPr>
        <w:t xml:space="preserve">     The most recent ACCP guidelines use % of predicted rather than raw values (e.g. liters/second for FEV1).</w:t>
      </w:r>
      <w:r>
        <w:rPr>
          <w:rFonts w:ascii="Arial" w:hAnsi="Arial" w:cs="Arial"/>
          <w:sz w:val="24"/>
          <w:szCs w:val="24"/>
        </w:rPr>
        <w:fldChar w:fldCharType="begin"/>
      </w:r>
      <w:r w:rsidR="006504F6">
        <w:rPr>
          <w:rFonts w:ascii="Arial" w:hAnsi="Arial" w:cs="Arial"/>
          <w:sz w:val="24"/>
          <w:szCs w:val="24"/>
        </w:rPr>
        <w:instrText xml:space="preserve"> ADDIN EN.CITE &lt;EndNote&gt;&lt;Cite&gt;&lt;Author&gt;Brunelli&lt;/Author&gt;&lt;Year&gt;2013&lt;/Year&gt;&lt;RecNum&gt;2250&lt;/RecNum&gt;&lt;DisplayText&gt;(1)&lt;/DisplayText&gt;&lt;record&gt;&lt;rec-number&gt;2250&lt;/rec-number&gt;&lt;foreign-keys&gt;&lt;key app="EN" db-id="pxstx0zxgapxfaewtpu525rgsp9dvp5vxs2d" timestamp="1407103796"&gt;2250&lt;/key&gt;&lt;/foreign-keys&gt;&lt;ref-type name="Journal Article"&gt;17&lt;/ref-type&gt;&lt;contributors&gt;&lt;authors&gt;&lt;author&gt;Brunelli, A.&lt;/author&gt;&lt;author&gt;Kim, A. W.&lt;/author&gt;&lt;author&gt;Berger, K. I.&lt;/author&gt;&lt;author&gt;Addrizzo-Harris, D. J.&lt;/author&gt;&lt;/authors&gt;&lt;/contributors&gt;&lt;auth-address&gt;Division of Thoracic Surgery, Ospedali Riuniti, Ancona, Italy.&lt;/auth-address&gt;&lt;titles&gt;&lt;title&gt;Physiologic evaluation of the patient with lung cancer being considered for resectional surgery: Diagnosis and management of lung cancer, 3rd ed: American College of Chest Physicians evidence-based clinical practice guidelines&lt;/title&gt;&lt;secondary-title&gt;Chest&lt;/secondary-title&gt;&lt;alt-title&gt;Chest&lt;/alt-title&gt;&lt;/titles&gt;&lt;periodical&gt;&lt;full-title&gt;Chest&lt;/full-title&gt;&lt;/periodical&gt;&lt;alt-periodical&gt;&lt;full-title&gt;Chest&lt;/full-title&gt;&lt;/alt-periodical&gt;&lt;pages&gt;e166S-90S&lt;/pages&gt;&lt;volume&gt;143&lt;/volume&gt;&lt;number&gt;5 Suppl&lt;/number&gt;&lt;edition&gt;2013/05/10&lt;/edition&gt;&lt;keywords&gt;&lt;keyword&gt;Age Factors&lt;/keyword&gt;&lt;keyword&gt;Exercise Test&lt;/keyword&gt;&lt;keyword&gt;Humans&lt;/keyword&gt;&lt;keyword&gt;Lung Neoplasms/*physiopathology/*surgery&lt;/keyword&gt;&lt;keyword&gt;Oxygen Consumption/physiology&lt;/keyword&gt;&lt;keyword&gt;Patient Care Team&lt;/keyword&gt;&lt;keyword&gt;Predictive Value of Tests&lt;/keyword&gt;&lt;keyword&gt;Preoperative Care&lt;/keyword&gt;&lt;keyword&gt;*Respiratory Function Tests&lt;/keyword&gt;&lt;keyword&gt;Risk Assessment&lt;/keyword&gt;&lt;/keywords&gt;&lt;dates&gt;&lt;year&gt;2013&lt;/year&gt;&lt;pub-dates&gt;&lt;date&gt;May&lt;/date&gt;&lt;/pub-dates&gt;&lt;/dates&gt;&lt;isbn&gt;1931-3543 (Electronic)&amp;#xD;0012-3692 (Linking)&lt;/isbn&gt;&lt;accession-num&gt;23649437&lt;/accession-num&gt;&lt;work-type&gt;Practice Guideline&amp;#xD;Research Support, Non-U.S. Gov&amp;apos;t&lt;/work-type&gt;&lt;urls&gt;&lt;related-urls&gt;&lt;url&gt;http://www.ncbi.nlm.nih.gov/pubmed/23649437&lt;/url&gt;&lt;/related-urls&gt;&lt;/urls&gt;&lt;electronic-resource-num&gt;10.1378/chest.12-2395&lt;/electronic-resource-num&gt;&lt;language&gt;eng&lt;/language&gt;&lt;/record&gt;&lt;/Cite&gt;&lt;/EndNote&gt;</w:instrText>
      </w:r>
      <w:r>
        <w:rPr>
          <w:rFonts w:ascii="Arial" w:hAnsi="Arial" w:cs="Arial"/>
          <w:sz w:val="24"/>
          <w:szCs w:val="24"/>
        </w:rPr>
        <w:fldChar w:fldCharType="separate"/>
      </w:r>
      <w:r w:rsidR="006504F6">
        <w:rPr>
          <w:rFonts w:ascii="Arial" w:hAnsi="Arial" w:cs="Arial"/>
          <w:noProof/>
          <w:sz w:val="24"/>
          <w:szCs w:val="24"/>
        </w:rPr>
        <w:t>(1)</w:t>
      </w:r>
      <w:r>
        <w:rPr>
          <w:rFonts w:ascii="Arial" w:hAnsi="Arial" w:cs="Arial"/>
          <w:sz w:val="24"/>
          <w:szCs w:val="24"/>
        </w:rPr>
        <w:fldChar w:fldCharType="end"/>
      </w:r>
      <w:r>
        <w:rPr>
          <w:rFonts w:ascii="Arial" w:hAnsi="Arial" w:cs="Arial"/>
          <w:sz w:val="24"/>
          <w:szCs w:val="24"/>
        </w:rPr>
        <w:t xml:space="preserve">  </w:t>
      </w:r>
      <w:r w:rsidRPr="00541C30">
        <w:rPr>
          <w:rFonts w:ascii="Arial" w:hAnsi="Arial" w:cs="Arial"/>
          <w:sz w:val="24"/>
          <w:szCs w:val="24"/>
        </w:rPr>
        <w:t>The care pathway for preoperative assessment for lobectomy at MD Anderson includes a quantitative perfusion scan as part of the assessment if patients have borderline pulmonary function or performance status.</w:t>
      </w:r>
      <w:r>
        <w:rPr>
          <w:rFonts w:ascii="Arial" w:hAnsi="Arial" w:cs="Arial"/>
          <w:sz w:val="24"/>
          <w:szCs w:val="24"/>
        </w:rPr>
        <w:t xml:space="preserve"> The segment counting methods are not really used.</w:t>
      </w:r>
      <w:r w:rsidRPr="00541C30">
        <w:rPr>
          <w:rFonts w:ascii="Arial" w:hAnsi="Arial" w:cs="Arial"/>
          <w:sz w:val="24"/>
          <w:szCs w:val="24"/>
        </w:rPr>
        <w:t xml:space="preserve"> </w:t>
      </w:r>
      <w:r>
        <w:rPr>
          <w:rFonts w:ascii="Arial" w:hAnsi="Arial" w:cs="Arial"/>
          <w:sz w:val="24"/>
          <w:szCs w:val="24"/>
        </w:rPr>
        <w:t xml:space="preserve"> Our i</w:t>
      </w:r>
      <w:r w:rsidRPr="00541C30">
        <w:rPr>
          <w:rFonts w:ascii="Arial" w:hAnsi="Arial" w:cs="Arial"/>
          <w:sz w:val="24"/>
          <w:szCs w:val="24"/>
        </w:rPr>
        <w:t>nstitutional gui</w:t>
      </w:r>
      <w:r>
        <w:rPr>
          <w:rFonts w:ascii="Arial" w:hAnsi="Arial" w:cs="Arial"/>
          <w:sz w:val="24"/>
          <w:szCs w:val="24"/>
        </w:rPr>
        <w:t>delines use a threshold ppoFEV1</w:t>
      </w:r>
      <w:r w:rsidRPr="00541C30">
        <w:rPr>
          <w:rFonts w:ascii="Arial" w:hAnsi="Arial" w:cs="Arial"/>
          <w:sz w:val="24"/>
          <w:szCs w:val="24"/>
        </w:rPr>
        <w:t xml:space="preserve"> and ppoDLCO of 40% of predicted to guide decision making.  When both </w:t>
      </w:r>
      <w:r>
        <w:rPr>
          <w:rFonts w:ascii="Arial" w:hAnsi="Arial" w:cs="Arial"/>
          <w:sz w:val="24"/>
          <w:szCs w:val="24"/>
        </w:rPr>
        <w:t>ppo</w:t>
      </w:r>
      <w:r w:rsidRPr="00541C30">
        <w:rPr>
          <w:rFonts w:ascii="Arial" w:hAnsi="Arial" w:cs="Arial"/>
          <w:sz w:val="24"/>
          <w:szCs w:val="24"/>
        </w:rPr>
        <w:t xml:space="preserve">FEV1 and </w:t>
      </w:r>
      <w:r>
        <w:rPr>
          <w:rFonts w:ascii="Arial" w:hAnsi="Arial" w:cs="Arial"/>
          <w:sz w:val="24"/>
          <w:szCs w:val="24"/>
        </w:rPr>
        <w:t>ppo</w:t>
      </w:r>
      <w:r w:rsidRPr="00541C30">
        <w:rPr>
          <w:rFonts w:ascii="Arial" w:hAnsi="Arial" w:cs="Arial"/>
          <w:sz w:val="24"/>
          <w:szCs w:val="24"/>
        </w:rPr>
        <w:t>DLCO are greater than 40% of predicted patients are deemed as acceptable surgical risks from a pulmonary perspective. When eit</w:t>
      </w:r>
      <w:r>
        <w:rPr>
          <w:rFonts w:ascii="Arial" w:hAnsi="Arial" w:cs="Arial"/>
          <w:sz w:val="24"/>
          <w:szCs w:val="24"/>
        </w:rPr>
        <w:t>her or both ppoFEV1 or ppoDLCO</w:t>
      </w:r>
      <w:r w:rsidRPr="00541C30">
        <w:rPr>
          <w:rFonts w:ascii="Arial" w:hAnsi="Arial" w:cs="Arial"/>
          <w:sz w:val="24"/>
          <w:szCs w:val="24"/>
        </w:rPr>
        <w:t xml:space="preserve"> are 30-39% of predicted, pulmonary exercise testing is used to further inform the decision.  If either ppoFEV1 or ppoDLCO are less than 30% this is con</w:t>
      </w:r>
      <w:r>
        <w:rPr>
          <w:rFonts w:ascii="Arial" w:hAnsi="Arial" w:cs="Arial"/>
          <w:sz w:val="24"/>
          <w:szCs w:val="24"/>
        </w:rPr>
        <w:t>sidered high risk for surgery.</w:t>
      </w:r>
    </w:p>
    <w:p w14:paraId="19E09BA1" w14:textId="6C55E606" w:rsidR="00821ADB" w:rsidRDefault="00821ADB" w:rsidP="00821ADB">
      <w:pPr>
        <w:spacing w:after="0" w:line="480" w:lineRule="auto"/>
        <w:rPr>
          <w:rFonts w:ascii="Arial" w:hAnsi="Arial" w:cs="Arial"/>
          <w:sz w:val="24"/>
          <w:szCs w:val="24"/>
        </w:rPr>
      </w:pPr>
      <w:r>
        <w:rPr>
          <w:rFonts w:ascii="Arial" w:hAnsi="Arial" w:cs="Arial"/>
          <w:sz w:val="24"/>
          <w:szCs w:val="24"/>
        </w:rPr>
        <w:t xml:space="preserve">     Looking at the scatter plots of predicted vs. actual postoperative data in figu</w:t>
      </w:r>
      <w:r w:rsidR="00814221">
        <w:rPr>
          <w:rFonts w:ascii="Arial" w:hAnsi="Arial" w:cs="Arial"/>
          <w:sz w:val="24"/>
          <w:szCs w:val="24"/>
        </w:rPr>
        <w:t>re 5</w:t>
      </w:r>
      <w:r>
        <w:rPr>
          <w:rFonts w:ascii="Arial" w:hAnsi="Arial" w:cs="Arial"/>
          <w:sz w:val="24"/>
          <w:szCs w:val="24"/>
        </w:rPr>
        <w:t xml:space="preserve">a for FEV1 and e-figure 2a for DLCO, we see that there are very few points below the horizontal line where the ppo values are equal to 40% of predicted.  This is as per </w:t>
      </w:r>
      <w:r>
        <w:rPr>
          <w:rFonts w:ascii="Arial" w:hAnsi="Arial" w:cs="Arial"/>
          <w:sz w:val="24"/>
          <w:szCs w:val="24"/>
        </w:rPr>
        <w:lastRenderedPageBreak/>
        <w:t>institutional and ACCP guidelines since those patients are less likely to get surgery.  But while ppoFEV1 and ppoDLCO are normally distributed, once we eliminate patients with a ppo value of &lt;40%, we have essentially cut off the left side of the normal distribution, truncating the distribution.</w:t>
      </w:r>
    </w:p>
    <w:p w14:paraId="58BF2BCE" w14:textId="7825F1C5" w:rsidR="00821ADB" w:rsidRDefault="00821ADB" w:rsidP="00821ADB">
      <w:pPr>
        <w:spacing w:after="0" w:line="480" w:lineRule="auto"/>
        <w:rPr>
          <w:rFonts w:ascii="Arial" w:hAnsi="Arial" w:cs="Arial"/>
          <w:sz w:val="24"/>
          <w:szCs w:val="24"/>
        </w:rPr>
      </w:pPr>
      <w:r>
        <w:rPr>
          <w:rFonts w:ascii="Arial" w:hAnsi="Arial" w:cs="Arial"/>
          <w:sz w:val="24"/>
          <w:szCs w:val="24"/>
        </w:rPr>
        <w:t xml:space="preserve">     How will this impact the Bland Altman (BA) plot and interpretation?  This is easier to understand by visualizing where the eliminated patients would be in the BA plot.  This is shown in e-figures 4 for DLCO and e-figure 5 for FEV1.  The BA plots in panel A include only patients that actually had surgery. To analyze the BA plot we need to see if the bias changes as the observed postoperative value changes, so we regress the difference between predicted and observed on the actual observed value.  This is the solid blue line in panel A of e-figures 4 and 5.  Note that the slope is significantly different than 0, so we know that the bias is not constant.  Hence we have to report regression-based 95% limits of agreement</w:t>
      </w:r>
      <w:r w:rsidR="002B3935">
        <w:rPr>
          <w:rFonts w:ascii="Arial" w:hAnsi="Arial" w:cs="Arial"/>
          <w:sz w:val="24"/>
          <w:szCs w:val="24"/>
        </w:rPr>
        <w:t xml:space="preserve"> (LOA; shown by the blue dashed lines) rather than considering the LOA as fixed (as shown by the horizontal dashed lines)</w:t>
      </w:r>
      <w:r>
        <w:rPr>
          <w:rFonts w:ascii="Arial" w:hAnsi="Arial" w:cs="Arial"/>
          <w:sz w:val="24"/>
          <w:szCs w:val="24"/>
        </w:rPr>
        <w:t>.</w:t>
      </w:r>
      <w:r>
        <w:rPr>
          <w:rFonts w:ascii="Arial" w:hAnsi="Arial" w:cs="Arial"/>
          <w:sz w:val="24"/>
          <w:szCs w:val="24"/>
        </w:rPr>
        <w:fldChar w:fldCharType="begin"/>
      </w:r>
      <w:r w:rsidR="009E5855">
        <w:rPr>
          <w:rFonts w:ascii="Arial" w:hAnsi="Arial" w:cs="Arial"/>
          <w:sz w:val="24"/>
          <w:szCs w:val="24"/>
        </w:rPr>
        <w:instrText xml:space="preserve"> ADDIN EN.CITE &lt;EndNote&gt;&lt;Cite&gt;&lt;Author&gt;Bland&lt;/Author&gt;&lt;Year&gt;1999&lt;/Year&gt;&lt;RecNum&gt;602&lt;/RecNum&gt;&lt;DisplayText&gt;(7)&lt;/DisplayText&gt;&lt;record&gt;&lt;rec-number&gt;602&lt;/rec-number&gt;&lt;foreign-keys&gt;&lt;key app="EN" db-id="pxstx0zxgapxfaewtpu525rgsp9dvp5vxs2d" timestamp="1264627045"&gt;602&lt;/key&gt;&lt;/foreign-keys&gt;&lt;ref-type name="Journal Article"&gt;17&lt;/ref-type&gt;&lt;contributors&gt;&lt;authors&gt;&lt;author&gt;Bland, J. M.&lt;/author&gt;&lt;author&gt;Altman, D. G.&lt;/author&gt;&lt;/authors&gt;&lt;/contributors&gt;&lt;auth-address&gt;Department of Public Health Sciences, St George&amp;apos;s Hospital Medical School, London, UK.&lt;/auth-address&gt;&lt;titles&gt;&lt;title&gt;Measuring agreement in method comparison studies&lt;/title&gt;&lt;secondary-title&gt;Stat Methods Med Res&lt;/secondary-title&gt;&lt;/titles&gt;&lt;periodical&gt;&lt;full-title&gt;Stat Methods Med Res&lt;/full-title&gt;&lt;/periodical&gt;&lt;pages&gt;135-60&lt;/pages&gt;&lt;volume&gt;8&lt;/volume&gt;&lt;number&gt;2&lt;/number&gt;&lt;edition&gt;1999/09/29&lt;/edition&gt;&lt;keywords&gt;&lt;keyword&gt;Confidence Intervals&lt;/keyword&gt;&lt;keyword&gt;Humans&lt;/keyword&gt;&lt;keyword&gt;Laboratory Techniques and Procedures/*statistics &amp;amp; numerical data&lt;/keyword&gt;&lt;keyword&gt;Linear Models&lt;/keyword&gt;&lt;keyword&gt;*Reproducibility of Results&lt;/keyword&gt;&lt;keyword&gt;Statistics, Nonparametric&lt;/keyword&gt;&lt;keyword&gt;Technology, Medical/*statistics &amp;amp; numerical data&lt;/keyword&gt;&lt;/keywords&gt;&lt;dates&gt;&lt;year&gt;1999&lt;/year&gt;&lt;pub-dates&gt;&lt;date&gt;Jun&lt;/date&gt;&lt;/pub-dates&gt;&lt;/dates&gt;&lt;isbn&gt;0962-2802 (Print)&amp;#xD;0962-2802 (Linking)&lt;/isbn&gt;&lt;accession-num&gt;10501650&lt;/accession-num&gt;&lt;urls&gt;&lt;related-urls&gt;&lt;url&gt;http://www.ncbi.nlm.nih.gov/entrez/query.fcgi?cmd=Retrieve&amp;amp;db=PubMed&amp;amp;dopt=Citation&amp;amp;list_uids=10501650&lt;/url&gt;&lt;/related-urls&gt;&lt;/urls&gt;&lt;language&gt;eng&lt;/language&gt;&lt;/record&gt;&lt;/Cite&gt;&lt;/EndNote&gt;</w:instrText>
      </w:r>
      <w:r>
        <w:rPr>
          <w:rFonts w:ascii="Arial" w:hAnsi="Arial" w:cs="Arial"/>
          <w:sz w:val="24"/>
          <w:szCs w:val="24"/>
        </w:rPr>
        <w:fldChar w:fldCharType="separate"/>
      </w:r>
      <w:r w:rsidR="009E5855">
        <w:rPr>
          <w:rFonts w:ascii="Arial" w:hAnsi="Arial" w:cs="Arial"/>
          <w:noProof/>
          <w:sz w:val="24"/>
          <w:szCs w:val="24"/>
        </w:rPr>
        <w:t>(7)</w:t>
      </w:r>
      <w:r>
        <w:rPr>
          <w:rFonts w:ascii="Arial" w:hAnsi="Arial" w:cs="Arial"/>
          <w:sz w:val="24"/>
          <w:szCs w:val="24"/>
        </w:rPr>
        <w:fldChar w:fldCharType="end"/>
      </w:r>
      <w:r>
        <w:rPr>
          <w:rFonts w:ascii="Arial" w:hAnsi="Arial" w:cs="Arial"/>
          <w:sz w:val="24"/>
          <w:szCs w:val="24"/>
        </w:rPr>
        <w:t xml:space="preserve">  The regression-based 95% LOA are shown by the dashed blue lines.</w:t>
      </w:r>
    </w:p>
    <w:p w14:paraId="39006025" w14:textId="032D1A90" w:rsidR="00821ADB" w:rsidRDefault="00821ADB" w:rsidP="00821ADB">
      <w:pPr>
        <w:spacing w:after="0" w:line="480" w:lineRule="auto"/>
        <w:rPr>
          <w:rFonts w:ascii="Arial" w:hAnsi="Arial" w:cs="Arial"/>
          <w:sz w:val="24"/>
          <w:szCs w:val="24"/>
        </w:rPr>
      </w:pPr>
      <w:r>
        <w:rPr>
          <w:rFonts w:ascii="Arial" w:hAnsi="Arial" w:cs="Arial"/>
          <w:sz w:val="24"/>
          <w:szCs w:val="24"/>
        </w:rPr>
        <w:t xml:space="preserve">     Where would patients with a ppo value of 40% or less be located? The heavy red dashed line </w:t>
      </w:r>
      <w:r w:rsidR="00DA6428">
        <w:rPr>
          <w:rFonts w:ascii="Arial" w:hAnsi="Arial" w:cs="Arial"/>
          <w:sz w:val="24"/>
          <w:szCs w:val="24"/>
        </w:rPr>
        <w:t xml:space="preserve">(e-figure 4) </w:t>
      </w:r>
      <w:r>
        <w:rPr>
          <w:rFonts w:ascii="Arial" w:hAnsi="Arial" w:cs="Arial"/>
          <w:sz w:val="24"/>
          <w:szCs w:val="24"/>
        </w:rPr>
        <w:t>represents patients that have a ppo value of exactly 40%. Since difference on the vertical axis is ppo value minus actual postoperative value, patients with a ppo value of less than 40% will lie below and to the left of this line, while patients with ppo values greater than 40% will be above and to the right of it.  There are almost no patients in this area since as we observed above the distribution is truncated based on guidelines and institutional thresholds.</w:t>
      </w:r>
    </w:p>
    <w:p w14:paraId="5E752AE7" w14:textId="4C7F207D" w:rsidR="00821ADB" w:rsidRPr="00541C30" w:rsidRDefault="00821ADB" w:rsidP="00821ADB">
      <w:pPr>
        <w:spacing w:after="0" w:line="480" w:lineRule="auto"/>
        <w:rPr>
          <w:rFonts w:ascii="Arial" w:hAnsi="Arial" w:cs="Arial"/>
          <w:sz w:val="24"/>
          <w:szCs w:val="24"/>
        </w:rPr>
      </w:pPr>
      <w:r>
        <w:rPr>
          <w:rFonts w:ascii="Arial" w:hAnsi="Arial" w:cs="Arial"/>
          <w:sz w:val="24"/>
          <w:szCs w:val="24"/>
        </w:rPr>
        <w:lastRenderedPageBreak/>
        <w:t xml:space="preserve">     How does missing data impact the slope of the regression line? At the right hand side of the BA plot, when the actual postoperative value is above approximately 70%, this has no impact. But on the left hand side, this results in an asymmetry since only patients above the red line are likely to be observed.  The result is that the regression line becomes steeper and more negative than it should be because of the missing data.  The underlying cause is that for any given patients whose actual postoperative values are in the low to mid-range, a prediction which overestimates the true value is more likely to be included in the analysis (i.e. received surgery and be observed) than predictions that underestimate the true value (i.e. no surgery and therefore unobservable).  It is this asymmetry of inclusion based on the direction of the prediction</w:t>
      </w:r>
      <w:r w:rsidR="005710D7">
        <w:rPr>
          <w:rFonts w:ascii="Arial" w:hAnsi="Arial" w:cs="Arial"/>
          <w:sz w:val="24"/>
          <w:szCs w:val="24"/>
        </w:rPr>
        <w:t xml:space="preserve"> error (i.e. over vs. underestimates) that leads to inaccurate estimates of the true prediction bias</w:t>
      </w:r>
      <w:r>
        <w:rPr>
          <w:rFonts w:ascii="Arial" w:hAnsi="Arial" w:cs="Arial"/>
          <w:sz w:val="24"/>
          <w:szCs w:val="24"/>
        </w:rPr>
        <w:t>.</w:t>
      </w:r>
    </w:p>
    <w:p w14:paraId="4FFBDA5A" w14:textId="6BCC54B6" w:rsidR="00821ADB" w:rsidRPr="007167B7" w:rsidRDefault="00821ADB" w:rsidP="00821ADB">
      <w:pPr>
        <w:spacing w:after="0" w:line="480" w:lineRule="auto"/>
        <w:rPr>
          <w:rFonts w:ascii="Arial" w:hAnsi="Arial" w:cs="Arial"/>
          <w:sz w:val="24"/>
          <w:szCs w:val="24"/>
        </w:rPr>
      </w:pPr>
      <w:r>
        <w:rPr>
          <w:rFonts w:ascii="Arial" w:hAnsi="Arial" w:cs="Arial"/>
          <w:sz w:val="24"/>
          <w:szCs w:val="24"/>
        </w:rPr>
        <w:t xml:space="preserve">     What happens when we include patients with ppo values that are less than 40%?  Panel B in e-figures 4 and 5 shows this.  The red dots are the imputed values for a proportional sample of patients that did not receive surgery because assessed pulmonary reserve was deemed inadequate. Note that many, although not all, are to the left of the red dashed line.  This is because in our institution a value of less than 40% on either FEV1 or DLCO is enough to warrant further evaluation and many patients have only one value (either FEV1 or DLCO) that is less than 40%.  Note the solid blue line represents the regression line which includes the original patients (blue dots) and the patients with ppo values less than 40% (red dots).  Because the red dots are more often down and to the left in the BA plot, the regression line is less steep. </w:t>
      </w:r>
    </w:p>
    <w:p w14:paraId="1C51CB6D" w14:textId="77777777" w:rsidR="00821ADB" w:rsidRPr="006C3C9D" w:rsidRDefault="00821ADB" w:rsidP="00AC2EA5">
      <w:pPr>
        <w:pStyle w:val="BodyText"/>
      </w:pPr>
    </w:p>
    <w:p w14:paraId="249CCB28" w14:textId="77777777" w:rsidR="00F8394E" w:rsidRPr="006C3C9D" w:rsidRDefault="00F8394E" w:rsidP="00AC2EA5">
      <w:pPr>
        <w:pStyle w:val="BodyText"/>
      </w:pPr>
      <w:r w:rsidRPr="006C3C9D">
        <w:lastRenderedPageBreak/>
        <w:t>Clinical Implications: Threshold Values</w:t>
      </w:r>
    </w:p>
    <w:p w14:paraId="2E2A8C95" w14:textId="1737801A" w:rsidR="006C3C9D" w:rsidRPr="006C3C9D" w:rsidRDefault="00F8394E" w:rsidP="006C3C9D">
      <w:pPr>
        <w:pStyle w:val="BodyText"/>
      </w:pPr>
      <w:r w:rsidRPr="006C3C9D">
        <w:t xml:space="preserve">     Scatter and contour plots of the bivariate </w:t>
      </w:r>
      <w:r w:rsidR="006C3C9D" w:rsidRPr="006C3C9D">
        <w:t>normal distribution fo</w:t>
      </w:r>
      <w:r w:rsidR="00814221">
        <w:t>r FEV1 are shown in figure 5 of the main manuscript and e-f</w:t>
      </w:r>
      <w:r w:rsidR="006C3C9D" w:rsidRPr="006C3C9D">
        <w:t xml:space="preserve">igures </w:t>
      </w:r>
      <w:r w:rsidR="00814221">
        <w:t>1.  DLCO plots are show in e</w:t>
      </w:r>
      <w:r w:rsidR="00BD4E9A">
        <w:t>-</w:t>
      </w:r>
      <w:r w:rsidR="00814221">
        <w:t>f</w:t>
      </w:r>
      <w:r w:rsidR="00126ACD">
        <w:t xml:space="preserve">igures </w:t>
      </w:r>
      <w:r w:rsidR="00814221">
        <w:t>2 and 3</w:t>
      </w:r>
      <w:r w:rsidR="00126ACD">
        <w:t xml:space="preserve">.  </w:t>
      </w:r>
      <w:r w:rsidR="006C3C9D" w:rsidRPr="006C3C9D">
        <w:t>Note that the original observed data</w:t>
      </w:r>
      <w:r w:rsidR="006C3C9D">
        <w:t xml:space="preserve"> (e-figure 1a)</w:t>
      </w:r>
      <w:r w:rsidR="006C3C9D" w:rsidRPr="006C3C9D">
        <w:t xml:space="preserve"> clearly shows the impact of selection bias, manifest as left sided truncation, because there are very few patients with a predicted FEV1 less than 40% by Q scan.  </w:t>
      </w:r>
      <w:r w:rsidR="006C3C9D">
        <w:t>E-figure 1b shows the impact of</w:t>
      </w:r>
      <w:r w:rsidR="006C3C9D" w:rsidRPr="006C3C9D">
        <w:t xml:space="preserve"> correction for truncation</w:t>
      </w:r>
      <w:r w:rsidR="006C3C9D">
        <w:t xml:space="preserve"> (i.e. selection bias) using the tmvnorm function.  Figure c and d show the contour plots of the corrected underlying bivariate normal distribution for desired postoperative values of 30% and 40% respectively and their corresponding predicted value thresholds. </w:t>
      </w:r>
    </w:p>
    <w:p w14:paraId="315FFBCF" w14:textId="77777777" w:rsidR="00F8394E" w:rsidRDefault="00F8394E" w:rsidP="00AC2EA5">
      <w:pPr>
        <w:pStyle w:val="BodyText"/>
      </w:pPr>
    </w:p>
    <w:p w14:paraId="4A4BF935" w14:textId="77777777" w:rsidR="00F8394E" w:rsidRDefault="00F8394E" w:rsidP="00AC2EA5">
      <w:pPr>
        <w:pStyle w:val="BodyText"/>
      </w:pPr>
    </w:p>
    <w:p w14:paraId="75D3A445" w14:textId="3EE1F8F9" w:rsidR="0013524F" w:rsidRDefault="00AC2EA5" w:rsidP="00AC2EA5">
      <w:pPr>
        <w:pStyle w:val="BodyText"/>
        <w:rPr>
          <w:color w:val="000000"/>
        </w:rPr>
      </w:pPr>
      <w:r>
        <w:t xml:space="preserve">  </w:t>
      </w:r>
      <w:r w:rsidR="0013524F">
        <w:rPr>
          <w:color w:val="000000"/>
        </w:rPr>
        <w:t>e-Table 1.  Missing Data patterns for FEV1</w:t>
      </w:r>
    </w:p>
    <w:p w14:paraId="5351DC48" w14:textId="77777777" w:rsidR="0013524F" w:rsidRDefault="0013524F" w:rsidP="0013524F">
      <w:pPr>
        <w:autoSpaceDE w:val="0"/>
        <w:adjustRightInd w:val="0"/>
        <w:spacing w:after="0" w:line="240" w:lineRule="auto"/>
        <w:rPr>
          <w:color w:val="000000"/>
          <w:sz w:val="24"/>
          <w:szCs w:val="24"/>
        </w:rPr>
      </w:pPr>
    </w:p>
    <w:p w14:paraId="067CA1AF" w14:textId="77777777" w:rsidR="0013524F" w:rsidRPr="009065CE" w:rsidRDefault="0013524F" w:rsidP="0013524F">
      <w:pPr>
        <w:autoSpaceDE w:val="0"/>
        <w:adjustRightInd w:val="0"/>
        <w:spacing w:after="0" w:line="240" w:lineRule="auto"/>
        <w:rPr>
          <w:color w:val="000000"/>
        </w:rPr>
      </w:pPr>
    </w:p>
    <w:p w14:paraId="76535CC9" w14:textId="77777777" w:rsidR="0013524F" w:rsidRDefault="0013524F" w:rsidP="0013524F">
      <w:pPr>
        <w:autoSpaceDE w:val="0"/>
        <w:adjustRightInd w:val="0"/>
        <w:spacing w:after="0" w:line="240" w:lineRule="auto"/>
        <w:rPr>
          <w:color w:val="000000"/>
          <w:sz w:val="24"/>
          <w:szCs w:val="24"/>
        </w:rPr>
      </w:pPr>
      <w:bookmarkStart w:id="1" w:name="IDX"/>
      <w:bookmarkEnd w:id="1"/>
    </w:p>
    <w:tbl>
      <w:tblPr>
        <w:tblStyle w:val="TableGridLight"/>
        <w:tblW w:w="8455" w:type="dxa"/>
        <w:tblLayout w:type="fixed"/>
        <w:tblLook w:val="0000" w:firstRow="0" w:lastRow="0" w:firstColumn="0" w:lastColumn="0" w:noHBand="0" w:noVBand="0"/>
      </w:tblPr>
      <w:tblGrid>
        <w:gridCol w:w="1435"/>
        <w:gridCol w:w="1260"/>
        <w:gridCol w:w="1323"/>
        <w:gridCol w:w="1207"/>
        <w:gridCol w:w="1235"/>
        <w:gridCol w:w="1995"/>
      </w:tblGrid>
      <w:tr w:rsidR="0013524F" w14:paraId="234D7FD6" w14:textId="77777777" w:rsidTr="00AE0D69">
        <w:trPr>
          <w:trHeight w:hRule="exact" w:val="451"/>
        </w:trPr>
        <w:tc>
          <w:tcPr>
            <w:tcW w:w="1435" w:type="dxa"/>
            <w:vMerge w:val="restart"/>
            <w:tcBorders>
              <w:top w:val="single" w:sz="12" w:space="0" w:color="auto"/>
            </w:tcBorders>
          </w:tcPr>
          <w:p w14:paraId="771B7D48" w14:textId="77777777" w:rsidR="0013524F" w:rsidRDefault="0013524F" w:rsidP="001E0FE7">
            <w:pPr>
              <w:keepNext/>
              <w:adjustRightInd w:val="0"/>
              <w:spacing w:before="60" w:after="60"/>
              <w:jc w:val="right"/>
              <w:rPr>
                <w:b/>
                <w:bCs/>
                <w:color w:val="000000"/>
              </w:rPr>
            </w:pPr>
            <w:r>
              <w:rPr>
                <w:b/>
                <w:bCs/>
                <w:color w:val="000000"/>
              </w:rPr>
              <w:t>Group</w:t>
            </w:r>
          </w:p>
        </w:tc>
        <w:tc>
          <w:tcPr>
            <w:tcW w:w="1260" w:type="dxa"/>
            <w:tcBorders>
              <w:top w:val="single" w:sz="12" w:space="0" w:color="auto"/>
            </w:tcBorders>
          </w:tcPr>
          <w:p w14:paraId="74A23381" w14:textId="77777777" w:rsidR="0013524F" w:rsidRDefault="0013524F" w:rsidP="001E0FE7">
            <w:pPr>
              <w:keepNext/>
              <w:adjustRightInd w:val="0"/>
              <w:spacing w:before="60" w:after="60"/>
              <w:jc w:val="center"/>
              <w:rPr>
                <w:b/>
                <w:bCs/>
                <w:color w:val="000000"/>
              </w:rPr>
            </w:pPr>
          </w:p>
        </w:tc>
        <w:tc>
          <w:tcPr>
            <w:tcW w:w="5760" w:type="dxa"/>
            <w:gridSpan w:val="4"/>
            <w:tcBorders>
              <w:top w:val="single" w:sz="12" w:space="0" w:color="auto"/>
            </w:tcBorders>
          </w:tcPr>
          <w:p w14:paraId="0D9EE1EA" w14:textId="77777777" w:rsidR="0013524F" w:rsidRDefault="0013524F" w:rsidP="001E0FE7">
            <w:pPr>
              <w:keepNext/>
              <w:adjustRightInd w:val="0"/>
              <w:spacing w:before="60" w:after="60"/>
              <w:jc w:val="center"/>
              <w:rPr>
                <w:b/>
                <w:bCs/>
                <w:color w:val="000000"/>
              </w:rPr>
            </w:pPr>
            <w:r>
              <w:rPr>
                <w:b/>
                <w:bCs/>
                <w:color w:val="000000"/>
              </w:rPr>
              <w:t>Group Means</w:t>
            </w:r>
          </w:p>
        </w:tc>
      </w:tr>
      <w:tr w:rsidR="00B82ED4" w14:paraId="5B9C217C" w14:textId="77777777" w:rsidTr="00354B2A">
        <w:trPr>
          <w:trHeight w:hRule="exact" w:val="1027"/>
        </w:trPr>
        <w:tc>
          <w:tcPr>
            <w:tcW w:w="1435" w:type="dxa"/>
            <w:vMerge/>
            <w:tcBorders>
              <w:bottom w:val="single" w:sz="12" w:space="0" w:color="auto"/>
            </w:tcBorders>
          </w:tcPr>
          <w:p w14:paraId="6F2E0690" w14:textId="77777777" w:rsidR="00B82ED4" w:rsidRDefault="00B82ED4" w:rsidP="00B82ED4">
            <w:pPr>
              <w:keepNext/>
              <w:adjustRightInd w:val="0"/>
              <w:rPr>
                <w:sz w:val="24"/>
                <w:szCs w:val="24"/>
              </w:rPr>
            </w:pPr>
          </w:p>
        </w:tc>
        <w:tc>
          <w:tcPr>
            <w:tcW w:w="1260" w:type="dxa"/>
            <w:tcBorders>
              <w:bottom w:val="single" w:sz="12" w:space="0" w:color="auto"/>
            </w:tcBorders>
          </w:tcPr>
          <w:p w14:paraId="53BEA9A3" w14:textId="77777777" w:rsidR="00B82ED4" w:rsidRDefault="00B82ED4" w:rsidP="00B82ED4">
            <w:pPr>
              <w:pStyle w:val="Heading3"/>
              <w:outlineLvl w:val="2"/>
            </w:pPr>
            <w:r>
              <w:t>Frequency (%)</w:t>
            </w:r>
          </w:p>
        </w:tc>
        <w:tc>
          <w:tcPr>
            <w:tcW w:w="1323" w:type="dxa"/>
            <w:tcBorders>
              <w:bottom w:val="single" w:sz="12" w:space="0" w:color="auto"/>
            </w:tcBorders>
          </w:tcPr>
          <w:p w14:paraId="547EBEA3" w14:textId="77777777" w:rsidR="00B82ED4" w:rsidRDefault="00B82ED4" w:rsidP="00B82ED4">
            <w:pPr>
              <w:keepNext/>
              <w:adjustRightInd w:val="0"/>
              <w:spacing w:before="60" w:after="60"/>
              <w:jc w:val="center"/>
              <w:rPr>
                <w:b/>
                <w:bCs/>
                <w:color w:val="000000"/>
              </w:rPr>
            </w:pPr>
            <w:r>
              <w:rPr>
                <w:b/>
                <w:bCs/>
                <w:color w:val="000000"/>
              </w:rPr>
              <w:t>ppoFEV1</w:t>
            </w:r>
          </w:p>
          <w:p w14:paraId="1D6446B0" w14:textId="77777777" w:rsidR="00B82ED4" w:rsidRDefault="00B82ED4" w:rsidP="00B82ED4">
            <w:pPr>
              <w:keepNext/>
              <w:adjustRightInd w:val="0"/>
              <w:spacing w:before="60" w:after="60"/>
              <w:jc w:val="center"/>
              <w:rPr>
                <w:b/>
                <w:bCs/>
                <w:color w:val="000000"/>
              </w:rPr>
            </w:pPr>
            <w:r>
              <w:rPr>
                <w:b/>
                <w:bCs/>
                <w:color w:val="000000"/>
              </w:rPr>
              <w:t>Q Model</w:t>
            </w:r>
          </w:p>
        </w:tc>
        <w:tc>
          <w:tcPr>
            <w:tcW w:w="1207" w:type="dxa"/>
            <w:tcBorders>
              <w:bottom w:val="single" w:sz="12" w:space="0" w:color="auto"/>
            </w:tcBorders>
          </w:tcPr>
          <w:p w14:paraId="2AF88EC1" w14:textId="77777777" w:rsidR="00B82ED4" w:rsidRDefault="00B82ED4" w:rsidP="00B82ED4">
            <w:pPr>
              <w:keepNext/>
              <w:adjustRightInd w:val="0"/>
              <w:spacing w:before="60" w:after="60"/>
              <w:jc w:val="center"/>
              <w:rPr>
                <w:b/>
                <w:bCs/>
                <w:color w:val="000000"/>
              </w:rPr>
            </w:pPr>
            <w:r>
              <w:rPr>
                <w:b/>
                <w:bCs/>
                <w:color w:val="000000"/>
              </w:rPr>
              <w:t>ppoFEV1</w:t>
            </w:r>
          </w:p>
          <w:p w14:paraId="1C893A2A" w14:textId="77777777" w:rsidR="00B82ED4" w:rsidRDefault="00B82ED4" w:rsidP="00B82ED4">
            <w:pPr>
              <w:pStyle w:val="Heading3"/>
              <w:outlineLvl w:val="2"/>
            </w:pPr>
            <w:r>
              <w:t>SC18 Model</w:t>
            </w:r>
          </w:p>
        </w:tc>
        <w:tc>
          <w:tcPr>
            <w:tcW w:w="1235" w:type="dxa"/>
            <w:tcBorders>
              <w:bottom w:val="single" w:sz="12" w:space="0" w:color="auto"/>
            </w:tcBorders>
          </w:tcPr>
          <w:p w14:paraId="57890BA3" w14:textId="77777777" w:rsidR="00B82ED4" w:rsidRDefault="00B82ED4" w:rsidP="00B82ED4">
            <w:pPr>
              <w:keepNext/>
              <w:adjustRightInd w:val="0"/>
              <w:spacing w:before="60" w:after="60"/>
              <w:jc w:val="center"/>
              <w:rPr>
                <w:b/>
                <w:bCs/>
                <w:color w:val="000000"/>
              </w:rPr>
            </w:pPr>
            <w:r>
              <w:rPr>
                <w:b/>
                <w:bCs/>
                <w:color w:val="000000"/>
              </w:rPr>
              <w:t>ppoFEV1</w:t>
            </w:r>
          </w:p>
          <w:p w14:paraId="3F9056C3" w14:textId="77777777" w:rsidR="00B82ED4" w:rsidRDefault="00B82ED4" w:rsidP="00B82ED4">
            <w:pPr>
              <w:pStyle w:val="Heading3"/>
              <w:outlineLvl w:val="2"/>
            </w:pPr>
            <w:r>
              <w:t>SC19 Model</w:t>
            </w:r>
          </w:p>
        </w:tc>
        <w:tc>
          <w:tcPr>
            <w:tcW w:w="1995" w:type="dxa"/>
            <w:tcBorders>
              <w:bottom w:val="single" w:sz="12" w:space="0" w:color="auto"/>
            </w:tcBorders>
          </w:tcPr>
          <w:p w14:paraId="1F5D5BEC" w14:textId="77777777" w:rsidR="00B82ED4" w:rsidRDefault="00B82ED4" w:rsidP="00B82ED4">
            <w:pPr>
              <w:pStyle w:val="Heading3"/>
              <w:outlineLvl w:val="2"/>
            </w:pPr>
            <w:r>
              <w:t>Actual Postoperative FEV1</w:t>
            </w:r>
          </w:p>
        </w:tc>
      </w:tr>
      <w:tr w:rsidR="0013524F" w14:paraId="4C0647BB" w14:textId="77777777" w:rsidTr="00AE0D69">
        <w:trPr>
          <w:trHeight w:hRule="exact" w:val="874"/>
        </w:trPr>
        <w:tc>
          <w:tcPr>
            <w:tcW w:w="1435" w:type="dxa"/>
            <w:tcBorders>
              <w:top w:val="single" w:sz="12" w:space="0" w:color="auto"/>
              <w:bottom w:val="single" w:sz="4" w:space="0" w:color="BFBFBF" w:themeColor="background1" w:themeShade="BF"/>
            </w:tcBorders>
          </w:tcPr>
          <w:p w14:paraId="0FBD6718" w14:textId="77777777" w:rsidR="0013524F" w:rsidRDefault="0013524F" w:rsidP="00AE0D69">
            <w:pPr>
              <w:adjustRightInd w:val="0"/>
              <w:spacing w:before="60" w:after="60"/>
              <w:rPr>
                <w:b/>
                <w:bCs/>
                <w:color w:val="000000"/>
              </w:rPr>
            </w:pPr>
            <w:r>
              <w:rPr>
                <w:b/>
                <w:bCs/>
                <w:color w:val="000000"/>
              </w:rPr>
              <w:t xml:space="preserve">Complete Data (Surgery) </w:t>
            </w:r>
          </w:p>
        </w:tc>
        <w:tc>
          <w:tcPr>
            <w:tcW w:w="1260" w:type="dxa"/>
            <w:tcBorders>
              <w:top w:val="single" w:sz="12" w:space="0" w:color="auto"/>
              <w:bottom w:val="single" w:sz="4" w:space="0" w:color="BFBFBF" w:themeColor="background1" w:themeShade="BF"/>
            </w:tcBorders>
          </w:tcPr>
          <w:p w14:paraId="7028BD69" w14:textId="77777777" w:rsidR="0013524F" w:rsidRDefault="00B82ED4" w:rsidP="00B82ED4">
            <w:pPr>
              <w:keepNext/>
              <w:adjustRightInd w:val="0"/>
              <w:spacing w:before="60" w:after="60"/>
              <w:jc w:val="center"/>
              <w:rPr>
                <w:color w:val="000000"/>
              </w:rPr>
            </w:pPr>
            <w:r>
              <w:rPr>
                <w:color w:val="000000"/>
              </w:rPr>
              <w:t>79 (69)</w:t>
            </w:r>
          </w:p>
        </w:tc>
        <w:tc>
          <w:tcPr>
            <w:tcW w:w="1323" w:type="dxa"/>
            <w:tcBorders>
              <w:top w:val="single" w:sz="12" w:space="0" w:color="auto"/>
              <w:bottom w:val="single" w:sz="4" w:space="0" w:color="BFBFBF" w:themeColor="background1" w:themeShade="BF"/>
            </w:tcBorders>
          </w:tcPr>
          <w:p w14:paraId="65F7601A" w14:textId="77777777" w:rsidR="0013524F" w:rsidRDefault="0013524F" w:rsidP="00B82ED4">
            <w:pPr>
              <w:keepNext/>
              <w:adjustRightInd w:val="0"/>
              <w:spacing w:before="60" w:after="60"/>
              <w:jc w:val="center"/>
              <w:rPr>
                <w:color w:val="000000"/>
              </w:rPr>
            </w:pPr>
            <w:r>
              <w:rPr>
                <w:color w:val="000000"/>
              </w:rPr>
              <w:t>65.9</w:t>
            </w:r>
          </w:p>
        </w:tc>
        <w:tc>
          <w:tcPr>
            <w:tcW w:w="1207" w:type="dxa"/>
            <w:tcBorders>
              <w:top w:val="single" w:sz="12" w:space="0" w:color="auto"/>
              <w:bottom w:val="single" w:sz="4" w:space="0" w:color="BFBFBF" w:themeColor="background1" w:themeShade="BF"/>
            </w:tcBorders>
          </w:tcPr>
          <w:p w14:paraId="5E2EA221" w14:textId="77777777" w:rsidR="0013524F" w:rsidRDefault="0013524F" w:rsidP="00B82ED4">
            <w:pPr>
              <w:keepNext/>
              <w:adjustRightInd w:val="0"/>
              <w:spacing w:before="60" w:after="60"/>
              <w:jc w:val="center"/>
              <w:rPr>
                <w:color w:val="000000"/>
              </w:rPr>
            </w:pPr>
            <w:r>
              <w:rPr>
                <w:color w:val="000000"/>
              </w:rPr>
              <w:t>65.</w:t>
            </w:r>
            <w:r w:rsidR="00B82ED4">
              <w:rPr>
                <w:color w:val="000000"/>
              </w:rPr>
              <w:t>9</w:t>
            </w:r>
          </w:p>
        </w:tc>
        <w:tc>
          <w:tcPr>
            <w:tcW w:w="1235" w:type="dxa"/>
            <w:tcBorders>
              <w:top w:val="single" w:sz="12" w:space="0" w:color="auto"/>
              <w:bottom w:val="single" w:sz="4" w:space="0" w:color="BFBFBF" w:themeColor="background1" w:themeShade="BF"/>
            </w:tcBorders>
          </w:tcPr>
          <w:p w14:paraId="3E0EC047" w14:textId="77777777" w:rsidR="0013524F" w:rsidRDefault="0013524F" w:rsidP="00B82ED4">
            <w:pPr>
              <w:keepNext/>
              <w:adjustRightInd w:val="0"/>
              <w:spacing w:before="60" w:after="60"/>
              <w:jc w:val="center"/>
              <w:rPr>
                <w:color w:val="000000"/>
              </w:rPr>
            </w:pPr>
            <w:r>
              <w:rPr>
                <w:color w:val="000000"/>
              </w:rPr>
              <w:t>65.</w:t>
            </w:r>
            <w:r w:rsidR="00B82ED4">
              <w:rPr>
                <w:color w:val="000000"/>
              </w:rPr>
              <w:t>8</w:t>
            </w:r>
          </w:p>
        </w:tc>
        <w:tc>
          <w:tcPr>
            <w:tcW w:w="1995" w:type="dxa"/>
            <w:tcBorders>
              <w:top w:val="single" w:sz="12" w:space="0" w:color="auto"/>
              <w:bottom w:val="single" w:sz="4" w:space="0" w:color="BFBFBF" w:themeColor="background1" w:themeShade="BF"/>
            </w:tcBorders>
          </w:tcPr>
          <w:p w14:paraId="56F33A09" w14:textId="77777777" w:rsidR="0013524F" w:rsidRDefault="0013524F" w:rsidP="00B82ED4">
            <w:pPr>
              <w:keepNext/>
              <w:adjustRightInd w:val="0"/>
              <w:spacing w:before="60" w:after="60"/>
              <w:jc w:val="center"/>
              <w:rPr>
                <w:color w:val="000000"/>
              </w:rPr>
            </w:pPr>
            <w:r>
              <w:rPr>
                <w:color w:val="000000"/>
              </w:rPr>
              <w:t>68.</w:t>
            </w:r>
            <w:r w:rsidR="00B82ED4">
              <w:rPr>
                <w:color w:val="000000"/>
              </w:rPr>
              <w:t>4</w:t>
            </w:r>
          </w:p>
        </w:tc>
      </w:tr>
      <w:tr w:rsidR="0013524F" w14:paraId="3C9A5041" w14:textId="77777777" w:rsidTr="00AE0D69">
        <w:trPr>
          <w:trHeight w:hRule="exact" w:val="962"/>
        </w:trPr>
        <w:tc>
          <w:tcPr>
            <w:tcW w:w="1435" w:type="dxa"/>
            <w:tcBorders>
              <w:bottom w:val="single" w:sz="12" w:space="0" w:color="auto"/>
            </w:tcBorders>
          </w:tcPr>
          <w:p w14:paraId="27FAB052" w14:textId="77777777" w:rsidR="0013524F" w:rsidRDefault="0013524F" w:rsidP="00AE0D69">
            <w:pPr>
              <w:keepNext/>
              <w:adjustRightInd w:val="0"/>
              <w:spacing w:before="60" w:after="60"/>
              <w:rPr>
                <w:b/>
                <w:bCs/>
                <w:color w:val="000000"/>
              </w:rPr>
            </w:pPr>
            <w:r>
              <w:rPr>
                <w:b/>
                <w:bCs/>
                <w:color w:val="000000"/>
              </w:rPr>
              <w:t xml:space="preserve">Missing Data </w:t>
            </w:r>
          </w:p>
          <w:p w14:paraId="574AF608" w14:textId="77777777" w:rsidR="0013524F" w:rsidRDefault="0013524F" w:rsidP="00AE0D69">
            <w:pPr>
              <w:keepNext/>
              <w:adjustRightInd w:val="0"/>
              <w:spacing w:before="60" w:after="60"/>
              <w:rPr>
                <w:b/>
                <w:bCs/>
                <w:color w:val="000000"/>
              </w:rPr>
            </w:pPr>
            <w:r>
              <w:rPr>
                <w:b/>
                <w:bCs/>
                <w:color w:val="000000"/>
              </w:rPr>
              <w:t>(No surgery)</w:t>
            </w:r>
          </w:p>
        </w:tc>
        <w:tc>
          <w:tcPr>
            <w:tcW w:w="1260" w:type="dxa"/>
            <w:tcBorders>
              <w:bottom w:val="single" w:sz="12" w:space="0" w:color="auto"/>
            </w:tcBorders>
          </w:tcPr>
          <w:p w14:paraId="71CD6C3E" w14:textId="77777777" w:rsidR="0013524F" w:rsidRDefault="00B82ED4" w:rsidP="00B82ED4">
            <w:pPr>
              <w:adjustRightInd w:val="0"/>
              <w:spacing w:before="60" w:after="60"/>
              <w:jc w:val="center"/>
              <w:rPr>
                <w:color w:val="000000"/>
              </w:rPr>
            </w:pPr>
            <w:r>
              <w:rPr>
                <w:color w:val="000000"/>
              </w:rPr>
              <w:t>35 (31)</w:t>
            </w:r>
          </w:p>
        </w:tc>
        <w:tc>
          <w:tcPr>
            <w:tcW w:w="1323" w:type="dxa"/>
            <w:tcBorders>
              <w:bottom w:val="single" w:sz="12" w:space="0" w:color="auto"/>
            </w:tcBorders>
          </w:tcPr>
          <w:p w14:paraId="70BE7078" w14:textId="77777777" w:rsidR="0013524F" w:rsidRDefault="00B82ED4" w:rsidP="00B82ED4">
            <w:pPr>
              <w:adjustRightInd w:val="0"/>
              <w:spacing w:before="60" w:after="60"/>
              <w:jc w:val="center"/>
              <w:rPr>
                <w:color w:val="000000"/>
              </w:rPr>
            </w:pPr>
            <w:r>
              <w:rPr>
                <w:color w:val="000000"/>
              </w:rPr>
              <w:t>41.1</w:t>
            </w:r>
          </w:p>
        </w:tc>
        <w:tc>
          <w:tcPr>
            <w:tcW w:w="1207" w:type="dxa"/>
            <w:tcBorders>
              <w:bottom w:val="single" w:sz="12" w:space="0" w:color="auto"/>
            </w:tcBorders>
          </w:tcPr>
          <w:p w14:paraId="54EDA5CD" w14:textId="77777777" w:rsidR="0013524F" w:rsidRDefault="00B82ED4" w:rsidP="00B82ED4">
            <w:pPr>
              <w:adjustRightInd w:val="0"/>
              <w:spacing w:before="60" w:after="60"/>
              <w:jc w:val="center"/>
              <w:rPr>
                <w:color w:val="000000"/>
              </w:rPr>
            </w:pPr>
            <w:r>
              <w:rPr>
                <w:color w:val="000000"/>
              </w:rPr>
              <w:t>43.2</w:t>
            </w:r>
          </w:p>
        </w:tc>
        <w:tc>
          <w:tcPr>
            <w:tcW w:w="1235" w:type="dxa"/>
            <w:tcBorders>
              <w:bottom w:val="single" w:sz="12" w:space="0" w:color="auto"/>
            </w:tcBorders>
          </w:tcPr>
          <w:p w14:paraId="3BFE8D34" w14:textId="77777777" w:rsidR="0013524F" w:rsidRDefault="0013524F" w:rsidP="00B82ED4">
            <w:pPr>
              <w:adjustRightInd w:val="0"/>
              <w:spacing w:before="60" w:after="60"/>
              <w:jc w:val="center"/>
              <w:rPr>
                <w:color w:val="000000"/>
              </w:rPr>
            </w:pPr>
            <w:r>
              <w:rPr>
                <w:color w:val="000000"/>
              </w:rPr>
              <w:t>42.5</w:t>
            </w:r>
          </w:p>
        </w:tc>
        <w:tc>
          <w:tcPr>
            <w:tcW w:w="1995" w:type="dxa"/>
            <w:tcBorders>
              <w:bottom w:val="single" w:sz="12" w:space="0" w:color="auto"/>
            </w:tcBorders>
          </w:tcPr>
          <w:p w14:paraId="2F7BD4AA" w14:textId="77777777" w:rsidR="0013524F" w:rsidRDefault="0013524F" w:rsidP="00B82ED4">
            <w:pPr>
              <w:adjustRightInd w:val="0"/>
              <w:spacing w:before="60" w:after="60"/>
              <w:jc w:val="center"/>
              <w:rPr>
                <w:color w:val="000000"/>
              </w:rPr>
            </w:pPr>
          </w:p>
        </w:tc>
      </w:tr>
    </w:tbl>
    <w:p w14:paraId="0705A6EE" w14:textId="77777777" w:rsidR="0013524F" w:rsidRDefault="0013524F" w:rsidP="0013524F">
      <w:pPr>
        <w:autoSpaceDE w:val="0"/>
        <w:adjustRightInd w:val="0"/>
        <w:spacing w:after="0" w:line="240" w:lineRule="auto"/>
        <w:rPr>
          <w:color w:val="000000"/>
          <w:sz w:val="24"/>
          <w:szCs w:val="24"/>
        </w:rPr>
      </w:pPr>
    </w:p>
    <w:p w14:paraId="7EE1BFB7" w14:textId="77777777" w:rsidR="00354B2A" w:rsidRDefault="00354B2A" w:rsidP="00354B2A">
      <w:pPr>
        <w:autoSpaceDE w:val="0"/>
        <w:adjustRightInd w:val="0"/>
        <w:spacing w:after="0" w:line="240" w:lineRule="auto"/>
        <w:rPr>
          <w:color w:val="000000"/>
          <w:sz w:val="24"/>
          <w:szCs w:val="24"/>
        </w:rPr>
      </w:pPr>
      <w:r>
        <w:rPr>
          <w:color w:val="000000"/>
          <w:sz w:val="24"/>
          <w:szCs w:val="24"/>
        </w:rPr>
        <w:t>Prediction of postoperative FEV1 (ppoFEV1) models are based on quantitative perfusion scans (Q), segment counting with 18 segments (SC18) or segment counting with 19 segments (SC19). Group means are for FEV1 % of predicted.</w:t>
      </w:r>
    </w:p>
    <w:p w14:paraId="3584C5B8" w14:textId="77777777" w:rsidR="00D4522D" w:rsidRDefault="00D4522D" w:rsidP="00D4522D">
      <w:pPr>
        <w:autoSpaceDE w:val="0"/>
        <w:adjustRightInd w:val="0"/>
        <w:spacing w:after="0" w:line="240" w:lineRule="auto"/>
        <w:rPr>
          <w:color w:val="000000"/>
        </w:rPr>
      </w:pPr>
    </w:p>
    <w:p w14:paraId="41A1EF99" w14:textId="77777777" w:rsidR="00D4522D" w:rsidRDefault="00D4522D" w:rsidP="00D4522D">
      <w:pPr>
        <w:autoSpaceDE w:val="0"/>
        <w:adjustRightInd w:val="0"/>
        <w:spacing w:after="0" w:line="240" w:lineRule="auto"/>
        <w:rPr>
          <w:color w:val="000000"/>
        </w:rPr>
      </w:pPr>
    </w:p>
    <w:p w14:paraId="7C718C8E" w14:textId="77777777" w:rsidR="00D4522D" w:rsidRDefault="00D4522D" w:rsidP="00D4522D">
      <w:pPr>
        <w:autoSpaceDE w:val="0"/>
        <w:adjustRightInd w:val="0"/>
        <w:spacing w:after="0" w:line="240" w:lineRule="auto"/>
        <w:rPr>
          <w:color w:val="000000"/>
        </w:rPr>
      </w:pPr>
      <w:r>
        <w:rPr>
          <w:color w:val="000000"/>
        </w:rPr>
        <w:t>e-Table 2. Missing Data Patterns for DLCO</w:t>
      </w:r>
    </w:p>
    <w:p w14:paraId="2B2A2AD5" w14:textId="77777777" w:rsidR="00D4522D" w:rsidRDefault="00D4522D" w:rsidP="00D4522D">
      <w:pPr>
        <w:autoSpaceDE w:val="0"/>
        <w:adjustRightInd w:val="0"/>
        <w:spacing w:after="0" w:line="240" w:lineRule="auto"/>
        <w:rPr>
          <w:color w:val="000000"/>
        </w:rPr>
      </w:pPr>
    </w:p>
    <w:tbl>
      <w:tblPr>
        <w:tblStyle w:val="TableGridLight"/>
        <w:tblW w:w="8455" w:type="dxa"/>
        <w:tblLayout w:type="fixed"/>
        <w:tblLook w:val="0000" w:firstRow="0" w:lastRow="0" w:firstColumn="0" w:lastColumn="0" w:noHBand="0" w:noVBand="0"/>
      </w:tblPr>
      <w:tblGrid>
        <w:gridCol w:w="1525"/>
        <w:gridCol w:w="1170"/>
        <w:gridCol w:w="1323"/>
        <w:gridCol w:w="1207"/>
        <w:gridCol w:w="1235"/>
        <w:gridCol w:w="1995"/>
      </w:tblGrid>
      <w:tr w:rsidR="00D4522D" w14:paraId="12BD3194" w14:textId="77777777" w:rsidTr="00922C2A">
        <w:trPr>
          <w:trHeight w:hRule="exact" w:val="451"/>
        </w:trPr>
        <w:tc>
          <w:tcPr>
            <w:tcW w:w="1525" w:type="dxa"/>
            <w:vMerge w:val="restart"/>
            <w:tcBorders>
              <w:top w:val="single" w:sz="12" w:space="0" w:color="auto"/>
              <w:bottom w:val="single" w:sz="12" w:space="0" w:color="auto"/>
            </w:tcBorders>
          </w:tcPr>
          <w:p w14:paraId="0BBA01FA" w14:textId="77777777" w:rsidR="00D4522D" w:rsidRDefault="00D4522D" w:rsidP="001E0FE7">
            <w:pPr>
              <w:keepNext/>
              <w:adjustRightInd w:val="0"/>
              <w:spacing w:before="60" w:after="60"/>
              <w:jc w:val="right"/>
              <w:rPr>
                <w:b/>
                <w:bCs/>
                <w:color w:val="000000"/>
              </w:rPr>
            </w:pPr>
            <w:r>
              <w:rPr>
                <w:b/>
                <w:bCs/>
                <w:color w:val="000000"/>
              </w:rPr>
              <w:t>Group</w:t>
            </w:r>
          </w:p>
        </w:tc>
        <w:tc>
          <w:tcPr>
            <w:tcW w:w="1170" w:type="dxa"/>
            <w:tcBorders>
              <w:top w:val="single" w:sz="12" w:space="0" w:color="auto"/>
              <w:bottom w:val="single" w:sz="4" w:space="0" w:color="BFBFBF" w:themeColor="background1" w:themeShade="BF"/>
            </w:tcBorders>
          </w:tcPr>
          <w:p w14:paraId="79EA8A11" w14:textId="77777777" w:rsidR="00D4522D" w:rsidRDefault="00D4522D" w:rsidP="001E0FE7">
            <w:pPr>
              <w:keepNext/>
              <w:adjustRightInd w:val="0"/>
              <w:spacing w:before="60" w:after="60"/>
              <w:jc w:val="center"/>
              <w:rPr>
                <w:b/>
                <w:bCs/>
                <w:color w:val="000000"/>
              </w:rPr>
            </w:pPr>
          </w:p>
        </w:tc>
        <w:tc>
          <w:tcPr>
            <w:tcW w:w="5760" w:type="dxa"/>
            <w:gridSpan w:val="4"/>
            <w:tcBorders>
              <w:top w:val="single" w:sz="12" w:space="0" w:color="auto"/>
              <w:bottom w:val="single" w:sz="4" w:space="0" w:color="BFBFBF" w:themeColor="background1" w:themeShade="BF"/>
            </w:tcBorders>
          </w:tcPr>
          <w:p w14:paraId="35BF9B7F" w14:textId="77777777" w:rsidR="00D4522D" w:rsidRDefault="00D4522D" w:rsidP="001E0FE7">
            <w:pPr>
              <w:keepNext/>
              <w:adjustRightInd w:val="0"/>
              <w:spacing w:before="60" w:after="60"/>
              <w:jc w:val="center"/>
              <w:rPr>
                <w:b/>
                <w:bCs/>
                <w:color w:val="000000"/>
              </w:rPr>
            </w:pPr>
            <w:r>
              <w:rPr>
                <w:b/>
                <w:bCs/>
                <w:color w:val="000000"/>
              </w:rPr>
              <w:t>Group Means</w:t>
            </w:r>
          </w:p>
        </w:tc>
      </w:tr>
      <w:tr w:rsidR="00D4522D" w14:paraId="70D42458" w14:textId="77777777" w:rsidTr="00922C2A">
        <w:trPr>
          <w:trHeight w:hRule="exact" w:val="1056"/>
        </w:trPr>
        <w:tc>
          <w:tcPr>
            <w:tcW w:w="1525" w:type="dxa"/>
            <w:vMerge/>
            <w:tcBorders>
              <w:bottom w:val="single" w:sz="12" w:space="0" w:color="auto"/>
            </w:tcBorders>
          </w:tcPr>
          <w:p w14:paraId="7F23B774" w14:textId="77777777" w:rsidR="00D4522D" w:rsidRDefault="00D4522D" w:rsidP="001E0FE7">
            <w:pPr>
              <w:keepNext/>
              <w:adjustRightInd w:val="0"/>
              <w:rPr>
                <w:sz w:val="24"/>
                <w:szCs w:val="24"/>
              </w:rPr>
            </w:pPr>
          </w:p>
        </w:tc>
        <w:tc>
          <w:tcPr>
            <w:tcW w:w="1170" w:type="dxa"/>
            <w:tcBorders>
              <w:bottom w:val="single" w:sz="12" w:space="0" w:color="auto"/>
            </w:tcBorders>
          </w:tcPr>
          <w:p w14:paraId="1841E24A" w14:textId="77777777" w:rsidR="00D4522D" w:rsidRDefault="00D4522D" w:rsidP="001E0FE7">
            <w:pPr>
              <w:pStyle w:val="Heading3"/>
              <w:outlineLvl w:val="2"/>
            </w:pPr>
            <w:r>
              <w:t>Frequency (%)</w:t>
            </w:r>
          </w:p>
        </w:tc>
        <w:tc>
          <w:tcPr>
            <w:tcW w:w="1323" w:type="dxa"/>
            <w:tcBorders>
              <w:bottom w:val="single" w:sz="12" w:space="0" w:color="auto"/>
            </w:tcBorders>
          </w:tcPr>
          <w:p w14:paraId="3293022E" w14:textId="77777777" w:rsidR="00D4522D" w:rsidRDefault="00D4522D" w:rsidP="001E0FE7">
            <w:pPr>
              <w:keepNext/>
              <w:adjustRightInd w:val="0"/>
              <w:spacing w:before="60" w:after="60"/>
              <w:jc w:val="center"/>
              <w:rPr>
                <w:b/>
                <w:bCs/>
                <w:color w:val="000000"/>
              </w:rPr>
            </w:pPr>
            <w:r>
              <w:rPr>
                <w:b/>
                <w:bCs/>
                <w:color w:val="000000"/>
              </w:rPr>
              <w:t>ppo</w:t>
            </w:r>
            <w:r w:rsidR="00354B2A">
              <w:rPr>
                <w:b/>
                <w:bCs/>
                <w:color w:val="000000"/>
              </w:rPr>
              <w:t>DLCO</w:t>
            </w:r>
          </w:p>
          <w:p w14:paraId="4CC77B9F" w14:textId="77777777" w:rsidR="00D4522D" w:rsidRDefault="00D4522D" w:rsidP="001E0FE7">
            <w:pPr>
              <w:keepNext/>
              <w:adjustRightInd w:val="0"/>
              <w:spacing w:before="60" w:after="60"/>
              <w:jc w:val="center"/>
              <w:rPr>
                <w:b/>
                <w:bCs/>
                <w:color w:val="000000"/>
              </w:rPr>
            </w:pPr>
            <w:r>
              <w:rPr>
                <w:b/>
                <w:bCs/>
                <w:color w:val="000000"/>
              </w:rPr>
              <w:t>Q Model</w:t>
            </w:r>
          </w:p>
        </w:tc>
        <w:tc>
          <w:tcPr>
            <w:tcW w:w="1207" w:type="dxa"/>
            <w:tcBorders>
              <w:bottom w:val="single" w:sz="12" w:space="0" w:color="auto"/>
            </w:tcBorders>
          </w:tcPr>
          <w:p w14:paraId="1BDE6598" w14:textId="77777777" w:rsidR="00D4522D" w:rsidRDefault="00D4522D" w:rsidP="001E0FE7">
            <w:pPr>
              <w:keepNext/>
              <w:adjustRightInd w:val="0"/>
              <w:spacing w:before="60" w:after="60"/>
              <w:jc w:val="center"/>
              <w:rPr>
                <w:b/>
                <w:bCs/>
                <w:color w:val="000000"/>
              </w:rPr>
            </w:pPr>
            <w:r>
              <w:rPr>
                <w:b/>
                <w:bCs/>
                <w:color w:val="000000"/>
              </w:rPr>
              <w:t>ppo</w:t>
            </w:r>
            <w:r w:rsidR="00354B2A">
              <w:rPr>
                <w:b/>
                <w:bCs/>
                <w:color w:val="000000"/>
              </w:rPr>
              <w:t>DLCO</w:t>
            </w:r>
          </w:p>
          <w:p w14:paraId="3DEC4219" w14:textId="77777777" w:rsidR="00D4522D" w:rsidRDefault="00D4522D" w:rsidP="001E0FE7">
            <w:pPr>
              <w:pStyle w:val="Heading3"/>
              <w:outlineLvl w:val="2"/>
            </w:pPr>
            <w:r>
              <w:t>SC18 Model</w:t>
            </w:r>
          </w:p>
        </w:tc>
        <w:tc>
          <w:tcPr>
            <w:tcW w:w="1235" w:type="dxa"/>
            <w:tcBorders>
              <w:bottom w:val="single" w:sz="12" w:space="0" w:color="auto"/>
            </w:tcBorders>
          </w:tcPr>
          <w:p w14:paraId="2BB096AB" w14:textId="77777777" w:rsidR="00D4522D" w:rsidRDefault="00354B2A" w:rsidP="001E0FE7">
            <w:pPr>
              <w:keepNext/>
              <w:adjustRightInd w:val="0"/>
              <w:spacing w:before="60" w:after="60"/>
              <w:jc w:val="center"/>
              <w:rPr>
                <w:b/>
                <w:bCs/>
                <w:color w:val="000000"/>
              </w:rPr>
            </w:pPr>
            <w:r>
              <w:rPr>
                <w:b/>
                <w:bCs/>
                <w:color w:val="000000"/>
              </w:rPr>
              <w:t>ppoDLCO</w:t>
            </w:r>
          </w:p>
          <w:p w14:paraId="3090F2F1" w14:textId="77777777" w:rsidR="00D4522D" w:rsidRDefault="00D4522D" w:rsidP="001E0FE7">
            <w:pPr>
              <w:pStyle w:val="Heading3"/>
              <w:outlineLvl w:val="2"/>
            </w:pPr>
            <w:r>
              <w:t>SC19 Model</w:t>
            </w:r>
          </w:p>
        </w:tc>
        <w:tc>
          <w:tcPr>
            <w:tcW w:w="1995" w:type="dxa"/>
            <w:tcBorders>
              <w:bottom w:val="single" w:sz="12" w:space="0" w:color="auto"/>
            </w:tcBorders>
          </w:tcPr>
          <w:p w14:paraId="43C4D2B4" w14:textId="77777777" w:rsidR="00D4522D" w:rsidRDefault="00D4522D" w:rsidP="00354B2A">
            <w:pPr>
              <w:pStyle w:val="Heading3"/>
              <w:outlineLvl w:val="2"/>
            </w:pPr>
            <w:r>
              <w:t xml:space="preserve">Actual Postoperative </w:t>
            </w:r>
            <w:r w:rsidR="00354B2A">
              <w:t>DLCO</w:t>
            </w:r>
          </w:p>
        </w:tc>
      </w:tr>
      <w:tr w:rsidR="00922C2A" w14:paraId="441336D9" w14:textId="77777777" w:rsidTr="00922C2A">
        <w:trPr>
          <w:trHeight w:hRule="exact" w:val="874"/>
        </w:trPr>
        <w:tc>
          <w:tcPr>
            <w:tcW w:w="1525" w:type="dxa"/>
            <w:tcBorders>
              <w:top w:val="single" w:sz="12" w:space="0" w:color="auto"/>
              <w:bottom w:val="single" w:sz="4" w:space="0" w:color="BFBFBF" w:themeColor="background1" w:themeShade="BF"/>
            </w:tcBorders>
          </w:tcPr>
          <w:p w14:paraId="158345D3" w14:textId="77777777" w:rsidR="00CA0010" w:rsidRDefault="00CA0010" w:rsidP="00AE0D69">
            <w:pPr>
              <w:adjustRightInd w:val="0"/>
              <w:spacing w:before="60" w:after="60"/>
              <w:rPr>
                <w:b/>
                <w:bCs/>
                <w:color w:val="000000"/>
              </w:rPr>
            </w:pPr>
            <w:r>
              <w:rPr>
                <w:b/>
                <w:bCs/>
                <w:color w:val="000000"/>
              </w:rPr>
              <w:t xml:space="preserve">Complete Data (Surgery) </w:t>
            </w:r>
          </w:p>
        </w:tc>
        <w:tc>
          <w:tcPr>
            <w:tcW w:w="1170" w:type="dxa"/>
            <w:tcBorders>
              <w:top w:val="single" w:sz="12" w:space="0" w:color="auto"/>
              <w:bottom w:val="single" w:sz="4" w:space="0" w:color="BFBFBF" w:themeColor="background1" w:themeShade="BF"/>
            </w:tcBorders>
          </w:tcPr>
          <w:p w14:paraId="681A5AE2" w14:textId="77777777" w:rsidR="00CA0010" w:rsidRDefault="00922C2A" w:rsidP="00CA0010">
            <w:pPr>
              <w:keepNext/>
              <w:adjustRightInd w:val="0"/>
              <w:spacing w:before="60" w:after="60"/>
              <w:jc w:val="center"/>
              <w:rPr>
                <w:color w:val="000000"/>
              </w:rPr>
            </w:pPr>
            <w:r>
              <w:rPr>
                <w:color w:val="000000"/>
              </w:rPr>
              <w:t>78</w:t>
            </w:r>
            <w:r w:rsidR="00CA0010">
              <w:rPr>
                <w:color w:val="000000"/>
              </w:rPr>
              <w:t xml:space="preserve"> (69)</w:t>
            </w:r>
          </w:p>
        </w:tc>
        <w:tc>
          <w:tcPr>
            <w:tcW w:w="1323" w:type="dxa"/>
            <w:tcBorders>
              <w:top w:val="single" w:sz="12" w:space="0" w:color="auto"/>
              <w:bottom w:val="single" w:sz="4" w:space="0" w:color="BFBFBF" w:themeColor="background1" w:themeShade="BF"/>
            </w:tcBorders>
          </w:tcPr>
          <w:p w14:paraId="561D88E3" w14:textId="77777777" w:rsidR="00CA0010" w:rsidRDefault="00CA0010" w:rsidP="00CA0010">
            <w:pPr>
              <w:keepNext/>
              <w:adjustRightInd w:val="0"/>
              <w:spacing w:before="60" w:after="60"/>
              <w:jc w:val="center"/>
              <w:rPr>
                <w:color w:val="000000"/>
              </w:rPr>
            </w:pPr>
            <w:r>
              <w:rPr>
                <w:color w:val="000000"/>
              </w:rPr>
              <w:t>60.9</w:t>
            </w:r>
          </w:p>
        </w:tc>
        <w:tc>
          <w:tcPr>
            <w:tcW w:w="1207" w:type="dxa"/>
            <w:tcBorders>
              <w:top w:val="single" w:sz="12" w:space="0" w:color="auto"/>
              <w:bottom w:val="single" w:sz="4" w:space="0" w:color="BFBFBF" w:themeColor="background1" w:themeShade="BF"/>
            </w:tcBorders>
          </w:tcPr>
          <w:p w14:paraId="46193ED0" w14:textId="77777777" w:rsidR="00CA0010" w:rsidRDefault="00CA0010" w:rsidP="00CA0010">
            <w:pPr>
              <w:keepNext/>
              <w:adjustRightInd w:val="0"/>
              <w:spacing w:before="60" w:after="60"/>
              <w:jc w:val="center"/>
              <w:rPr>
                <w:color w:val="000000"/>
              </w:rPr>
            </w:pPr>
            <w:r>
              <w:rPr>
                <w:color w:val="000000"/>
              </w:rPr>
              <w:t>61.0</w:t>
            </w:r>
          </w:p>
        </w:tc>
        <w:tc>
          <w:tcPr>
            <w:tcW w:w="1235" w:type="dxa"/>
            <w:tcBorders>
              <w:top w:val="single" w:sz="12" w:space="0" w:color="auto"/>
              <w:bottom w:val="single" w:sz="4" w:space="0" w:color="BFBFBF" w:themeColor="background1" w:themeShade="BF"/>
            </w:tcBorders>
          </w:tcPr>
          <w:p w14:paraId="518B7CF1" w14:textId="77777777" w:rsidR="00CA0010" w:rsidRDefault="00CA0010" w:rsidP="00CA0010">
            <w:pPr>
              <w:keepNext/>
              <w:adjustRightInd w:val="0"/>
              <w:spacing w:before="60" w:after="60"/>
              <w:jc w:val="center"/>
              <w:rPr>
                <w:color w:val="000000"/>
              </w:rPr>
            </w:pPr>
            <w:r>
              <w:rPr>
                <w:color w:val="000000"/>
              </w:rPr>
              <w:t>60.9</w:t>
            </w:r>
          </w:p>
        </w:tc>
        <w:tc>
          <w:tcPr>
            <w:tcW w:w="1995" w:type="dxa"/>
            <w:tcBorders>
              <w:top w:val="single" w:sz="12" w:space="0" w:color="auto"/>
              <w:bottom w:val="single" w:sz="4" w:space="0" w:color="BFBFBF" w:themeColor="background1" w:themeShade="BF"/>
            </w:tcBorders>
          </w:tcPr>
          <w:p w14:paraId="6F44F90C" w14:textId="77777777" w:rsidR="00CA0010" w:rsidRDefault="00CA0010" w:rsidP="00CA0010">
            <w:pPr>
              <w:keepNext/>
              <w:adjustRightInd w:val="0"/>
              <w:spacing w:before="60" w:after="60"/>
              <w:jc w:val="center"/>
              <w:rPr>
                <w:color w:val="000000"/>
              </w:rPr>
            </w:pPr>
            <w:r>
              <w:rPr>
                <w:color w:val="000000"/>
              </w:rPr>
              <w:t>61.3</w:t>
            </w:r>
          </w:p>
        </w:tc>
      </w:tr>
      <w:tr w:rsidR="00CA0010" w14:paraId="1CA422E6" w14:textId="77777777" w:rsidTr="00922C2A">
        <w:trPr>
          <w:trHeight w:hRule="exact" w:val="962"/>
        </w:trPr>
        <w:tc>
          <w:tcPr>
            <w:tcW w:w="1525" w:type="dxa"/>
            <w:tcBorders>
              <w:bottom w:val="single" w:sz="12" w:space="0" w:color="auto"/>
            </w:tcBorders>
          </w:tcPr>
          <w:p w14:paraId="302BF57B" w14:textId="77777777" w:rsidR="00CA0010" w:rsidRDefault="00CA0010" w:rsidP="00AE0D69">
            <w:pPr>
              <w:keepNext/>
              <w:adjustRightInd w:val="0"/>
              <w:spacing w:before="60" w:after="60"/>
              <w:rPr>
                <w:b/>
                <w:bCs/>
                <w:color w:val="000000"/>
              </w:rPr>
            </w:pPr>
            <w:r>
              <w:rPr>
                <w:b/>
                <w:bCs/>
                <w:color w:val="000000"/>
              </w:rPr>
              <w:t xml:space="preserve">Missing Data </w:t>
            </w:r>
          </w:p>
          <w:p w14:paraId="21753093" w14:textId="77777777" w:rsidR="00CA0010" w:rsidRDefault="00CA0010" w:rsidP="00AE0D69">
            <w:pPr>
              <w:keepNext/>
              <w:adjustRightInd w:val="0"/>
              <w:spacing w:before="60" w:after="60"/>
              <w:rPr>
                <w:b/>
                <w:bCs/>
                <w:color w:val="000000"/>
              </w:rPr>
            </w:pPr>
            <w:r>
              <w:rPr>
                <w:b/>
                <w:bCs/>
                <w:color w:val="000000"/>
              </w:rPr>
              <w:t>(No surgery)</w:t>
            </w:r>
            <w:r w:rsidR="00922C2A">
              <w:rPr>
                <w:b/>
                <w:bCs/>
                <w:color w:val="000000"/>
              </w:rPr>
              <w:t>*</w:t>
            </w:r>
          </w:p>
        </w:tc>
        <w:tc>
          <w:tcPr>
            <w:tcW w:w="1170" w:type="dxa"/>
            <w:tcBorders>
              <w:bottom w:val="single" w:sz="12" w:space="0" w:color="auto"/>
            </w:tcBorders>
          </w:tcPr>
          <w:p w14:paraId="27D5366B" w14:textId="77777777" w:rsidR="00CA0010" w:rsidRDefault="00922C2A" w:rsidP="00CA0010">
            <w:pPr>
              <w:adjustRightInd w:val="0"/>
              <w:spacing w:before="60" w:after="60"/>
              <w:jc w:val="center"/>
              <w:rPr>
                <w:color w:val="000000"/>
              </w:rPr>
            </w:pPr>
            <w:r>
              <w:rPr>
                <w:color w:val="000000"/>
              </w:rPr>
              <w:t>36</w:t>
            </w:r>
            <w:r w:rsidR="00CA0010">
              <w:rPr>
                <w:color w:val="000000"/>
              </w:rPr>
              <w:t xml:space="preserve"> (31)</w:t>
            </w:r>
            <w:r>
              <w:rPr>
                <w:color w:val="000000"/>
              </w:rPr>
              <w:t>*</w:t>
            </w:r>
          </w:p>
        </w:tc>
        <w:tc>
          <w:tcPr>
            <w:tcW w:w="1323" w:type="dxa"/>
            <w:tcBorders>
              <w:bottom w:val="single" w:sz="12" w:space="0" w:color="auto"/>
            </w:tcBorders>
          </w:tcPr>
          <w:p w14:paraId="3995777F" w14:textId="77777777" w:rsidR="00CA0010" w:rsidRDefault="00CA0010" w:rsidP="00CA0010">
            <w:pPr>
              <w:adjustRightInd w:val="0"/>
              <w:spacing w:before="60" w:after="60"/>
              <w:jc w:val="center"/>
              <w:rPr>
                <w:color w:val="000000"/>
              </w:rPr>
            </w:pPr>
            <w:r>
              <w:rPr>
                <w:color w:val="000000"/>
              </w:rPr>
              <w:t>35.1</w:t>
            </w:r>
          </w:p>
        </w:tc>
        <w:tc>
          <w:tcPr>
            <w:tcW w:w="1207" w:type="dxa"/>
            <w:tcBorders>
              <w:bottom w:val="single" w:sz="12" w:space="0" w:color="auto"/>
            </w:tcBorders>
          </w:tcPr>
          <w:p w14:paraId="361607B2" w14:textId="77777777" w:rsidR="00CA0010" w:rsidRDefault="00CA0010" w:rsidP="00CA0010">
            <w:pPr>
              <w:adjustRightInd w:val="0"/>
              <w:spacing w:before="60" w:after="60"/>
              <w:jc w:val="center"/>
              <w:rPr>
                <w:color w:val="000000"/>
              </w:rPr>
            </w:pPr>
            <w:r>
              <w:rPr>
                <w:color w:val="000000"/>
              </w:rPr>
              <w:t>37.0</w:t>
            </w:r>
          </w:p>
        </w:tc>
        <w:tc>
          <w:tcPr>
            <w:tcW w:w="1235" w:type="dxa"/>
            <w:tcBorders>
              <w:bottom w:val="single" w:sz="12" w:space="0" w:color="auto"/>
            </w:tcBorders>
          </w:tcPr>
          <w:p w14:paraId="06321939" w14:textId="77777777" w:rsidR="00CA0010" w:rsidRDefault="00CA0010" w:rsidP="00CA0010">
            <w:pPr>
              <w:adjustRightInd w:val="0"/>
              <w:spacing w:before="60" w:after="60"/>
              <w:jc w:val="center"/>
              <w:rPr>
                <w:color w:val="000000"/>
              </w:rPr>
            </w:pPr>
            <w:r>
              <w:rPr>
                <w:color w:val="000000"/>
              </w:rPr>
              <w:t>36.5</w:t>
            </w:r>
          </w:p>
        </w:tc>
        <w:tc>
          <w:tcPr>
            <w:tcW w:w="1995" w:type="dxa"/>
            <w:tcBorders>
              <w:bottom w:val="single" w:sz="12" w:space="0" w:color="auto"/>
            </w:tcBorders>
          </w:tcPr>
          <w:p w14:paraId="4AFE6637" w14:textId="77777777" w:rsidR="00CA0010" w:rsidRDefault="00CA0010" w:rsidP="00CA0010">
            <w:pPr>
              <w:adjustRightInd w:val="0"/>
              <w:spacing w:before="60" w:after="60"/>
              <w:jc w:val="center"/>
              <w:rPr>
                <w:color w:val="000000"/>
              </w:rPr>
            </w:pPr>
          </w:p>
        </w:tc>
      </w:tr>
    </w:tbl>
    <w:p w14:paraId="5FDBA001" w14:textId="77777777" w:rsidR="00D4522D" w:rsidRDefault="00D4522D" w:rsidP="00D4522D">
      <w:pPr>
        <w:autoSpaceDE w:val="0"/>
        <w:adjustRightInd w:val="0"/>
        <w:spacing w:after="0" w:line="240" w:lineRule="auto"/>
        <w:rPr>
          <w:color w:val="000000"/>
        </w:rPr>
      </w:pPr>
    </w:p>
    <w:p w14:paraId="07962706" w14:textId="77777777" w:rsidR="00354B2A" w:rsidRDefault="00354B2A" w:rsidP="00354B2A">
      <w:pPr>
        <w:autoSpaceDE w:val="0"/>
        <w:adjustRightInd w:val="0"/>
        <w:spacing w:after="0" w:line="240" w:lineRule="auto"/>
        <w:rPr>
          <w:color w:val="000000"/>
          <w:sz w:val="24"/>
          <w:szCs w:val="24"/>
        </w:rPr>
      </w:pPr>
      <w:r>
        <w:rPr>
          <w:color w:val="000000"/>
          <w:sz w:val="24"/>
          <w:szCs w:val="24"/>
        </w:rPr>
        <w:t>Prediction of postoperative DLCO (ppoDLCO) models are based on quantitative perfusion scans (Q), segment counting with 18 segments (SC18) or segment counting with 19 segments (SC19). Group means are for DLCO % of predicted.</w:t>
      </w:r>
    </w:p>
    <w:p w14:paraId="2663D0CC" w14:textId="77777777" w:rsidR="00922C2A" w:rsidRDefault="00922C2A" w:rsidP="00354B2A">
      <w:pPr>
        <w:autoSpaceDE w:val="0"/>
        <w:adjustRightInd w:val="0"/>
        <w:spacing w:after="0" w:line="240" w:lineRule="auto"/>
        <w:rPr>
          <w:color w:val="000000"/>
          <w:sz w:val="24"/>
          <w:szCs w:val="24"/>
        </w:rPr>
      </w:pPr>
      <w:r>
        <w:rPr>
          <w:color w:val="000000"/>
          <w:sz w:val="24"/>
          <w:szCs w:val="24"/>
        </w:rPr>
        <w:t>* One patient did have surgery and had spirometry without a DLCO. So one patient with missing DLCO data did have surgery.</w:t>
      </w:r>
    </w:p>
    <w:p w14:paraId="5E4DDDC0" w14:textId="77777777" w:rsidR="00D4522D" w:rsidRDefault="00D4522D" w:rsidP="00D4522D">
      <w:pPr>
        <w:autoSpaceDE w:val="0"/>
        <w:adjustRightInd w:val="0"/>
        <w:spacing w:after="0" w:line="240" w:lineRule="auto"/>
        <w:rPr>
          <w:color w:val="000000"/>
        </w:rPr>
      </w:pPr>
    </w:p>
    <w:p w14:paraId="6C40FF11" w14:textId="77777777" w:rsidR="00D4522D" w:rsidRDefault="00D4522D" w:rsidP="00D4522D">
      <w:pPr>
        <w:autoSpaceDE w:val="0"/>
        <w:adjustRightInd w:val="0"/>
        <w:spacing w:after="0" w:line="240" w:lineRule="auto"/>
        <w:rPr>
          <w:color w:val="000000"/>
        </w:rPr>
      </w:pPr>
    </w:p>
    <w:p w14:paraId="148613BC" w14:textId="77777777" w:rsidR="00AE0D69" w:rsidRDefault="00AE0D69" w:rsidP="0013524F">
      <w:pPr>
        <w:autoSpaceDE w:val="0"/>
        <w:adjustRightInd w:val="0"/>
        <w:spacing w:after="0" w:line="240" w:lineRule="auto"/>
        <w:rPr>
          <w:color w:val="000000"/>
          <w:sz w:val="24"/>
          <w:szCs w:val="24"/>
        </w:rPr>
        <w:sectPr w:rsidR="00AE0D69">
          <w:pgSz w:w="12240" w:h="15840"/>
          <w:pgMar w:top="1440" w:right="1440" w:bottom="1440" w:left="1440" w:header="720" w:footer="720" w:gutter="0"/>
          <w:cols w:space="720"/>
          <w:docGrid w:linePitch="360"/>
        </w:sectPr>
      </w:pPr>
    </w:p>
    <w:p w14:paraId="76AFBDC7" w14:textId="77777777" w:rsidR="0013524F" w:rsidRDefault="003878DB" w:rsidP="0013524F">
      <w:pPr>
        <w:autoSpaceDE w:val="0"/>
        <w:adjustRightInd w:val="0"/>
        <w:spacing w:after="0" w:line="240" w:lineRule="auto"/>
        <w:rPr>
          <w:color w:val="000000"/>
        </w:rPr>
      </w:pPr>
      <w:r>
        <w:rPr>
          <w:color w:val="000000"/>
        </w:rPr>
        <w:lastRenderedPageBreak/>
        <w:t>e-Table 3.  Correlation Between Predi</w:t>
      </w:r>
      <w:r w:rsidR="00AA1B08">
        <w:rPr>
          <w:color w:val="000000"/>
        </w:rPr>
        <w:t>ction Models and Actual Postoperative FEV1 % of Predicted</w:t>
      </w:r>
    </w:p>
    <w:p w14:paraId="4F107B1F" w14:textId="77777777" w:rsidR="00AA1B08" w:rsidRDefault="00AA1B08" w:rsidP="0013524F">
      <w:pPr>
        <w:autoSpaceDE w:val="0"/>
        <w:adjustRightInd w:val="0"/>
        <w:spacing w:after="0" w:line="240" w:lineRule="auto"/>
        <w:rPr>
          <w:color w:val="000000"/>
        </w:rPr>
      </w:pPr>
    </w:p>
    <w:p w14:paraId="4650299B" w14:textId="77777777" w:rsidR="00AA1B08" w:rsidRPr="00D95E39" w:rsidRDefault="00AA1B08" w:rsidP="0013524F">
      <w:pPr>
        <w:autoSpaceDE w:val="0"/>
        <w:adjustRightInd w:val="0"/>
        <w:spacing w:after="0" w:line="240" w:lineRule="auto"/>
        <w:rPr>
          <w:color w:val="000000"/>
        </w:rPr>
      </w:pPr>
    </w:p>
    <w:tbl>
      <w:tblPr>
        <w:tblStyle w:val="TableGridLight"/>
        <w:tblW w:w="0" w:type="auto"/>
        <w:tblLayout w:type="fixed"/>
        <w:tblLook w:val="0000" w:firstRow="0" w:lastRow="0" w:firstColumn="0" w:lastColumn="0" w:noHBand="0" w:noVBand="0"/>
      </w:tblPr>
      <w:tblGrid>
        <w:gridCol w:w="2993"/>
        <w:gridCol w:w="2101"/>
        <w:gridCol w:w="1831"/>
        <w:gridCol w:w="2074"/>
      </w:tblGrid>
      <w:tr w:rsidR="00AA1B08" w14:paraId="4B4DA5F1" w14:textId="77777777" w:rsidTr="009B215B">
        <w:trPr>
          <w:trHeight w:val="1007"/>
        </w:trPr>
        <w:tc>
          <w:tcPr>
            <w:tcW w:w="2993" w:type="dxa"/>
            <w:tcBorders>
              <w:bottom w:val="single" w:sz="4" w:space="0" w:color="BFBFBF" w:themeColor="background1" w:themeShade="BF"/>
            </w:tcBorders>
          </w:tcPr>
          <w:p w14:paraId="0C58F4E1" w14:textId="77777777" w:rsidR="00AA1B08" w:rsidRDefault="00AA1B08" w:rsidP="001E0FE7">
            <w:pPr>
              <w:keepNext/>
              <w:adjustRightInd w:val="0"/>
              <w:spacing w:before="60" w:after="60"/>
              <w:jc w:val="center"/>
              <w:rPr>
                <w:b/>
                <w:bCs/>
                <w:color w:val="000000"/>
              </w:rPr>
            </w:pPr>
          </w:p>
        </w:tc>
        <w:tc>
          <w:tcPr>
            <w:tcW w:w="6006" w:type="dxa"/>
            <w:gridSpan w:val="3"/>
            <w:tcBorders>
              <w:bottom w:val="single" w:sz="12" w:space="0" w:color="auto"/>
            </w:tcBorders>
          </w:tcPr>
          <w:p w14:paraId="4BB71FD9" w14:textId="77777777" w:rsidR="00AA1B08" w:rsidRDefault="00AA1B08" w:rsidP="001E0FE7">
            <w:pPr>
              <w:keepNext/>
              <w:adjustRightInd w:val="0"/>
              <w:spacing w:before="60" w:after="60"/>
              <w:jc w:val="center"/>
              <w:rPr>
                <w:b/>
                <w:bCs/>
                <w:color w:val="000000"/>
              </w:rPr>
            </w:pPr>
            <w:r>
              <w:rPr>
                <w:b/>
                <w:bCs/>
                <w:color w:val="000000"/>
              </w:rPr>
              <w:t>Pearson Correlation Coefficients</w:t>
            </w:r>
            <w:r>
              <w:rPr>
                <w:b/>
                <w:bCs/>
                <w:color w:val="000000"/>
              </w:rPr>
              <w:br/>
            </w:r>
            <w:r w:rsidRPr="00AA1B08">
              <w:rPr>
                <w:b/>
                <w:bCs/>
                <w:color w:val="000000"/>
              </w:rPr>
              <w:t>Prob &gt; |r| under H0: Rho=0</w:t>
            </w:r>
            <w:r w:rsidRPr="00AA1B08">
              <w:rPr>
                <w:b/>
                <w:bCs/>
                <w:color w:val="000000"/>
              </w:rPr>
              <w:br/>
              <w:t>Number of Observations</w:t>
            </w:r>
          </w:p>
        </w:tc>
      </w:tr>
      <w:tr w:rsidR="009B215B" w14:paraId="212EAAB1" w14:textId="77777777" w:rsidTr="00922C2A">
        <w:trPr>
          <w:trHeight w:val="753"/>
        </w:trPr>
        <w:tc>
          <w:tcPr>
            <w:tcW w:w="2993" w:type="dxa"/>
            <w:tcBorders>
              <w:bottom w:val="single" w:sz="12" w:space="0" w:color="auto"/>
            </w:tcBorders>
          </w:tcPr>
          <w:p w14:paraId="7CE3EDC8" w14:textId="77777777" w:rsidR="0013524F" w:rsidRDefault="00354B2A" w:rsidP="00354B2A">
            <w:pPr>
              <w:pStyle w:val="Heading4"/>
              <w:outlineLvl w:val="3"/>
            </w:pPr>
            <w:r>
              <w:t>Prediction Models</w:t>
            </w:r>
          </w:p>
        </w:tc>
        <w:tc>
          <w:tcPr>
            <w:tcW w:w="2101" w:type="dxa"/>
            <w:tcBorders>
              <w:top w:val="single" w:sz="12" w:space="0" w:color="auto"/>
              <w:bottom w:val="single" w:sz="12" w:space="0" w:color="auto"/>
            </w:tcBorders>
          </w:tcPr>
          <w:p w14:paraId="4F260CB0" w14:textId="77777777" w:rsidR="0013524F" w:rsidRDefault="0013524F" w:rsidP="001E0FE7">
            <w:pPr>
              <w:keepNext/>
              <w:adjustRightInd w:val="0"/>
              <w:spacing w:before="60" w:after="60"/>
              <w:jc w:val="right"/>
              <w:rPr>
                <w:b/>
                <w:bCs/>
                <w:color w:val="000000"/>
              </w:rPr>
            </w:pPr>
            <w:r>
              <w:rPr>
                <w:b/>
                <w:bCs/>
                <w:color w:val="000000"/>
              </w:rPr>
              <w:t>SC18</w:t>
            </w:r>
            <w:r w:rsidR="00AA1B08">
              <w:rPr>
                <w:b/>
                <w:bCs/>
                <w:color w:val="000000"/>
              </w:rPr>
              <w:t xml:space="preserve"> Model</w:t>
            </w:r>
          </w:p>
        </w:tc>
        <w:tc>
          <w:tcPr>
            <w:tcW w:w="1831" w:type="dxa"/>
            <w:tcBorders>
              <w:top w:val="single" w:sz="12" w:space="0" w:color="auto"/>
              <w:bottom w:val="single" w:sz="12" w:space="0" w:color="auto"/>
            </w:tcBorders>
          </w:tcPr>
          <w:p w14:paraId="01C19FAC" w14:textId="77777777" w:rsidR="0013524F" w:rsidRDefault="0013524F" w:rsidP="001E0FE7">
            <w:pPr>
              <w:keepNext/>
              <w:adjustRightInd w:val="0"/>
              <w:spacing w:before="60" w:after="60"/>
              <w:jc w:val="right"/>
              <w:rPr>
                <w:b/>
                <w:bCs/>
                <w:color w:val="000000"/>
              </w:rPr>
            </w:pPr>
            <w:r>
              <w:rPr>
                <w:b/>
                <w:bCs/>
                <w:color w:val="000000"/>
              </w:rPr>
              <w:t>SC19</w:t>
            </w:r>
            <w:r w:rsidR="00AA1B08">
              <w:rPr>
                <w:b/>
                <w:bCs/>
                <w:color w:val="000000"/>
              </w:rPr>
              <w:t xml:space="preserve"> Model</w:t>
            </w:r>
          </w:p>
        </w:tc>
        <w:tc>
          <w:tcPr>
            <w:tcW w:w="2074" w:type="dxa"/>
            <w:tcBorders>
              <w:top w:val="single" w:sz="12" w:space="0" w:color="auto"/>
              <w:bottom w:val="single" w:sz="12" w:space="0" w:color="auto"/>
            </w:tcBorders>
          </w:tcPr>
          <w:p w14:paraId="7C1733E4" w14:textId="77777777" w:rsidR="0013524F" w:rsidRDefault="00922C2A" w:rsidP="00354B2A">
            <w:pPr>
              <w:keepNext/>
              <w:adjustRightInd w:val="0"/>
              <w:spacing w:before="60" w:after="60"/>
              <w:jc w:val="right"/>
              <w:rPr>
                <w:b/>
                <w:bCs/>
                <w:color w:val="000000"/>
              </w:rPr>
            </w:pPr>
            <w:r>
              <w:rPr>
                <w:b/>
                <w:bCs/>
                <w:color w:val="000000"/>
              </w:rPr>
              <w:t xml:space="preserve">Actual </w:t>
            </w:r>
            <w:r w:rsidR="009B215B">
              <w:rPr>
                <w:b/>
                <w:bCs/>
                <w:color w:val="000000"/>
              </w:rPr>
              <w:t xml:space="preserve">postoperative </w:t>
            </w:r>
            <w:r w:rsidR="0013524F">
              <w:rPr>
                <w:b/>
                <w:bCs/>
                <w:color w:val="000000"/>
              </w:rPr>
              <w:t>FEV1</w:t>
            </w:r>
            <w:r w:rsidR="00AA1B08">
              <w:rPr>
                <w:b/>
                <w:bCs/>
                <w:color w:val="000000"/>
              </w:rPr>
              <w:t xml:space="preserve"> </w:t>
            </w:r>
          </w:p>
        </w:tc>
      </w:tr>
      <w:tr w:rsidR="009B215B" w14:paraId="25814FDD" w14:textId="77777777" w:rsidTr="009B215B">
        <w:trPr>
          <w:trHeight w:val="1007"/>
        </w:trPr>
        <w:tc>
          <w:tcPr>
            <w:tcW w:w="2993" w:type="dxa"/>
            <w:tcBorders>
              <w:top w:val="single" w:sz="12" w:space="0" w:color="auto"/>
            </w:tcBorders>
          </w:tcPr>
          <w:p w14:paraId="16571242" w14:textId="77777777" w:rsidR="0013524F" w:rsidRDefault="00AA1B08" w:rsidP="00AA1B08">
            <w:pPr>
              <w:keepNext/>
              <w:adjustRightInd w:val="0"/>
              <w:spacing w:before="60" w:after="60"/>
              <w:rPr>
                <w:color w:val="000000"/>
              </w:rPr>
            </w:pPr>
            <w:r>
              <w:rPr>
                <w:b/>
                <w:bCs/>
                <w:color w:val="000000"/>
              </w:rPr>
              <w:t xml:space="preserve">Q Model </w:t>
            </w:r>
            <w:r w:rsidR="0013524F">
              <w:rPr>
                <w:b/>
                <w:bCs/>
                <w:color w:val="000000"/>
              </w:rPr>
              <w:br/>
            </w:r>
          </w:p>
        </w:tc>
        <w:tc>
          <w:tcPr>
            <w:tcW w:w="2101" w:type="dxa"/>
            <w:tcBorders>
              <w:top w:val="single" w:sz="12" w:space="0" w:color="auto"/>
            </w:tcBorders>
          </w:tcPr>
          <w:p w14:paraId="25642C2B" w14:textId="77777777" w:rsidR="0013524F" w:rsidRDefault="0013524F" w:rsidP="001E0FE7">
            <w:pPr>
              <w:keepNext/>
              <w:adjustRightInd w:val="0"/>
              <w:spacing w:before="60" w:after="60"/>
              <w:jc w:val="right"/>
              <w:rPr>
                <w:color w:val="000000"/>
              </w:rPr>
            </w:pPr>
            <w:r>
              <w:rPr>
                <w:color w:val="000000"/>
              </w:rPr>
              <w:t>0.95830</w:t>
            </w:r>
            <w:r>
              <w:rPr>
                <w:color w:val="000000"/>
              </w:rPr>
              <w:br/>
              <w:t>&lt;.0001</w:t>
            </w:r>
            <w:r>
              <w:rPr>
                <w:color w:val="000000"/>
              </w:rPr>
              <w:br/>
              <w:t>114</w:t>
            </w:r>
          </w:p>
        </w:tc>
        <w:tc>
          <w:tcPr>
            <w:tcW w:w="1831" w:type="dxa"/>
            <w:tcBorders>
              <w:top w:val="single" w:sz="12" w:space="0" w:color="auto"/>
            </w:tcBorders>
          </w:tcPr>
          <w:p w14:paraId="0EFF3E52" w14:textId="77777777" w:rsidR="0013524F" w:rsidRDefault="0013524F" w:rsidP="001E0FE7">
            <w:pPr>
              <w:keepNext/>
              <w:adjustRightInd w:val="0"/>
              <w:spacing w:before="60" w:after="60"/>
              <w:jc w:val="right"/>
              <w:rPr>
                <w:color w:val="000000"/>
              </w:rPr>
            </w:pPr>
            <w:r>
              <w:rPr>
                <w:color w:val="000000"/>
              </w:rPr>
              <w:t>0.95058</w:t>
            </w:r>
            <w:r>
              <w:rPr>
                <w:color w:val="000000"/>
              </w:rPr>
              <w:br/>
              <w:t>&lt;.0001</w:t>
            </w:r>
            <w:r>
              <w:rPr>
                <w:color w:val="000000"/>
              </w:rPr>
              <w:br/>
              <w:t>114</w:t>
            </w:r>
          </w:p>
        </w:tc>
        <w:tc>
          <w:tcPr>
            <w:tcW w:w="2074" w:type="dxa"/>
            <w:tcBorders>
              <w:top w:val="single" w:sz="12" w:space="0" w:color="auto"/>
            </w:tcBorders>
          </w:tcPr>
          <w:p w14:paraId="71069B50" w14:textId="77777777" w:rsidR="0013524F" w:rsidRDefault="0013524F" w:rsidP="001E0FE7">
            <w:pPr>
              <w:keepNext/>
              <w:adjustRightInd w:val="0"/>
              <w:spacing w:before="60" w:after="60"/>
              <w:jc w:val="right"/>
              <w:rPr>
                <w:color w:val="000000"/>
              </w:rPr>
            </w:pPr>
            <w:r>
              <w:rPr>
                <w:color w:val="000000"/>
              </w:rPr>
              <w:t>0.74584</w:t>
            </w:r>
            <w:r>
              <w:rPr>
                <w:color w:val="000000"/>
              </w:rPr>
              <w:br/>
              <w:t>&lt;.0001</w:t>
            </w:r>
            <w:r>
              <w:rPr>
                <w:color w:val="000000"/>
              </w:rPr>
              <w:br/>
              <w:t>79</w:t>
            </w:r>
          </w:p>
        </w:tc>
      </w:tr>
      <w:tr w:rsidR="009B215B" w14:paraId="1AA3B69F" w14:textId="77777777" w:rsidTr="009B215B">
        <w:trPr>
          <w:trHeight w:val="1007"/>
        </w:trPr>
        <w:tc>
          <w:tcPr>
            <w:tcW w:w="2993" w:type="dxa"/>
            <w:tcBorders>
              <w:bottom w:val="single" w:sz="4" w:space="0" w:color="BFBFBF" w:themeColor="background1" w:themeShade="BF"/>
            </w:tcBorders>
          </w:tcPr>
          <w:p w14:paraId="6CE1983D" w14:textId="77777777" w:rsidR="0013524F" w:rsidRDefault="0013524F" w:rsidP="00AA1B08">
            <w:pPr>
              <w:keepNext/>
              <w:adjustRightInd w:val="0"/>
              <w:spacing w:before="60" w:after="60"/>
              <w:rPr>
                <w:color w:val="000000"/>
              </w:rPr>
            </w:pPr>
            <w:r>
              <w:rPr>
                <w:b/>
                <w:bCs/>
                <w:color w:val="000000"/>
              </w:rPr>
              <w:t>SC18</w:t>
            </w:r>
            <w:r w:rsidR="00AA1B08">
              <w:rPr>
                <w:b/>
                <w:bCs/>
                <w:color w:val="000000"/>
              </w:rPr>
              <w:t xml:space="preserve"> Model</w:t>
            </w:r>
            <w:r>
              <w:rPr>
                <w:b/>
                <w:bCs/>
                <w:color w:val="000000"/>
              </w:rPr>
              <w:br/>
            </w:r>
          </w:p>
        </w:tc>
        <w:tc>
          <w:tcPr>
            <w:tcW w:w="2101" w:type="dxa"/>
            <w:tcBorders>
              <w:bottom w:val="single" w:sz="4" w:space="0" w:color="BFBFBF" w:themeColor="background1" w:themeShade="BF"/>
            </w:tcBorders>
          </w:tcPr>
          <w:p w14:paraId="259A5CE4" w14:textId="77777777" w:rsidR="0013524F" w:rsidRDefault="0013524F" w:rsidP="001E0FE7">
            <w:pPr>
              <w:keepNext/>
              <w:adjustRightInd w:val="0"/>
              <w:spacing w:before="60" w:after="60"/>
              <w:jc w:val="right"/>
              <w:rPr>
                <w:color w:val="000000"/>
              </w:rPr>
            </w:pPr>
          </w:p>
        </w:tc>
        <w:tc>
          <w:tcPr>
            <w:tcW w:w="1831" w:type="dxa"/>
            <w:tcBorders>
              <w:bottom w:val="single" w:sz="4" w:space="0" w:color="BFBFBF" w:themeColor="background1" w:themeShade="BF"/>
            </w:tcBorders>
          </w:tcPr>
          <w:p w14:paraId="2DEA4CB4" w14:textId="77777777" w:rsidR="0013524F" w:rsidRDefault="0013524F" w:rsidP="001E0FE7">
            <w:pPr>
              <w:keepNext/>
              <w:adjustRightInd w:val="0"/>
              <w:spacing w:before="60" w:after="60"/>
              <w:jc w:val="right"/>
              <w:rPr>
                <w:color w:val="000000"/>
              </w:rPr>
            </w:pPr>
            <w:r>
              <w:rPr>
                <w:color w:val="000000"/>
              </w:rPr>
              <w:t>0.99420</w:t>
            </w:r>
            <w:r>
              <w:rPr>
                <w:color w:val="000000"/>
              </w:rPr>
              <w:br/>
              <w:t>&lt;.0001</w:t>
            </w:r>
            <w:r>
              <w:rPr>
                <w:color w:val="000000"/>
              </w:rPr>
              <w:br/>
              <w:t>114</w:t>
            </w:r>
          </w:p>
        </w:tc>
        <w:tc>
          <w:tcPr>
            <w:tcW w:w="2074" w:type="dxa"/>
            <w:tcBorders>
              <w:bottom w:val="single" w:sz="4" w:space="0" w:color="BFBFBF" w:themeColor="background1" w:themeShade="BF"/>
            </w:tcBorders>
          </w:tcPr>
          <w:p w14:paraId="108D5FDF" w14:textId="77777777" w:rsidR="0013524F" w:rsidRDefault="0013524F" w:rsidP="001E0FE7">
            <w:pPr>
              <w:keepNext/>
              <w:adjustRightInd w:val="0"/>
              <w:spacing w:before="60" w:after="60"/>
              <w:jc w:val="right"/>
              <w:rPr>
                <w:color w:val="000000"/>
              </w:rPr>
            </w:pPr>
            <w:r>
              <w:rPr>
                <w:color w:val="000000"/>
              </w:rPr>
              <w:t>0.78218</w:t>
            </w:r>
            <w:r>
              <w:rPr>
                <w:color w:val="000000"/>
              </w:rPr>
              <w:br/>
              <w:t>&lt;.0001</w:t>
            </w:r>
            <w:r>
              <w:rPr>
                <w:color w:val="000000"/>
              </w:rPr>
              <w:br/>
              <w:t>79</w:t>
            </w:r>
          </w:p>
        </w:tc>
      </w:tr>
      <w:tr w:rsidR="009B215B" w14:paraId="7211B515" w14:textId="77777777" w:rsidTr="009B215B">
        <w:trPr>
          <w:trHeight w:val="1016"/>
        </w:trPr>
        <w:tc>
          <w:tcPr>
            <w:tcW w:w="2993" w:type="dxa"/>
            <w:tcBorders>
              <w:bottom w:val="single" w:sz="12" w:space="0" w:color="auto"/>
            </w:tcBorders>
          </w:tcPr>
          <w:p w14:paraId="15A1A59D" w14:textId="77777777" w:rsidR="0013524F" w:rsidRDefault="0013524F" w:rsidP="00AA1B08">
            <w:pPr>
              <w:keepNext/>
              <w:adjustRightInd w:val="0"/>
              <w:spacing w:before="60" w:after="60"/>
              <w:rPr>
                <w:color w:val="000000"/>
              </w:rPr>
            </w:pPr>
            <w:r>
              <w:rPr>
                <w:b/>
                <w:bCs/>
                <w:color w:val="000000"/>
              </w:rPr>
              <w:t>SC19</w:t>
            </w:r>
            <w:r w:rsidR="00AA1B08">
              <w:rPr>
                <w:b/>
                <w:bCs/>
                <w:color w:val="000000"/>
              </w:rPr>
              <w:t xml:space="preserve"> Model</w:t>
            </w:r>
            <w:r>
              <w:rPr>
                <w:b/>
                <w:bCs/>
                <w:color w:val="000000"/>
              </w:rPr>
              <w:br/>
            </w:r>
          </w:p>
        </w:tc>
        <w:tc>
          <w:tcPr>
            <w:tcW w:w="2101" w:type="dxa"/>
            <w:tcBorders>
              <w:bottom w:val="single" w:sz="12" w:space="0" w:color="auto"/>
            </w:tcBorders>
          </w:tcPr>
          <w:p w14:paraId="755B462F" w14:textId="77777777" w:rsidR="0013524F" w:rsidRDefault="0013524F" w:rsidP="001E0FE7">
            <w:pPr>
              <w:keepNext/>
              <w:adjustRightInd w:val="0"/>
              <w:spacing w:before="60" w:after="60"/>
              <w:jc w:val="right"/>
              <w:rPr>
                <w:color w:val="000000"/>
              </w:rPr>
            </w:pPr>
          </w:p>
        </w:tc>
        <w:tc>
          <w:tcPr>
            <w:tcW w:w="1831" w:type="dxa"/>
            <w:tcBorders>
              <w:bottom w:val="single" w:sz="12" w:space="0" w:color="auto"/>
            </w:tcBorders>
          </w:tcPr>
          <w:p w14:paraId="49A06439" w14:textId="77777777" w:rsidR="0013524F" w:rsidRDefault="0013524F" w:rsidP="001E0FE7">
            <w:pPr>
              <w:keepNext/>
              <w:adjustRightInd w:val="0"/>
              <w:spacing w:before="60" w:after="60"/>
              <w:jc w:val="right"/>
              <w:rPr>
                <w:color w:val="000000"/>
              </w:rPr>
            </w:pPr>
          </w:p>
        </w:tc>
        <w:tc>
          <w:tcPr>
            <w:tcW w:w="2074" w:type="dxa"/>
            <w:tcBorders>
              <w:bottom w:val="single" w:sz="12" w:space="0" w:color="auto"/>
            </w:tcBorders>
          </w:tcPr>
          <w:p w14:paraId="2931AEF5" w14:textId="77777777" w:rsidR="0013524F" w:rsidRDefault="0013524F" w:rsidP="001E0FE7">
            <w:pPr>
              <w:keepNext/>
              <w:adjustRightInd w:val="0"/>
              <w:spacing w:before="60" w:after="60"/>
              <w:jc w:val="right"/>
              <w:rPr>
                <w:color w:val="000000"/>
              </w:rPr>
            </w:pPr>
            <w:r>
              <w:rPr>
                <w:color w:val="000000"/>
              </w:rPr>
              <w:t>0.79499</w:t>
            </w:r>
            <w:r>
              <w:rPr>
                <w:color w:val="000000"/>
              </w:rPr>
              <w:br/>
              <w:t>&lt;.0001</w:t>
            </w:r>
            <w:r>
              <w:rPr>
                <w:color w:val="000000"/>
              </w:rPr>
              <w:br/>
              <w:t>79</w:t>
            </w:r>
          </w:p>
        </w:tc>
      </w:tr>
    </w:tbl>
    <w:p w14:paraId="2C5CDCCB" w14:textId="77777777" w:rsidR="0013524F" w:rsidRDefault="0013524F" w:rsidP="0013524F">
      <w:pPr>
        <w:autoSpaceDE w:val="0"/>
        <w:adjustRightInd w:val="0"/>
        <w:spacing w:after="0" w:line="240" w:lineRule="auto"/>
        <w:rPr>
          <w:color w:val="000000"/>
          <w:sz w:val="24"/>
          <w:szCs w:val="24"/>
        </w:rPr>
      </w:pPr>
    </w:p>
    <w:p w14:paraId="018F1C76" w14:textId="77777777" w:rsidR="00AA1B08" w:rsidRDefault="00354B2A" w:rsidP="00AA1B08">
      <w:pPr>
        <w:autoSpaceDE w:val="0"/>
        <w:adjustRightInd w:val="0"/>
        <w:spacing w:after="0" w:line="240" w:lineRule="auto"/>
        <w:rPr>
          <w:color w:val="000000"/>
          <w:sz w:val="24"/>
          <w:szCs w:val="24"/>
        </w:rPr>
      </w:pPr>
      <w:r>
        <w:rPr>
          <w:color w:val="000000"/>
          <w:sz w:val="24"/>
          <w:szCs w:val="24"/>
        </w:rPr>
        <w:t>Prediction of postoperative lung function models are based on quantitative perfusion scans (Q), segment counting with 18 segments (SC18) or segment counting with 19 segments (SC19).</w:t>
      </w:r>
    </w:p>
    <w:p w14:paraId="6A437DA2" w14:textId="77777777" w:rsidR="00AA1B08" w:rsidRDefault="00AA1B08" w:rsidP="00AA1B08">
      <w:pPr>
        <w:autoSpaceDE w:val="0"/>
        <w:adjustRightInd w:val="0"/>
        <w:spacing w:after="0" w:line="240" w:lineRule="auto"/>
        <w:rPr>
          <w:color w:val="000000"/>
          <w:sz w:val="24"/>
          <w:szCs w:val="24"/>
        </w:rPr>
      </w:pPr>
    </w:p>
    <w:p w14:paraId="3A37947B" w14:textId="77777777" w:rsidR="00AA1B08" w:rsidRDefault="00AA1B08" w:rsidP="00AA1B08">
      <w:pPr>
        <w:autoSpaceDE w:val="0"/>
        <w:adjustRightInd w:val="0"/>
        <w:spacing w:after="0" w:line="240" w:lineRule="auto"/>
        <w:rPr>
          <w:color w:val="000000"/>
          <w:sz w:val="24"/>
          <w:szCs w:val="24"/>
        </w:rPr>
      </w:pPr>
    </w:p>
    <w:p w14:paraId="014815D1" w14:textId="77777777" w:rsidR="009B215B" w:rsidRDefault="009B215B" w:rsidP="00AA1B08">
      <w:pPr>
        <w:autoSpaceDE w:val="0"/>
        <w:adjustRightInd w:val="0"/>
        <w:spacing w:after="0" w:line="240" w:lineRule="auto"/>
        <w:rPr>
          <w:b/>
          <w:color w:val="000000"/>
          <w:sz w:val="24"/>
          <w:szCs w:val="24"/>
        </w:rPr>
        <w:sectPr w:rsidR="009B215B">
          <w:pgSz w:w="12240" w:h="15840"/>
          <w:pgMar w:top="1440" w:right="1440" w:bottom="1440" w:left="1440" w:header="720" w:footer="720" w:gutter="0"/>
          <w:cols w:space="720"/>
          <w:docGrid w:linePitch="360"/>
        </w:sectPr>
      </w:pPr>
    </w:p>
    <w:p w14:paraId="4579B251" w14:textId="77777777" w:rsidR="009B215B" w:rsidRDefault="009B215B" w:rsidP="00AA1B08">
      <w:pPr>
        <w:autoSpaceDE w:val="0"/>
        <w:adjustRightInd w:val="0"/>
        <w:spacing w:after="0" w:line="240" w:lineRule="auto"/>
        <w:rPr>
          <w:color w:val="000000"/>
          <w:sz w:val="24"/>
          <w:szCs w:val="24"/>
        </w:rPr>
      </w:pPr>
      <w:r>
        <w:rPr>
          <w:b/>
          <w:color w:val="000000"/>
          <w:sz w:val="24"/>
          <w:szCs w:val="24"/>
        </w:rPr>
        <w:lastRenderedPageBreak/>
        <w:t xml:space="preserve">e-table 4. </w:t>
      </w:r>
      <w:r>
        <w:rPr>
          <w:color w:val="000000"/>
          <w:sz w:val="24"/>
          <w:szCs w:val="24"/>
        </w:rPr>
        <w:t>Correlation Between Prediction Models and Actual Postoperative DLCO % of Predicted</w:t>
      </w:r>
    </w:p>
    <w:p w14:paraId="68BA9A87" w14:textId="77777777" w:rsidR="009B215B" w:rsidRDefault="009B215B" w:rsidP="00AA1B08">
      <w:pPr>
        <w:autoSpaceDE w:val="0"/>
        <w:adjustRightInd w:val="0"/>
        <w:spacing w:after="0" w:line="240" w:lineRule="auto"/>
        <w:rPr>
          <w:color w:val="000000"/>
          <w:sz w:val="24"/>
          <w:szCs w:val="24"/>
        </w:rPr>
      </w:pPr>
    </w:p>
    <w:p w14:paraId="59C70ED3" w14:textId="77777777" w:rsidR="009B215B" w:rsidRPr="009B215B" w:rsidRDefault="009B215B" w:rsidP="00AA1B08">
      <w:pPr>
        <w:autoSpaceDE w:val="0"/>
        <w:adjustRightInd w:val="0"/>
        <w:spacing w:after="0" w:line="240" w:lineRule="auto"/>
        <w:rPr>
          <w:color w:val="000000"/>
          <w:sz w:val="24"/>
          <w:szCs w:val="24"/>
        </w:rPr>
      </w:pPr>
    </w:p>
    <w:tbl>
      <w:tblPr>
        <w:tblStyle w:val="TableGridLight"/>
        <w:tblW w:w="9064" w:type="dxa"/>
        <w:tblLayout w:type="fixed"/>
        <w:tblLook w:val="0000" w:firstRow="0" w:lastRow="0" w:firstColumn="0" w:lastColumn="0" w:noHBand="0" w:noVBand="0"/>
      </w:tblPr>
      <w:tblGrid>
        <w:gridCol w:w="2879"/>
        <w:gridCol w:w="31"/>
        <w:gridCol w:w="2035"/>
        <w:gridCol w:w="2070"/>
        <w:gridCol w:w="2049"/>
      </w:tblGrid>
      <w:tr w:rsidR="009B215B" w14:paraId="36502382" w14:textId="77777777" w:rsidTr="009B215B">
        <w:trPr>
          <w:trHeight w:val="920"/>
        </w:trPr>
        <w:tc>
          <w:tcPr>
            <w:tcW w:w="2910" w:type="dxa"/>
            <w:gridSpan w:val="2"/>
          </w:tcPr>
          <w:p w14:paraId="44909011" w14:textId="77777777" w:rsidR="009B215B" w:rsidRDefault="009B215B" w:rsidP="001E0FE7">
            <w:pPr>
              <w:keepNext/>
              <w:adjustRightInd w:val="0"/>
              <w:spacing w:before="60" w:after="60"/>
              <w:jc w:val="center"/>
              <w:rPr>
                <w:b/>
                <w:bCs/>
                <w:color w:val="000000"/>
              </w:rPr>
            </w:pPr>
          </w:p>
        </w:tc>
        <w:tc>
          <w:tcPr>
            <w:tcW w:w="6154" w:type="dxa"/>
            <w:gridSpan w:val="3"/>
          </w:tcPr>
          <w:p w14:paraId="78F3A6BA" w14:textId="77777777" w:rsidR="009B215B" w:rsidRDefault="009B215B" w:rsidP="001E0FE7">
            <w:pPr>
              <w:keepNext/>
              <w:adjustRightInd w:val="0"/>
              <w:spacing w:before="60" w:after="60"/>
              <w:jc w:val="center"/>
              <w:rPr>
                <w:b/>
                <w:bCs/>
                <w:color w:val="000000"/>
              </w:rPr>
            </w:pPr>
            <w:r>
              <w:rPr>
                <w:b/>
                <w:bCs/>
                <w:color w:val="000000"/>
              </w:rPr>
              <w:t>Pearson Correlation Coefficients</w:t>
            </w:r>
            <w:r>
              <w:rPr>
                <w:b/>
                <w:bCs/>
                <w:color w:val="000000"/>
              </w:rPr>
              <w:br/>
              <w:t>Prob &gt; |r| under H0: Rho=0</w:t>
            </w:r>
            <w:r>
              <w:rPr>
                <w:b/>
                <w:bCs/>
                <w:color w:val="000000"/>
              </w:rPr>
              <w:br/>
              <w:t>Number of Observations</w:t>
            </w:r>
          </w:p>
        </w:tc>
      </w:tr>
      <w:tr w:rsidR="009B215B" w14:paraId="384F9DDE" w14:textId="77777777" w:rsidTr="00922C2A">
        <w:trPr>
          <w:trHeight w:val="920"/>
        </w:trPr>
        <w:tc>
          <w:tcPr>
            <w:tcW w:w="2879" w:type="dxa"/>
          </w:tcPr>
          <w:p w14:paraId="3B6F0878" w14:textId="77777777" w:rsidR="009B215B" w:rsidRDefault="009B215B" w:rsidP="009B215B">
            <w:pPr>
              <w:keepNext/>
              <w:adjustRightInd w:val="0"/>
              <w:spacing w:before="60" w:after="60"/>
              <w:jc w:val="center"/>
              <w:rPr>
                <w:b/>
                <w:bCs/>
                <w:color w:val="000000"/>
              </w:rPr>
            </w:pPr>
          </w:p>
        </w:tc>
        <w:tc>
          <w:tcPr>
            <w:tcW w:w="2066" w:type="dxa"/>
            <w:gridSpan w:val="2"/>
          </w:tcPr>
          <w:p w14:paraId="2DA4C00F" w14:textId="77777777" w:rsidR="009B215B" w:rsidRDefault="009B215B" w:rsidP="009B215B">
            <w:pPr>
              <w:keepNext/>
              <w:adjustRightInd w:val="0"/>
              <w:spacing w:before="60" w:after="60"/>
              <w:jc w:val="right"/>
              <w:rPr>
                <w:b/>
                <w:bCs/>
                <w:color w:val="000000"/>
              </w:rPr>
            </w:pPr>
            <w:r>
              <w:rPr>
                <w:b/>
                <w:bCs/>
                <w:color w:val="000000"/>
              </w:rPr>
              <w:t>SC18 Model</w:t>
            </w:r>
          </w:p>
        </w:tc>
        <w:tc>
          <w:tcPr>
            <w:tcW w:w="2070" w:type="dxa"/>
          </w:tcPr>
          <w:p w14:paraId="2468B879" w14:textId="77777777" w:rsidR="009B215B" w:rsidRDefault="009B215B" w:rsidP="009B215B">
            <w:pPr>
              <w:keepNext/>
              <w:adjustRightInd w:val="0"/>
              <w:spacing w:before="60" w:after="60"/>
              <w:jc w:val="right"/>
              <w:rPr>
                <w:b/>
                <w:bCs/>
                <w:color w:val="000000"/>
              </w:rPr>
            </w:pPr>
            <w:r>
              <w:rPr>
                <w:b/>
                <w:bCs/>
                <w:color w:val="000000"/>
              </w:rPr>
              <w:t>SC19 Model</w:t>
            </w:r>
          </w:p>
        </w:tc>
        <w:tc>
          <w:tcPr>
            <w:tcW w:w="2049" w:type="dxa"/>
          </w:tcPr>
          <w:p w14:paraId="6079B633" w14:textId="77777777" w:rsidR="009B215B" w:rsidRDefault="009B215B" w:rsidP="00922C2A">
            <w:pPr>
              <w:keepNext/>
              <w:adjustRightInd w:val="0"/>
              <w:spacing w:before="60" w:after="60"/>
              <w:jc w:val="right"/>
              <w:rPr>
                <w:b/>
                <w:bCs/>
                <w:color w:val="000000"/>
              </w:rPr>
            </w:pPr>
            <w:r>
              <w:rPr>
                <w:b/>
                <w:bCs/>
                <w:color w:val="000000"/>
              </w:rPr>
              <w:t xml:space="preserve">Actual postoperative </w:t>
            </w:r>
            <w:r w:rsidR="00922C2A">
              <w:rPr>
                <w:b/>
                <w:bCs/>
                <w:color w:val="000000"/>
              </w:rPr>
              <w:t>DLCO</w:t>
            </w:r>
            <w:r>
              <w:rPr>
                <w:b/>
                <w:bCs/>
                <w:color w:val="000000"/>
              </w:rPr>
              <w:t xml:space="preserve"> </w:t>
            </w:r>
          </w:p>
        </w:tc>
      </w:tr>
      <w:tr w:rsidR="009B215B" w14:paraId="43C5FA28" w14:textId="77777777" w:rsidTr="00922C2A">
        <w:trPr>
          <w:trHeight w:val="920"/>
        </w:trPr>
        <w:tc>
          <w:tcPr>
            <w:tcW w:w="2879" w:type="dxa"/>
          </w:tcPr>
          <w:p w14:paraId="6168113B" w14:textId="77777777" w:rsidR="009B215B" w:rsidRDefault="009B215B" w:rsidP="009B215B">
            <w:pPr>
              <w:pStyle w:val="Heading4"/>
              <w:outlineLvl w:val="3"/>
            </w:pPr>
            <w:r>
              <w:t>Prediction Models</w:t>
            </w:r>
          </w:p>
        </w:tc>
        <w:tc>
          <w:tcPr>
            <w:tcW w:w="2066" w:type="dxa"/>
            <w:gridSpan w:val="2"/>
          </w:tcPr>
          <w:p w14:paraId="7069FE7D" w14:textId="77777777" w:rsidR="009B215B" w:rsidRDefault="009B215B" w:rsidP="009B215B">
            <w:pPr>
              <w:keepNext/>
              <w:adjustRightInd w:val="0"/>
              <w:spacing w:before="60" w:after="60"/>
              <w:jc w:val="right"/>
              <w:rPr>
                <w:color w:val="000000"/>
              </w:rPr>
            </w:pPr>
            <w:r>
              <w:rPr>
                <w:color w:val="000000"/>
              </w:rPr>
              <w:t>0.96111</w:t>
            </w:r>
            <w:r>
              <w:rPr>
                <w:color w:val="000000"/>
              </w:rPr>
              <w:br/>
              <w:t>&lt;.0001</w:t>
            </w:r>
            <w:r>
              <w:rPr>
                <w:color w:val="000000"/>
              </w:rPr>
              <w:br/>
              <w:t>114</w:t>
            </w:r>
          </w:p>
        </w:tc>
        <w:tc>
          <w:tcPr>
            <w:tcW w:w="2070" w:type="dxa"/>
          </w:tcPr>
          <w:p w14:paraId="2D54FD7E" w14:textId="77777777" w:rsidR="009B215B" w:rsidRDefault="009B215B" w:rsidP="009B215B">
            <w:pPr>
              <w:keepNext/>
              <w:adjustRightInd w:val="0"/>
              <w:spacing w:before="60" w:after="60"/>
              <w:jc w:val="right"/>
              <w:rPr>
                <w:color w:val="000000"/>
              </w:rPr>
            </w:pPr>
            <w:r>
              <w:rPr>
                <w:color w:val="000000"/>
              </w:rPr>
              <w:t>0.95422</w:t>
            </w:r>
            <w:r>
              <w:rPr>
                <w:color w:val="000000"/>
              </w:rPr>
              <w:br/>
              <w:t>&lt;.0001</w:t>
            </w:r>
            <w:r>
              <w:rPr>
                <w:color w:val="000000"/>
              </w:rPr>
              <w:br/>
              <w:t>114</w:t>
            </w:r>
          </w:p>
        </w:tc>
        <w:tc>
          <w:tcPr>
            <w:tcW w:w="2049" w:type="dxa"/>
          </w:tcPr>
          <w:p w14:paraId="308D9CD2" w14:textId="77777777" w:rsidR="009B215B" w:rsidRDefault="009B215B" w:rsidP="009B215B">
            <w:pPr>
              <w:keepNext/>
              <w:adjustRightInd w:val="0"/>
              <w:spacing w:before="60" w:after="60"/>
              <w:jc w:val="right"/>
              <w:rPr>
                <w:color w:val="000000"/>
              </w:rPr>
            </w:pPr>
            <w:r>
              <w:rPr>
                <w:color w:val="000000"/>
              </w:rPr>
              <w:t>0.66339</w:t>
            </w:r>
            <w:r>
              <w:rPr>
                <w:color w:val="000000"/>
              </w:rPr>
              <w:br/>
              <w:t>&lt;.0001</w:t>
            </w:r>
            <w:r>
              <w:rPr>
                <w:color w:val="000000"/>
              </w:rPr>
              <w:br/>
              <w:t>78</w:t>
            </w:r>
          </w:p>
        </w:tc>
      </w:tr>
      <w:tr w:rsidR="009B215B" w14:paraId="208A9B84" w14:textId="77777777" w:rsidTr="00922C2A">
        <w:trPr>
          <w:trHeight w:val="920"/>
        </w:trPr>
        <w:tc>
          <w:tcPr>
            <w:tcW w:w="2879" w:type="dxa"/>
          </w:tcPr>
          <w:p w14:paraId="1D1AB084" w14:textId="77777777" w:rsidR="009B215B" w:rsidRDefault="009B215B" w:rsidP="009B215B">
            <w:pPr>
              <w:keepNext/>
              <w:adjustRightInd w:val="0"/>
              <w:spacing w:before="60" w:after="60"/>
              <w:rPr>
                <w:color w:val="000000"/>
              </w:rPr>
            </w:pPr>
            <w:r>
              <w:rPr>
                <w:b/>
                <w:bCs/>
                <w:color w:val="000000"/>
              </w:rPr>
              <w:t xml:space="preserve">Q Model </w:t>
            </w:r>
            <w:r>
              <w:rPr>
                <w:b/>
                <w:bCs/>
                <w:color w:val="000000"/>
              </w:rPr>
              <w:br/>
            </w:r>
          </w:p>
        </w:tc>
        <w:tc>
          <w:tcPr>
            <w:tcW w:w="2066" w:type="dxa"/>
            <w:gridSpan w:val="2"/>
          </w:tcPr>
          <w:p w14:paraId="23F28595" w14:textId="77777777" w:rsidR="009B215B" w:rsidRDefault="009B215B" w:rsidP="009B215B">
            <w:pPr>
              <w:keepNext/>
              <w:adjustRightInd w:val="0"/>
              <w:spacing w:before="60" w:after="60"/>
              <w:jc w:val="right"/>
              <w:rPr>
                <w:color w:val="000000"/>
              </w:rPr>
            </w:pPr>
          </w:p>
        </w:tc>
        <w:tc>
          <w:tcPr>
            <w:tcW w:w="2070" w:type="dxa"/>
          </w:tcPr>
          <w:p w14:paraId="29FB5F80" w14:textId="77777777" w:rsidR="009B215B" w:rsidRDefault="009B215B" w:rsidP="009B215B">
            <w:pPr>
              <w:keepNext/>
              <w:adjustRightInd w:val="0"/>
              <w:spacing w:before="60" w:after="60"/>
              <w:jc w:val="right"/>
              <w:rPr>
                <w:color w:val="000000"/>
              </w:rPr>
            </w:pPr>
            <w:r>
              <w:rPr>
                <w:color w:val="000000"/>
              </w:rPr>
              <w:t>0.99566</w:t>
            </w:r>
            <w:r>
              <w:rPr>
                <w:color w:val="000000"/>
              </w:rPr>
              <w:br/>
              <w:t>&lt;.0001</w:t>
            </w:r>
            <w:r>
              <w:rPr>
                <w:color w:val="000000"/>
              </w:rPr>
              <w:br/>
              <w:t>114</w:t>
            </w:r>
          </w:p>
        </w:tc>
        <w:tc>
          <w:tcPr>
            <w:tcW w:w="2049" w:type="dxa"/>
          </w:tcPr>
          <w:p w14:paraId="2B8B7816" w14:textId="77777777" w:rsidR="009B215B" w:rsidRDefault="009B215B" w:rsidP="009B215B">
            <w:pPr>
              <w:keepNext/>
              <w:adjustRightInd w:val="0"/>
              <w:spacing w:before="60" w:after="60"/>
              <w:jc w:val="right"/>
              <w:rPr>
                <w:color w:val="000000"/>
              </w:rPr>
            </w:pPr>
            <w:r>
              <w:rPr>
                <w:color w:val="000000"/>
              </w:rPr>
              <w:t>0.70806</w:t>
            </w:r>
            <w:r>
              <w:rPr>
                <w:color w:val="000000"/>
              </w:rPr>
              <w:br/>
              <w:t>&lt;.0001</w:t>
            </w:r>
            <w:r>
              <w:rPr>
                <w:color w:val="000000"/>
              </w:rPr>
              <w:br/>
              <w:t>78</w:t>
            </w:r>
          </w:p>
        </w:tc>
      </w:tr>
      <w:tr w:rsidR="009B215B" w14:paraId="77C03842" w14:textId="77777777" w:rsidTr="00922C2A">
        <w:trPr>
          <w:trHeight w:val="920"/>
        </w:trPr>
        <w:tc>
          <w:tcPr>
            <w:tcW w:w="2879" w:type="dxa"/>
          </w:tcPr>
          <w:p w14:paraId="007CE149" w14:textId="77777777" w:rsidR="009B215B" w:rsidRDefault="009B215B" w:rsidP="009B215B">
            <w:pPr>
              <w:keepNext/>
              <w:adjustRightInd w:val="0"/>
              <w:spacing w:before="60" w:after="60"/>
              <w:rPr>
                <w:color w:val="000000"/>
              </w:rPr>
            </w:pPr>
            <w:r>
              <w:rPr>
                <w:b/>
                <w:bCs/>
                <w:color w:val="000000"/>
              </w:rPr>
              <w:t>SC18 Model</w:t>
            </w:r>
            <w:r>
              <w:rPr>
                <w:b/>
                <w:bCs/>
                <w:color w:val="000000"/>
              </w:rPr>
              <w:br/>
            </w:r>
          </w:p>
        </w:tc>
        <w:tc>
          <w:tcPr>
            <w:tcW w:w="2066" w:type="dxa"/>
            <w:gridSpan w:val="2"/>
          </w:tcPr>
          <w:p w14:paraId="51DB6830" w14:textId="77777777" w:rsidR="009B215B" w:rsidRDefault="009B215B" w:rsidP="009B215B">
            <w:pPr>
              <w:keepNext/>
              <w:adjustRightInd w:val="0"/>
              <w:spacing w:before="60" w:after="60"/>
              <w:jc w:val="right"/>
              <w:rPr>
                <w:color w:val="000000"/>
              </w:rPr>
            </w:pPr>
          </w:p>
        </w:tc>
        <w:tc>
          <w:tcPr>
            <w:tcW w:w="2070" w:type="dxa"/>
          </w:tcPr>
          <w:p w14:paraId="6938DBE4" w14:textId="77777777" w:rsidR="009B215B" w:rsidRDefault="009B215B" w:rsidP="009B215B">
            <w:pPr>
              <w:keepNext/>
              <w:adjustRightInd w:val="0"/>
              <w:spacing w:before="60" w:after="60"/>
              <w:jc w:val="right"/>
              <w:rPr>
                <w:color w:val="000000"/>
              </w:rPr>
            </w:pPr>
          </w:p>
        </w:tc>
        <w:tc>
          <w:tcPr>
            <w:tcW w:w="2049" w:type="dxa"/>
          </w:tcPr>
          <w:p w14:paraId="4558B90E" w14:textId="77777777" w:rsidR="009B215B" w:rsidRDefault="009B215B" w:rsidP="009B215B">
            <w:pPr>
              <w:keepNext/>
              <w:adjustRightInd w:val="0"/>
              <w:spacing w:before="60" w:after="60"/>
              <w:jc w:val="right"/>
              <w:rPr>
                <w:color w:val="000000"/>
              </w:rPr>
            </w:pPr>
            <w:r>
              <w:rPr>
                <w:color w:val="000000"/>
              </w:rPr>
              <w:t>0.71062</w:t>
            </w:r>
            <w:r>
              <w:rPr>
                <w:color w:val="000000"/>
              </w:rPr>
              <w:br/>
              <w:t>&lt;.0001</w:t>
            </w:r>
            <w:r>
              <w:rPr>
                <w:color w:val="000000"/>
              </w:rPr>
              <w:br/>
              <w:t>78</w:t>
            </w:r>
          </w:p>
        </w:tc>
      </w:tr>
    </w:tbl>
    <w:p w14:paraId="243B2494" w14:textId="77777777" w:rsidR="0013524F" w:rsidRDefault="0013524F" w:rsidP="0013524F">
      <w:pPr>
        <w:pStyle w:val="ListParagraph"/>
        <w:autoSpaceDE w:val="0"/>
        <w:adjustRightInd w:val="0"/>
        <w:spacing w:after="0" w:line="240" w:lineRule="auto"/>
        <w:rPr>
          <w:color w:val="000000"/>
          <w:sz w:val="24"/>
          <w:szCs w:val="24"/>
        </w:rPr>
      </w:pPr>
    </w:p>
    <w:p w14:paraId="0BF70B20" w14:textId="77777777" w:rsidR="0013524F" w:rsidRDefault="00F02631" w:rsidP="00F02631">
      <w:pPr>
        <w:autoSpaceDE w:val="0"/>
        <w:adjustRightInd w:val="0"/>
        <w:spacing w:after="0" w:line="240" w:lineRule="auto"/>
        <w:rPr>
          <w:color w:val="000000"/>
          <w:sz w:val="24"/>
          <w:szCs w:val="24"/>
        </w:rPr>
      </w:pPr>
      <w:r>
        <w:rPr>
          <w:color w:val="000000"/>
          <w:sz w:val="24"/>
          <w:szCs w:val="24"/>
        </w:rPr>
        <w:t>Prediction of postoperative lung function models are based on quantitative perfusion scans (Q), segment counting with 18 segments (SC18) or segment counting with 19 segments (SC19).</w:t>
      </w:r>
    </w:p>
    <w:p w14:paraId="1F72776F" w14:textId="77777777" w:rsidR="00F02631" w:rsidRDefault="00F02631" w:rsidP="00F02631">
      <w:pPr>
        <w:autoSpaceDE w:val="0"/>
        <w:adjustRightInd w:val="0"/>
        <w:spacing w:after="0" w:line="240" w:lineRule="auto"/>
        <w:rPr>
          <w:color w:val="000000"/>
          <w:sz w:val="24"/>
          <w:szCs w:val="24"/>
        </w:rPr>
      </w:pPr>
    </w:p>
    <w:p w14:paraId="055CA8A2" w14:textId="77777777" w:rsidR="00F02631" w:rsidRDefault="00F02631" w:rsidP="00F02631">
      <w:pPr>
        <w:autoSpaceDE w:val="0"/>
        <w:adjustRightInd w:val="0"/>
        <w:spacing w:after="0" w:line="240" w:lineRule="auto"/>
        <w:rPr>
          <w:color w:val="000000"/>
          <w:sz w:val="24"/>
          <w:szCs w:val="24"/>
        </w:rPr>
        <w:sectPr w:rsidR="00F02631">
          <w:pgSz w:w="12240" w:h="15840"/>
          <w:pgMar w:top="1440" w:right="1440" w:bottom="1440" w:left="1440" w:header="720" w:footer="720" w:gutter="0"/>
          <w:cols w:space="720"/>
          <w:docGrid w:linePitch="360"/>
        </w:sectPr>
      </w:pPr>
    </w:p>
    <w:p w14:paraId="4EBDF105" w14:textId="77777777" w:rsidR="00F02631" w:rsidRPr="00AC2EA5" w:rsidRDefault="00AC2EA5" w:rsidP="00F02631">
      <w:pPr>
        <w:autoSpaceDE w:val="0"/>
        <w:adjustRightInd w:val="0"/>
        <w:spacing w:after="0" w:line="240" w:lineRule="auto"/>
        <w:rPr>
          <w:b/>
          <w:color w:val="000000"/>
          <w:sz w:val="24"/>
          <w:szCs w:val="24"/>
        </w:rPr>
      </w:pPr>
      <w:r>
        <w:rPr>
          <w:b/>
          <w:color w:val="000000"/>
          <w:sz w:val="24"/>
          <w:szCs w:val="24"/>
        </w:rPr>
        <w:lastRenderedPageBreak/>
        <w:t xml:space="preserve">e-table 5.  Variance Information on Imputation (M=30) </w:t>
      </w:r>
    </w:p>
    <w:p w14:paraId="67D4200F" w14:textId="77777777" w:rsidR="00F02631" w:rsidRPr="00F02631" w:rsidRDefault="00F02631" w:rsidP="00F02631">
      <w:pPr>
        <w:autoSpaceDE w:val="0"/>
        <w:adjustRightInd w:val="0"/>
        <w:spacing w:after="0" w:line="240" w:lineRule="auto"/>
        <w:rPr>
          <w:color w:val="000000"/>
          <w:sz w:val="24"/>
          <w:szCs w:val="24"/>
        </w:rPr>
      </w:pPr>
    </w:p>
    <w:p w14:paraId="4FDED815" w14:textId="77777777" w:rsidR="0013524F" w:rsidRDefault="0013524F" w:rsidP="0013524F">
      <w:pPr>
        <w:autoSpaceDE w:val="0"/>
        <w:adjustRightInd w:val="0"/>
        <w:spacing w:after="0" w:line="240" w:lineRule="auto"/>
        <w:rPr>
          <w:color w:val="000000"/>
          <w:sz w:val="24"/>
          <w:szCs w:val="24"/>
        </w:rPr>
      </w:pPr>
    </w:p>
    <w:p w14:paraId="33148867" w14:textId="77777777" w:rsidR="00AC2EA5" w:rsidRDefault="00AC2EA5" w:rsidP="0013524F">
      <w:pPr>
        <w:autoSpaceDE w:val="0"/>
        <w:adjustRightInd w:val="0"/>
        <w:spacing w:after="0" w:line="240" w:lineRule="auto"/>
        <w:rPr>
          <w:color w:val="000000"/>
          <w:sz w:val="24"/>
          <w:szCs w:val="24"/>
        </w:rPr>
      </w:pPr>
    </w:p>
    <w:tbl>
      <w:tblPr>
        <w:tblStyle w:val="TableGridLight"/>
        <w:tblW w:w="9445" w:type="dxa"/>
        <w:tblLayout w:type="fixed"/>
        <w:tblLook w:val="0000" w:firstRow="0" w:lastRow="0" w:firstColumn="0" w:lastColumn="0" w:noHBand="0" w:noVBand="0"/>
      </w:tblPr>
      <w:tblGrid>
        <w:gridCol w:w="1525"/>
        <w:gridCol w:w="1080"/>
        <w:gridCol w:w="1080"/>
        <w:gridCol w:w="1080"/>
        <w:gridCol w:w="900"/>
        <w:gridCol w:w="1260"/>
        <w:gridCol w:w="1350"/>
        <w:gridCol w:w="1170"/>
      </w:tblGrid>
      <w:tr w:rsidR="0013524F" w:rsidRPr="00AC2EA5" w14:paraId="61CB6D61" w14:textId="77777777" w:rsidTr="00AC2EA5">
        <w:tc>
          <w:tcPr>
            <w:tcW w:w="9445" w:type="dxa"/>
            <w:gridSpan w:val="8"/>
          </w:tcPr>
          <w:p w14:paraId="35C1AB0A" w14:textId="77777777" w:rsidR="0013524F" w:rsidRPr="00AC2EA5" w:rsidRDefault="0013524F" w:rsidP="001E0FE7">
            <w:pPr>
              <w:keepNext/>
              <w:adjustRightInd w:val="0"/>
              <w:spacing w:before="60" w:after="60"/>
              <w:jc w:val="center"/>
              <w:rPr>
                <w:b/>
                <w:bCs/>
                <w:color w:val="000000"/>
              </w:rPr>
            </w:pPr>
            <w:r w:rsidRPr="00AC2EA5">
              <w:rPr>
                <w:b/>
                <w:bCs/>
                <w:color w:val="000000"/>
              </w:rPr>
              <w:t>Variance Information (30 Imputations)</w:t>
            </w:r>
          </w:p>
        </w:tc>
      </w:tr>
      <w:tr w:rsidR="00AC2EA5" w:rsidRPr="00AC2EA5" w14:paraId="623E6DB6" w14:textId="77777777" w:rsidTr="00AC2EA5">
        <w:tc>
          <w:tcPr>
            <w:tcW w:w="1525" w:type="dxa"/>
            <w:vMerge w:val="restart"/>
          </w:tcPr>
          <w:p w14:paraId="54301EC5" w14:textId="77777777" w:rsidR="0013524F" w:rsidRPr="00AC2EA5" w:rsidRDefault="0013524F" w:rsidP="001E0FE7">
            <w:pPr>
              <w:keepNext/>
              <w:adjustRightInd w:val="0"/>
              <w:spacing w:before="60" w:after="60"/>
              <w:rPr>
                <w:b/>
                <w:bCs/>
                <w:color w:val="000000"/>
              </w:rPr>
            </w:pPr>
            <w:r w:rsidRPr="00AC2EA5">
              <w:rPr>
                <w:b/>
                <w:bCs/>
                <w:color w:val="000000"/>
              </w:rPr>
              <w:t>Variable</w:t>
            </w:r>
          </w:p>
        </w:tc>
        <w:tc>
          <w:tcPr>
            <w:tcW w:w="3240" w:type="dxa"/>
            <w:gridSpan w:val="3"/>
          </w:tcPr>
          <w:p w14:paraId="5519410F" w14:textId="77777777" w:rsidR="0013524F" w:rsidRPr="00AC2EA5" w:rsidRDefault="0013524F" w:rsidP="001E0FE7">
            <w:pPr>
              <w:keepNext/>
              <w:adjustRightInd w:val="0"/>
              <w:spacing w:before="60" w:after="60"/>
              <w:jc w:val="center"/>
              <w:rPr>
                <w:b/>
                <w:bCs/>
                <w:color w:val="000000"/>
              </w:rPr>
            </w:pPr>
            <w:r w:rsidRPr="00AC2EA5">
              <w:rPr>
                <w:b/>
                <w:bCs/>
                <w:color w:val="000000"/>
              </w:rPr>
              <w:t>Variance</w:t>
            </w:r>
          </w:p>
        </w:tc>
        <w:tc>
          <w:tcPr>
            <w:tcW w:w="900" w:type="dxa"/>
            <w:vMerge w:val="restart"/>
          </w:tcPr>
          <w:p w14:paraId="44E1BFF4" w14:textId="77777777" w:rsidR="0013524F" w:rsidRPr="00AC2EA5" w:rsidRDefault="0013524F" w:rsidP="00AC2EA5">
            <w:pPr>
              <w:keepNext/>
              <w:adjustRightInd w:val="0"/>
              <w:spacing w:before="60" w:after="60"/>
              <w:jc w:val="center"/>
              <w:rPr>
                <w:b/>
                <w:bCs/>
                <w:color w:val="000000"/>
              </w:rPr>
            </w:pPr>
            <w:r w:rsidRPr="00AC2EA5">
              <w:rPr>
                <w:b/>
                <w:bCs/>
                <w:color w:val="000000"/>
              </w:rPr>
              <w:t>DF</w:t>
            </w:r>
          </w:p>
        </w:tc>
        <w:tc>
          <w:tcPr>
            <w:tcW w:w="1260" w:type="dxa"/>
            <w:vMerge w:val="restart"/>
          </w:tcPr>
          <w:p w14:paraId="238DD5E0" w14:textId="77777777" w:rsidR="0013524F" w:rsidRPr="00AC2EA5" w:rsidRDefault="0013524F" w:rsidP="00AC2EA5">
            <w:pPr>
              <w:keepNext/>
              <w:adjustRightInd w:val="0"/>
              <w:spacing w:before="60" w:after="60"/>
              <w:jc w:val="center"/>
              <w:rPr>
                <w:b/>
                <w:bCs/>
                <w:color w:val="000000"/>
              </w:rPr>
            </w:pPr>
            <w:r w:rsidRPr="00AC2EA5">
              <w:rPr>
                <w:b/>
                <w:bCs/>
                <w:color w:val="000000"/>
              </w:rPr>
              <w:t>Relative</w:t>
            </w:r>
            <w:r w:rsidRPr="00AC2EA5">
              <w:rPr>
                <w:b/>
                <w:bCs/>
                <w:color w:val="000000"/>
              </w:rPr>
              <w:br/>
              <w:t>Increase</w:t>
            </w:r>
            <w:r w:rsidRPr="00AC2EA5">
              <w:rPr>
                <w:b/>
                <w:bCs/>
                <w:color w:val="000000"/>
              </w:rPr>
              <w:br/>
              <w:t>in Variance</w:t>
            </w:r>
          </w:p>
        </w:tc>
        <w:tc>
          <w:tcPr>
            <w:tcW w:w="1350" w:type="dxa"/>
            <w:vMerge w:val="restart"/>
          </w:tcPr>
          <w:p w14:paraId="1352AAE0" w14:textId="77777777" w:rsidR="0013524F" w:rsidRPr="00AC2EA5" w:rsidRDefault="0013524F" w:rsidP="00AC2EA5">
            <w:pPr>
              <w:keepNext/>
              <w:adjustRightInd w:val="0"/>
              <w:spacing w:before="60" w:after="60"/>
              <w:jc w:val="center"/>
              <w:rPr>
                <w:b/>
                <w:bCs/>
                <w:color w:val="000000"/>
              </w:rPr>
            </w:pPr>
            <w:r w:rsidRPr="00AC2EA5">
              <w:rPr>
                <w:b/>
                <w:bCs/>
                <w:color w:val="000000"/>
              </w:rPr>
              <w:t>Fraction</w:t>
            </w:r>
            <w:r w:rsidRPr="00AC2EA5">
              <w:rPr>
                <w:b/>
                <w:bCs/>
                <w:color w:val="000000"/>
              </w:rPr>
              <w:br/>
              <w:t>Missing</w:t>
            </w:r>
            <w:r w:rsidRPr="00AC2EA5">
              <w:rPr>
                <w:b/>
                <w:bCs/>
                <w:color w:val="000000"/>
              </w:rPr>
              <w:br/>
              <w:t>Information</w:t>
            </w:r>
          </w:p>
        </w:tc>
        <w:tc>
          <w:tcPr>
            <w:tcW w:w="1170" w:type="dxa"/>
            <w:vMerge w:val="restart"/>
          </w:tcPr>
          <w:p w14:paraId="65720533" w14:textId="77777777" w:rsidR="0013524F" w:rsidRPr="00AC2EA5" w:rsidRDefault="0013524F" w:rsidP="00AC2EA5">
            <w:pPr>
              <w:keepNext/>
              <w:adjustRightInd w:val="0"/>
              <w:spacing w:before="60" w:after="60"/>
              <w:jc w:val="center"/>
              <w:rPr>
                <w:b/>
                <w:bCs/>
                <w:color w:val="000000"/>
              </w:rPr>
            </w:pPr>
            <w:r w:rsidRPr="00AC2EA5">
              <w:rPr>
                <w:b/>
                <w:bCs/>
                <w:color w:val="000000"/>
              </w:rPr>
              <w:t>Relative</w:t>
            </w:r>
            <w:r w:rsidRPr="00AC2EA5">
              <w:rPr>
                <w:b/>
                <w:bCs/>
                <w:color w:val="000000"/>
              </w:rPr>
              <w:br/>
              <w:t>Efficiency</w:t>
            </w:r>
          </w:p>
        </w:tc>
      </w:tr>
      <w:tr w:rsidR="00AC2EA5" w:rsidRPr="00AC2EA5" w14:paraId="0CF67C65" w14:textId="77777777" w:rsidTr="00AC2EA5">
        <w:tc>
          <w:tcPr>
            <w:tcW w:w="1525" w:type="dxa"/>
            <w:vMerge/>
          </w:tcPr>
          <w:p w14:paraId="1003C672" w14:textId="77777777" w:rsidR="0013524F" w:rsidRPr="00AC2EA5" w:rsidRDefault="0013524F" w:rsidP="001E0FE7">
            <w:pPr>
              <w:keepNext/>
              <w:adjustRightInd w:val="0"/>
              <w:rPr>
                <w:sz w:val="24"/>
                <w:szCs w:val="24"/>
              </w:rPr>
            </w:pPr>
          </w:p>
        </w:tc>
        <w:tc>
          <w:tcPr>
            <w:tcW w:w="1080" w:type="dxa"/>
          </w:tcPr>
          <w:p w14:paraId="7BE0C965" w14:textId="77777777" w:rsidR="0013524F" w:rsidRPr="00AC2EA5" w:rsidRDefault="0013524F" w:rsidP="00AC2EA5">
            <w:pPr>
              <w:keepNext/>
              <w:adjustRightInd w:val="0"/>
              <w:spacing w:before="60" w:after="60"/>
              <w:jc w:val="center"/>
              <w:rPr>
                <w:b/>
                <w:bCs/>
                <w:color w:val="000000"/>
              </w:rPr>
            </w:pPr>
            <w:r w:rsidRPr="00AC2EA5">
              <w:rPr>
                <w:b/>
                <w:bCs/>
                <w:color w:val="000000"/>
              </w:rPr>
              <w:t>Between</w:t>
            </w:r>
          </w:p>
        </w:tc>
        <w:tc>
          <w:tcPr>
            <w:tcW w:w="1080" w:type="dxa"/>
          </w:tcPr>
          <w:p w14:paraId="799B1A8E" w14:textId="77777777" w:rsidR="0013524F" w:rsidRPr="00AC2EA5" w:rsidRDefault="0013524F" w:rsidP="00AC2EA5">
            <w:pPr>
              <w:keepNext/>
              <w:adjustRightInd w:val="0"/>
              <w:spacing w:before="60" w:after="60"/>
              <w:jc w:val="center"/>
              <w:rPr>
                <w:b/>
                <w:bCs/>
                <w:color w:val="000000"/>
              </w:rPr>
            </w:pPr>
            <w:r w:rsidRPr="00AC2EA5">
              <w:rPr>
                <w:b/>
                <w:bCs/>
                <w:color w:val="000000"/>
              </w:rPr>
              <w:t>Within</w:t>
            </w:r>
          </w:p>
        </w:tc>
        <w:tc>
          <w:tcPr>
            <w:tcW w:w="1080" w:type="dxa"/>
          </w:tcPr>
          <w:p w14:paraId="4E56A4F5" w14:textId="77777777" w:rsidR="0013524F" w:rsidRPr="00AC2EA5" w:rsidRDefault="0013524F" w:rsidP="00AC2EA5">
            <w:pPr>
              <w:keepNext/>
              <w:adjustRightInd w:val="0"/>
              <w:spacing w:before="60" w:after="60"/>
              <w:jc w:val="center"/>
              <w:rPr>
                <w:b/>
                <w:bCs/>
                <w:color w:val="000000"/>
              </w:rPr>
            </w:pPr>
            <w:r w:rsidRPr="00AC2EA5">
              <w:rPr>
                <w:b/>
                <w:bCs/>
                <w:color w:val="000000"/>
              </w:rPr>
              <w:t>Total</w:t>
            </w:r>
          </w:p>
        </w:tc>
        <w:tc>
          <w:tcPr>
            <w:tcW w:w="900" w:type="dxa"/>
            <w:vMerge/>
          </w:tcPr>
          <w:p w14:paraId="6D033014" w14:textId="77777777" w:rsidR="0013524F" w:rsidRPr="00AC2EA5" w:rsidRDefault="0013524F" w:rsidP="00AC2EA5">
            <w:pPr>
              <w:keepNext/>
              <w:adjustRightInd w:val="0"/>
              <w:jc w:val="center"/>
              <w:rPr>
                <w:sz w:val="24"/>
                <w:szCs w:val="24"/>
              </w:rPr>
            </w:pPr>
          </w:p>
        </w:tc>
        <w:tc>
          <w:tcPr>
            <w:tcW w:w="1260" w:type="dxa"/>
            <w:vMerge/>
          </w:tcPr>
          <w:p w14:paraId="2E5870BE" w14:textId="77777777" w:rsidR="0013524F" w:rsidRPr="00AC2EA5" w:rsidRDefault="0013524F" w:rsidP="00AC2EA5">
            <w:pPr>
              <w:keepNext/>
              <w:adjustRightInd w:val="0"/>
              <w:jc w:val="center"/>
              <w:rPr>
                <w:sz w:val="24"/>
                <w:szCs w:val="24"/>
              </w:rPr>
            </w:pPr>
          </w:p>
        </w:tc>
        <w:tc>
          <w:tcPr>
            <w:tcW w:w="1350" w:type="dxa"/>
            <w:vMerge/>
          </w:tcPr>
          <w:p w14:paraId="11E9FE12" w14:textId="77777777" w:rsidR="0013524F" w:rsidRPr="00AC2EA5" w:rsidRDefault="0013524F" w:rsidP="00AC2EA5">
            <w:pPr>
              <w:keepNext/>
              <w:adjustRightInd w:val="0"/>
              <w:jc w:val="center"/>
              <w:rPr>
                <w:sz w:val="24"/>
                <w:szCs w:val="24"/>
              </w:rPr>
            </w:pPr>
          </w:p>
        </w:tc>
        <w:tc>
          <w:tcPr>
            <w:tcW w:w="1170" w:type="dxa"/>
            <w:vMerge/>
          </w:tcPr>
          <w:p w14:paraId="58C4B23C" w14:textId="77777777" w:rsidR="0013524F" w:rsidRPr="00AC2EA5" w:rsidRDefault="0013524F" w:rsidP="00AC2EA5">
            <w:pPr>
              <w:keepNext/>
              <w:adjustRightInd w:val="0"/>
              <w:jc w:val="center"/>
              <w:rPr>
                <w:sz w:val="24"/>
                <w:szCs w:val="24"/>
              </w:rPr>
            </w:pPr>
          </w:p>
        </w:tc>
      </w:tr>
      <w:tr w:rsidR="00AC2EA5" w14:paraId="289B7FFD" w14:textId="77777777" w:rsidTr="00AC2EA5">
        <w:tc>
          <w:tcPr>
            <w:tcW w:w="1525" w:type="dxa"/>
          </w:tcPr>
          <w:p w14:paraId="670EE4F0" w14:textId="77777777" w:rsidR="0013524F" w:rsidRPr="00AC2EA5" w:rsidRDefault="00AC2EA5" w:rsidP="001E0FE7">
            <w:pPr>
              <w:adjustRightInd w:val="0"/>
              <w:spacing w:before="60" w:after="60"/>
              <w:rPr>
                <w:b/>
                <w:bCs/>
                <w:color w:val="000000"/>
              </w:rPr>
            </w:pPr>
            <w:r>
              <w:rPr>
                <w:b/>
                <w:bCs/>
                <w:color w:val="000000"/>
              </w:rPr>
              <w:t xml:space="preserve">Postoperative </w:t>
            </w:r>
            <w:r w:rsidR="0013524F" w:rsidRPr="00AC2EA5">
              <w:rPr>
                <w:b/>
                <w:bCs/>
                <w:color w:val="000000"/>
              </w:rPr>
              <w:t>FEV1</w:t>
            </w:r>
          </w:p>
        </w:tc>
        <w:tc>
          <w:tcPr>
            <w:tcW w:w="1080" w:type="dxa"/>
          </w:tcPr>
          <w:p w14:paraId="4171B882" w14:textId="0CA28D29" w:rsidR="0013524F" w:rsidRPr="00AC2EA5" w:rsidRDefault="00B767AA" w:rsidP="00AC2EA5">
            <w:pPr>
              <w:keepNext/>
              <w:adjustRightInd w:val="0"/>
              <w:spacing w:before="60" w:after="60"/>
              <w:jc w:val="center"/>
              <w:rPr>
                <w:color w:val="000000"/>
              </w:rPr>
            </w:pPr>
            <w:r>
              <w:rPr>
                <w:color w:val="000000"/>
              </w:rPr>
              <w:t>1.101</w:t>
            </w:r>
          </w:p>
        </w:tc>
        <w:tc>
          <w:tcPr>
            <w:tcW w:w="1080" w:type="dxa"/>
          </w:tcPr>
          <w:p w14:paraId="42C02D97" w14:textId="5B9E81A8" w:rsidR="0013524F" w:rsidRPr="00AC2EA5" w:rsidRDefault="0013524F" w:rsidP="00B767AA">
            <w:pPr>
              <w:keepNext/>
              <w:adjustRightInd w:val="0"/>
              <w:spacing w:before="60" w:after="60"/>
              <w:jc w:val="center"/>
              <w:rPr>
                <w:color w:val="000000"/>
              </w:rPr>
            </w:pPr>
            <w:r w:rsidRPr="00AC2EA5">
              <w:rPr>
                <w:color w:val="000000"/>
              </w:rPr>
              <w:t>3.638</w:t>
            </w:r>
          </w:p>
        </w:tc>
        <w:tc>
          <w:tcPr>
            <w:tcW w:w="1080" w:type="dxa"/>
          </w:tcPr>
          <w:p w14:paraId="61A1D5F1" w14:textId="78838E79" w:rsidR="0013524F" w:rsidRPr="00AC2EA5" w:rsidRDefault="0013524F" w:rsidP="00B767AA">
            <w:pPr>
              <w:keepNext/>
              <w:adjustRightInd w:val="0"/>
              <w:spacing w:before="60" w:after="60"/>
              <w:jc w:val="center"/>
              <w:rPr>
                <w:color w:val="000000"/>
              </w:rPr>
            </w:pPr>
            <w:r w:rsidRPr="00AC2EA5">
              <w:rPr>
                <w:color w:val="000000"/>
              </w:rPr>
              <w:t>4.776</w:t>
            </w:r>
          </w:p>
        </w:tc>
        <w:tc>
          <w:tcPr>
            <w:tcW w:w="900" w:type="dxa"/>
          </w:tcPr>
          <w:p w14:paraId="18996175" w14:textId="77777777" w:rsidR="0013524F" w:rsidRPr="00AC2EA5" w:rsidRDefault="0013524F" w:rsidP="00AC2EA5">
            <w:pPr>
              <w:keepNext/>
              <w:adjustRightInd w:val="0"/>
              <w:spacing w:before="60" w:after="60"/>
              <w:jc w:val="center"/>
              <w:rPr>
                <w:color w:val="000000"/>
              </w:rPr>
            </w:pPr>
            <w:r w:rsidRPr="00AC2EA5">
              <w:rPr>
                <w:color w:val="000000"/>
              </w:rPr>
              <w:t>72.572</w:t>
            </w:r>
          </w:p>
        </w:tc>
        <w:tc>
          <w:tcPr>
            <w:tcW w:w="1260" w:type="dxa"/>
          </w:tcPr>
          <w:p w14:paraId="4F3C965A" w14:textId="2E5DAFAB" w:rsidR="0013524F" w:rsidRPr="00AC2EA5" w:rsidRDefault="0013524F" w:rsidP="00B767AA">
            <w:pPr>
              <w:keepNext/>
              <w:adjustRightInd w:val="0"/>
              <w:spacing w:before="60" w:after="60"/>
              <w:jc w:val="center"/>
              <w:rPr>
                <w:color w:val="000000"/>
              </w:rPr>
            </w:pPr>
            <w:r w:rsidRPr="00AC2EA5">
              <w:rPr>
                <w:color w:val="000000"/>
              </w:rPr>
              <w:t>0.3128</w:t>
            </w:r>
          </w:p>
        </w:tc>
        <w:tc>
          <w:tcPr>
            <w:tcW w:w="1350" w:type="dxa"/>
          </w:tcPr>
          <w:p w14:paraId="6260D428" w14:textId="2290C162" w:rsidR="0013524F" w:rsidRPr="00AC2EA5" w:rsidRDefault="0013524F" w:rsidP="00B767AA">
            <w:pPr>
              <w:keepNext/>
              <w:adjustRightInd w:val="0"/>
              <w:spacing w:before="60" w:after="60"/>
              <w:jc w:val="center"/>
              <w:rPr>
                <w:color w:val="000000"/>
              </w:rPr>
            </w:pPr>
            <w:r w:rsidRPr="00AC2EA5">
              <w:rPr>
                <w:color w:val="000000"/>
              </w:rPr>
              <w:t>0.2412</w:t>
            </w:r>
          </w:p>
        </w:tc>
        <w:tc>
          <w:tcPr>
            <w:tcW w:w="1170" w:type="dxa"/>
          </w:tcPr>
          <w:p w14:paraId="37B7FE17" w14:textId="099795BB" w:rsidR="0013524F" w:rsidRPr="00AC2EA5" w:rsidRDefault="0013524F" w:rsidP="00B767AA">
            <w:pPr>
              <w:keepNext/>
              <w:adjustRightInd w:val="0"/>
              <w:spacing w:before="60" w:after="60"/>
              <w:jc w:val="center"/>
              <w:rPr>
                <w:color w:val="000000"/>
              </w:rPr>
            </w:pPr>
            <w:r w:rsidRPr="00AC2EA5">
              <w:rPr>
                <w:color w:val="000000"/>
              </w:rPr>
              <w:t>0.9920</w:t>
            </w:r>
          </w:p>
        </w:tc>
      </w:tr>
      <w:tr w:rsidR="00AC2EA5" w14:paraId="257512C8" w14:textId="77777777" w:rsidTr="00AC2EA5">
        <w:tc>
          <w:tcPr>
            <w:tcW w:w="1525" w:type="dxa"/>
          </w:tcPr>
          <w:p w14:paraId="7089D942" w14:textId="77777777" w:rsidR="00AC2EA5" w:rsidRDefault="00AC2EA5" w:rsidP="00AC2EA5">
            <w:pPr>
              <w:adjustRightInd w:val="0"/>
              <w:spacing w:before="60" w:after="60"/>
              <w:rPr>
                <w:b/>
                <w:bCs/>
                <w:color w:val="000000"/>
              </w:rPr>
            </w:pPr>
            <w:r>
              <w:rPr>
                <w:b/>
                <w:bCs/>
                <w:color w:val="000000"/>
              </w:rPr>
              <w:t>Postoperative DLCO</w:t>
            </w:r>
          </w:p>
        </w:tc>
        <w:tc>
          <w:tcPr>
            <w:tcW w:w="1080" w:type="dxa"/>
          </w:tcPr>
          <w:p w14:paraId="7360BCB3" w14:textId="5E63F3AE" w:rsidR="00AC2EA5" w:rsidRDefault="00B767AA" w:rsidP="00AC2EA5">
            <w:pPr>
              <w:keepNext/>
              <w:adjustRightInd w:val="0"/>
              <w:spacing w:before="60" w:after="60"/>
              <w:jc w:val="center"/>
              <w:rPr>
                <w:color w:val="000000"/>
              </w:rPr>
            </w:pPr>
            <w:r>
              <w:rPr>
                <w:color w:val="000000"/>
              </w:rPr>
              <w:t>1.331</w:t>
            </w:r>
          </w:p>
        </w:tc>
        <w:tc>
          <w:tcPr>
            <w:tcW w:w="1080" w:type="dxa"/>
          </w:tcPr>
          <w:p w14:paraId="61340574" w14:textId="2A0F6302" w:rsidR="00AC2EA5" w:rsidRDefault="00AC2EA5" w:rsidP="00B767AA">
            <w:pPr>
              <w:keepNext/>
              <w:adjustRightInd w:val="0"/>
              <w:spacing w:before="60" w:after="60"/>
              <w:jc w:val="center"/>
              <w:rPr>
                <w:color w:val="000000"/>
              </w:rPr>
            </w:pPr>
            <w:r>
              <w:rPr>
                <w:color w:val="000000"/>
              </w:rPr>
              <w:t>4.08</w:t>
            </w:r>
            <w:r w:rsidR="00B767AA">
              <w:rPr>
                <w:color w:val="000000"/>
              </w:rPr>
              <w:t>3</w:t>
            </w:r>
          </w:p>
        </w:tc>
        <w:tc>
          <w:tcPr>
            <w:tcW w:w="1080" w:type="dxa"/>
          </w:tcPr>
          <w:p w14:paraId="23C218AC" w14:textId="1EE6C7A7" w:rsidR="00AC2EA5" w:rsidRDefault="00AC2EA5" w:rsidP="00B767AA">
            <w:pPr>
              <w:keepNext/>
              <w:adjustRightInd w:val="0"/>
              <w:spacing w:before="60" w:after="60"/>
              <w:jc w:val="center"/>
              <w:rPr>
                <w:color w:val="000000"/>
              </w:rPr>
            </w:pPr>
            <w:r>
              <w:rPr>
                <w:color w:val="000000"/>
              </w:rPr>
              <w:t>5.45</w:t>
            </w:r>
            <w:r w:rsidR="00B767AA">
              <w:rPr>
                <w:color w:val="000000"/>
              </w:rPr>
              <w:t>8</w:t>
            </w:r>
          </w:p>
        </w:tc>
        <w:tc>
          <w:tcPr>
            <w:tcW w:w="900" w:type="dxa"/>
          </w:tcPr>
          <w:p w14:paraId="683936AE" w14:textId="77777777" w:rsidR="00AC2EA5" w:rsidRDefault="00AC2EA5" w:rsidP="00AC2EA5">
            <w:pPr>
              <w:keepNext/>
              <w:adjustRightInd w:val="0"/>
              <w:spacing w:before="60" w:after="60"/>
              <w:jc w:val="center"/>
              <w:rPr>
                <w:color w:val="000000"/>
              </w:rPr>
            </w:pPr>
            <w:r>
              <w:rPr>
                <w:color w:val="000000"/>
              </w:rPr>
              <w:t>70.293</w:t>
            </w:r>
          </w:p>
        </w:tc>
        <w:tc>
          <w:tcPr>
            <w:tcW w:w="1260" w:type="dxa"/>
          </w:tcPr>
          <w:p w14:paraId="75F393E3" w14:textId="4CBB7AE4" w:rsidR="00AC2EA5" w:rsidRDefault="00AC2EA5" w:rsidP="00B767AA">
            <w:pPr>
              <w:keepNext/>
              <w:adjustRightInd w:val="0"/>
              <w:spacing w:before="60" w:after="60"/>
              <w:jc w:val="center"/>
              <w:rPr>
                <w:color w:val="000000"/>
              </w:rPr>
            </w:pPr>
            <w:r>
              <w:rPr>
                <w:color w:val="000000"/>
              </w:rPr>
              <w:t>0.3368</w:t>
            </w:r>
          </w:p>
        </w:tc>
        <w:tc>
          <w:tcPr>
            <w:tcW w:w="1350" w:type="dxa"/>
          </w:tcPr>
          <w:p w14:paraId="1C7D7423" w14:textId="0948E95E" w:rsidR="00AC2EA5" w:rsidRDefault="00AC2EA5" w:rsidP="00B767AA">
            <w:pPr>
              <w:keepNext/>
              <w:adjustRightInd w:val="0"/>
              <w:spacing w:before="60" w:after="60"/>
              <w:jc w:val="center"/>
              <w:rPr>
                <w:color w:val="000000"/>
              </w:rPr>
            </w:pPr>
            <w:r>
              <w:rPr>
                <w:color w:val="000000"/>
              </w:rPr>
              <w:t>0.2559</w:t>
            </w:r>
          </w:p>
        </w:tc>
        <w:tc>
          <w:tcPr>
            <w:tcW w:w="1170" w:type="dxa"/>
          </w:tcPr>
          <w:p w14:paraId="13DD222F" w14:textId="15B42372" w:rsidR="00AC2EA5" w:rsidRDefault="00AC2EA5" w:rsidP="00B767AA">
            <w:pPr>
              <w:keepNext/>
              <w:adjustRightInd w:val="0"/>
              <w:spacing w:before="60" w:after="60"/>
              <w:jc w:val="center"/>
              <w:rPr>
                <w:color w:val="000000"/>
              </w:rPr>
            </w:pPr>
            <w:r>
              <w:rPr>
                <w:color w:val="000000"/>
              </w:rPr>
              <w:t>0.991</w:t>
            </w:r>
            <w:r w:rsidR="00B767AA">
              <w:rPr>
                <w:color w:val="000000"/>
              </w:rPr>
              <w:t>6</w:t>
            </w:r>
          </w:p>
        </w:tc>
      </w:tr>
    </w:tbl>
    <w:p w14:paraId="175E54DB" w14:textId="77777777" w:rsidR="0013524F" w:rsidRPr="003041EF" w:rsidRDefault="0013524F" w:rsidP="0013524F">
      <w:pPr>
        <w:autoSpaceDE w:val="0"/>
        <w:adjustRightInd w:val="0"/>
        <w:spacing w:after="0" w:line="240" w:lineRule="auto"/>
        <w:rPr>
          <w:color w:val="000000"/>
          <w:sz w:val="24"/>
          <w:szCs w:val="24"/>
        </w:rPr>
      </w:pPr>
    </w:p>
    <w:p w14:paraId="18EA1301" w14:textId="77777777" w:rsidR="003E11C6" w:rsidRDefault="003E11C6" w:rsidP="000D1292">
      <w:pPr>
        <w:pStyle w:val="BodyText"/>
      </w:pPr>
    </w:p>
    <w:p w14:paraId="2D28418A" w14:textId="77777777" w:rsidR="00424AD8" w:rsidRDefault="00424AD8" w:rsidP="000D1292">
      <w:pPr>
        <w:pStyle w:val="BodyText"/>
        <w:sectPr w:rsidR="00424AD8">
          <w:pgSz w:w="12240" w:h="15840"/>
          <w:pgMar w:top="1440" w:right="1440" w:bottom="1440" w:left="1440" w:header="720" w:footer="720" w:gutter="0"/>
          <w:cols w:space="720"/>
          <w:docGrid w:linePitch="360"/>
        </w:sectPr>
      </w:pPr>
    </w:p>
    <w:p w14:paraId="66E7BEBD" w14:textId="7C671BE7" w:rsidR="003E11C6" w:rsidRPr="00424AD8" w:rsidRDefault="00424AD8" w:rsidP="000D1292">
      <w:pPr>
        <w:pStyle w:val="BodyText"/>
        <w:rPr>
          <w:b/>
        </w:rPr>
      </w:pPr>
      <w:r>
        <w:rPr>
          <w:b/>
        </w:rPr>
        <w:lastRenderedPageBreak/>
        <w:t>References</w:t>
      </w:r>
    </w:p>
    <w:p w14:paraId="23667029" w14:textId="77777777" w:rsidR="00793EB6" w:rsidRPr="00793EB6" w:rsidRDefault="003E11C6" w:rsidP="00793EB6">
      <w:pPr>
        <w:pStyle w:val="EndNoteBibliography"/>
        <w:spacing w:after="0"/>
        <w:ind w:left="720" w:hanging="720"/>
      </w:pPr>
      <w:r>
        <w:fldChar w:fldCharType="begin"/>
      </w:r>
      <w:r>
        <w:instrText xml:space="preserve"> ADDIN EN.REFLIST </w:instrText>
      </w:r>
      <w:r>
        <w:fldChar w:fldCharType="separate"/>
      </w:r>
      <w:r w:rsidR="00793EB6" w:rsidRPr="00793EB6">
        <w:t xml:space="preserve">1. Brunelli A, Kim AW, Berger KI, Addrizzo-Harris DJ. Physiologic evaluation of the patient with lung cancer being considered for resectional surgery: Diagnosis and management of lung cancer, 3rd ed: American College of Chest Physicians evidence-based clinical practice guidelines. </w:t>
      </w:r>
      <w:r w:rsidR="00793EB6" w:rsidRPr="00793EB6">
        <w:rPr>
          <w:i/>
        </w:rPr>
        <w:t xml:space="preserve">Chest </w:t>
      </w:r>
      <w:r w:rsidR="00793EB6" w:rsidRPr="00793EB6">
        <w:t>2013; 143: e166S-190S.</w:t>
      </w:r>
    </w:p>
    <w:p w14:paraId="412C609B" w14:textId="77777777" w:rsidR="00793EB6" w:rsidRPr="00793EB6" w:rsidRDefault="00793EB6" w:rsidP="00793EB6">
      <w:pPr>
        <w:pStyle w:val="EndNoteBibliography"/>
        <w:spacing w:after="0"/>
        <w:ind w:left="720" w:hanging="720"/>
      </w:pPr>
      <w:r w:rsidRPr="00793EB6">
        <w:t xml:space="preserve">2. Bolliger CT, Guckel C, Engel H, Stohr S, Wyser CP, Schoetzau A, Habicht J, Soler M, Tamm M, Perruchoud AP. Prediction of functional reserves after lung resection: comparison between quantitative computed tomography, scintigraphy, and anatomy. </w:t>
      </w:r>
      <w:r w:rsidRPr="00793EB6">
        <w:rPr>
          <w:i/>
        </w:rPr>
        <w:t xml:space="preserve">Respiration </w:t>
      </w:r>
      <w:r w:rsidRPr="00793EB6">
        <w:t>2002; 69: 482-489.</w:t>
      </w:r>
    </w:p>
    <w:p w14:paraId="4A6E264A" w14:textId="77777777" w:rsidR="00793EB6" w:rsidRPr="00793EB6" w:rsidRDefault="00793EB6" w:rsidP="00793EB6">
      <w:pPr>
        <w:pStyle w:val="EndNoteBibliography"/>
        <w:spacing w:after="0"/>
        <w:ind w:left="720" w:hanging="720"/>
      </w:pPr>
      <w:r w:rsidRPr="00793EB6">
        <w:t xml:space="preserve">3. Ohno Y, Seki S, Koyama H, Yoshikawa T, Matsumoto S, Takenaka D, Kassai Y, Yui M, Sugimura K. 3D ECG- and respiratory-gated non-contrast-enhanced (CE) perfusion MRI for postoperative lung function prediction in non-small-cell lung cancer patients: A comparison with thin-section quantitative computed tomography, dynamic CE-perfusion MRI, and perfusion scan. </w:t>
      </w:r>
      <w:r w:rsidRPr="00793EB6">
        <w:rPr>
          <w:i/>
        </w:rPr>
        <w:t xml:space="preserve">J Magn Reson Imaging </w:t>
      </w:r>
      <w:r w:rsidRPr="00793EB6">
        <w:t>2015; 42: 340-353.</w:t>
      </w:r>
    </w:p>
    <w:p w14:paraId="667A03FA" w14:textId="77777777" w:rsidR="00793EB6" w:rsidRPr="00793EB6" w:rsidRDefault="00793EB6" w:rsidP="00793EB6">
      <w:pPr>
        <w:pStyle w:val="EndNoteBibliography"/>
        <w:spacing w:after="0"/>
        <w:ind w:left="720" w:hanging="720"/>
      </w:pPr>
      <w:r w:rsidRPr="00793EB6">
        <w:t>4. SAS Institute Inc. The MI Procedure. SAS/STAT 141 User's Guide. Cary, NC: SAS Institute, Inc.; 2015. p. 5918-5919.</w:t>
      </w:r>
    </w:p>
    <w:p w14:paraId="40BCF19A" w14:textId="77777777" w:rsidR="00793EB6" w:rsidRPr="00793EB6" w:rsidRDefault="00793EB6" w:rsidP="00793EB6">
      <w:pPr>
        <w:pStyle w:val="EndNoteBibliography"/>
        <w:spacing w:after="0"/>
        <w:ind w:left="720" w:hanging="720"/>
      </w:pPr>
      <w:r w:rsidRPr="00793EB6">
        <w:t xml:space="preserve">5. Graham JW, Olchowski AE, Gilreath TD. How Many Imputations Are Really Needed? </w:t>
      </w:r>
      <w:r w:rsidRPr="00793EB6">
        <w:rPr>
          <w:i/>
        </w:rPr>
        <w:t xml:space="preserve">Prevention Science </w:t>
      </w:r>
      <w:r w:rsidRPr="00793EB6">
        <w:t>2007; 8: 206-213.</w:t>
      </w:r>
    </w:p>
    <w:p w14:paraId="4761AFC9" w14:textId="43D57707" w:rsidR="00793EB6" w:rsidRPr="00793EB6" w:rsidRDefault="00793EB6" w:rsidP="00793EB6">
      <w:pPr>
        <w:pStyle w:val="EndNoteBibliography"/>
        <w:spacing w:after="0"/>
        <w:ind w:left="720" w:hanging="720"/>
      </w:pPr>
      <w:r w:rsidRPr="00793EB6">
        <w:t xml:space="preserve">6. Yuan YC. Multiple Imputation for Missing Data: Concept and New Development. [cited 2017 3/8/2017]. Available from: </w:t>
      </w:r>
      <w:hyperlink r:id="rId10" w:history="1">
        <w:r w:rsidRPr="00793EB6">
          <w:rPr>
            <w:rStyle w:val="Hyperlink"/>
          </w:rPr>
          <w:t>http://www.ats.ucla.edu/stat/sas/library/multipleimputation.pdf</w:t>
        </w:r>
      </w:hyperlink>
      <w:r w:rsidRPr="00793EB6">
        <w:t>.</w:t>
      </w:r>
    </w:p>
    <w:p w14:paraId="16CCB998" w14:textId="77777777" w:rsidR="00793EB6" w:rsidRPr="00793EB6" w:rsidRDefault="00793EB6" w:rsidP="00793EB6">
      <w:pPr>
        <w:pStyle w:val="EndNoteBibliography"/>
        <w:ind w:left="720" w:hanging="720"/>
      </w:pPr>
      <w:r w:rsidRPr="00793EB6">
        <w:t xml:space="preserve">7. Bland JM, Altman DG. Measuring agreement in method comparison studies. </w:t>
      </w:r>
      <w:r w:rsidRPr="00793EB6">
        <w:rPr>
          <w:i/>
        </w:rPr>
        <w:t xml:space="preserve">Stat Methods Med Res </w:t>
      </w:r>
      <w:r w:rsidRPr="00793EB6">
        <w:t>1999; 8: 135-160.</w:t>
      </w:r>
    </w:p>
    <w:p w14:paraId="117A0EAC" w14:textId="09A1948E" w:rsidR="007D36FE" w:rsidRDefault="003E11C6" w:rsidP="000D1292">
      <w:pPr>
        <w:pStyle w:val="BodyText"/>
      </w:pPr>
      <w:r>
        <w:fldChar w:fldCharType="end"/>
      </w:r>
    </w:p>
    <w:p w14:paraId="3D41D345" w14:textId="77777777" w:rsidR="00424AD8" w:rsidRDefault="00424AD8" w:rsidP="000D1292">
      <w:pPr>
        <w:pStyle w:val="BodyText"/>
      </w:pPr>
    </w:p>
    <w:p w14:paraId="2152CE3E" w14:textId="77777777" w:rsidR="00424AD8" w:rsidRDefault="00424AD8" w:rsidP="000D1292">
      <w:pPr>
        <w:pStyle w:val="BodyText"/>
      </w:pPr>
    </w:p>
    <w:p w14:paraId="603C48F9" w14:textId="77777777" w:rsidR="00424AD8" w:rsidRDefault="00424AD8" w:rsidP="000D1292">
      <w:pPr>
        <w:pStyle w:val="BodyText"/>
        <w:sectPr w:rsidR="00424AD8">
          <w:pgSz w:w="12240" w:h="15840"/>
          <w:pgMar w:top="1440" w:right="1440" w:bottom="1440" w:left="1440" w:header="720" w:footer="720" w:gutter="0"/>
          <w:cols w:space="720"/>
          <w:docGrid w:linePitch="360"/>
        </w:sectPr>
      </w:pPr>
    </w:p>
    <w:p w14:paraId="7D076AF7" w14:textId="418C6320" w:rsidR="00424AD8" w:rsidRDefault="00424AD8" w:rsidP="00424AD8">
      <w:pPr>
        <w:spacing w:after="0" w:line="240" w:lineRule="auto"/>
      </w:pPr>
      <w:r>
        <w:lastRenderedPageBreak/>
        <w:t xml:space="preserve">e-Figure </w:t>
      </w:r>
      <w:r w:rsidR="00B1255D">
        <w:t>1</w:t>
      </w:r>
      <w:r>
        <w:t>. S</w:t>
      </w:r>
      <w:r w:rsidR="00B1255D">
        <w:t>catter plot of actual FEV1 vs. p</w:t>
      </w:r>
      <w:r>
        <w:t xml:space="preserve">redicted FEV1 </w:t>
      </w:r>
      <w:r w:rsidR="00B1255D">
        <w:t xml:space="preserve">using </w:t>
      </w:r>
      <w:r>
        <w:t>SC19</w:t>
      </w:r>
      <w:r w:rsidR="00B1255D">
        <w:t xml:space="preserve"> method</w:t>
      </w:r>
    </w:p>
    <w:p w14:paraId="209F7CCB" w14:textId="77777777" w:rsidR="00424AD8" w:rsidRDefault="00424AD8" w:rsidP="00424AD8">
      <w:pPr>
        <w:spacing w:after="0" w:line="240" w:lineRule="auto"/>
      </w:pPr>
    </w:p>
    <w:p w14:paraId="2183435A" w14:textId="61C4AB27" w:rsidR="00424AD8" w:rsidRDefault="0018545C" w:rsidP="00424AD8">
      <w:pPr>
        <w:spacing w:after="0" w:line="240" w:lineRule="auto"/>
      </w:pPr>
      <w:r>
        <w:rPr>
          <w:noProof/>
        </w:rPr>
        <w:drawing>
          <wp:inline distT="0" distB="0" distL="0" distR="0" wp14:anchorId="06A77F8A" wp14:editId="08D490B0">
            <wp:extent cx="2753771" cy="2749652"/>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figure1a.tif"/>
                    <pic:cNvPicPr/>
                  </pic:nvPicPr>
                  <pic:blipFill>
                    <a:blip r:embed="rId11">
                      <a:extLst>
                        <a:ext uri="{28A0092B-C50C-407E-A947-70E740481C1C}">
                          <a14:useLocalDpi xmlns:a14="http://schemas.microsoft.com/office/drawing/2010/main" val="0"/>
                        </a:ext>
                      </a:extLst>
                    </a:blip>
                    <a:stretch>
                      <a:fillRect/>
                    </a:stretch>
                  </pic:blipFill>
                  <pic:spPr>
                    <a:xfrm>
                      <a:off x="0" y="0"/>
                      <a:ext cx="2787174" cy="2783005"/>
                    </a:xfrm>
                    <a:prstGeom prst="rect">
                      <a:avLst/>
                    </a:prstGeom>
                  </pic:spPr>
                </pic:pic>
              </a:graphicData>
            </a:graphic>
          </wp:inline>
        </w:drawing>
      </w:r>
      <w:r w:rsidR="00424AD8" w:rsidRPr="00207CE6">
        <w:rPr>
          <w:noProof/>
        </w:rPr>
        <w:t xml:space="preserve"> </w:t>
      </w:r>
      <w:r>
        <w:rPr>
          <w:noProof/>
        </w:rPr>
        <w:drawing>
          <wp:inline distT="0" distB="0" distL="0" distR="0" wp14:anchorId="50E6F3B3" wp14:editId="15B10B87">
            <wp:extent cx="2711322" cy="270726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figure1b.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29710" cy="2725627"/>
                    </a:xfrm>
                    <a:prstGeom prst="rect">
                      <a:avLst/>
                    </a:prstGeom>
                  </pic:spPr>
                </pic:pic>
              </a:graphicData>
            </a:graphic>
          </wp:inline>
        </w:drawing>
      </w:r>
    </w:p>
    <w:p w14:paraId="43BB91BC" w14:textId="77777777" w:rsidR="00424AD8" w:rsidRDefault="00424AD8" w:rsidP="00424AD8">
      <w:pPr>
        <w:spacing w:after="0" w:line="240" w:lineRule="auto"/>
      </w:pPr>
    </w:p>
    <w:p w14:paraId="69797D01" w14:textId="7239CADF" w:rsidR="00424AD8" w:rsidRDefault="00467D85" w:rsidP="00424AD8">
      <w:pPr>
        <w:rPr>
          <w:noProof/>
        </w:rPr>
      </w:pPr>
      <w:r>
        <w:rPr>
          <w:noProof/>
        </w:rPr>
        <w:drawing>
          <wp:inline distT="0" distB="0" distL="0" distR="0" wp14:anchorId="3C3C4571" wp14:editId="67F9D208">
            <wp:extent cx="2753360" cy="2749241"/>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figure1c.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76499" cy="2772346"/>
                    </a:xfrm>
                    <a:prstGeom prst="rect">
                      <a:avLst/>
                    </a:prstGeom>
                  </pic:spPr>
                </pic:pic>
              </a:graphicData>
            </a:graphic>
          </wp:inline>
        </w:drawing>
      </w:r>
      <w:r w:rsidR="00502E7A">
        <w:rPr>
          <w:noProof/>
        </w:rPr>
        <w:drawing>
          <wp:inline distT="0" distB="0" distL="0" distR="0" wp14:anchorId="2E28B7C9" wp14:editId="3615C9FF">
            <wp:extent cx="2732629" cy="2728541"/>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efigure1d.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32629" cy="2728541"/>
                    </a:xfrm>
                    <a:prstGeom prst="rect">
                      <a:avLst/>
                    </a:prstGeom>
                  </pic:spPr>
                </pic:pic>
              </a:graphicData>
            </a:graphic>
          </wp:inline>
        </w:drawing>
      </w:r>
      <w:r w:rsidR="00424AD8" w:rsidRPr="00AC7AA9">
        <w:rPr>
          <w:noProof/>
        </w:rPr>
        <w:t xml:space="preserve"> </w:t>
      </w:r>
    </w:p>
    <w:p w14:paraId="675DBC62" w14:textId="77777777" w:rsidR="00502E7A" w:rsidRDefault="00502E7A" w:rsidP="00424AD8">
      <w:pPr>
        <w:rPr>
          <w:noProof/>
        </w:rPr>
      </w:pPr>
    </w:p>
    <w:p w14:paraId="1210EA80" w14:textId="77777777" w:rsidR="00502E7A" w:rsidRDefault="00502E7A" w:rsidP="00424AD8">
      <w:pPr>
        <w:rPr>
          <w:u w:val="single"/>
        </w:rPr>
      </w:pPr>
    </w:p>
    <w:p w14:paraId="00A0FC48" w14:textId="3D348037" w:rsidR="00B1255D" w:rsidRDefault="00B1255D" w:rsidP="00B93A59">
      <w:pPr>
        <w:pStyle w:val="ListParagraph"/>
        <w:numPr>
          <w:ilvl w:val="0"/>
          <w:numId w:val="5"/>
        </w:numPr>
        <w:spacing w:after="0" w:line="240" w:lineRule="auto"/>
        <w:rPr>
          <w:noProof/>
        </w:rPr>
      </w:pPr>
      <w:r>
        <w:rPr>
          <w:noProof/>
        </w:rPr>
        <w:t>Top left: Scatter plot of actual FEV1 vs. predicted FEV1 using SC19 method.</w:t>
      </w:r>
    </w:p>
    <w:p w14:paraId="3AFAFCE5" w14:textId="4A5C3F4A" w:rsidR="00B1255D" w:rsidRDefault="00B1255D" w:rsidP="00B93A59">
      <w:pPr>
        <w:pStyle w:val="ListParagraph"/>
        <w:numPr>
          <w:ilvl w:val="0"/>
          <w:numId w:val="5"/>
        </w:numPr>
        <w:spacing w:after="0" w:line="240" w:lineRule="auto"/>
      </w:pPr>
      <w:r>
        <w:rPr>
          <w:noProof/>
        </w:rPr>
        <w:t xml:space="preserve">Top right: Random samples of 1000 pairs were generated from underlying bivariate normal distribution </w:t>
      </w:r>
    </w:p>
    <w:p w14:paraId="49C4B382" w14:textId="21F93043" w:rsidR="00B1255D" w:rsidRDefault="00B1255D" w:rsidP="00B93A59">
      <w:pPr>
        <w:pStyle w:val="ListParagraph"/>
        <w:numPr>
          <w:ilvl w:val="0"/>
          <w:numId w:val="5"/>
        </w:numPr>
        <w:spacing w:after="0" w:line="240" w:lineRule="auto"/>
      </w:pPr>
      <w:r>
        <w:t>Bottom left: Contour plot of underlying bivariate normal distribution (actual FEV1 vs. predicted FEV1 SC19 method) for actual threshold of 30%</w:t>
      </w:r>
    </w:p>
    <w:p w14:paraId="1A277120" w14:textId="1583E813" w:rsidR="00B1255D" w:rsidRDefault="00B1255D" w:rsidP="00B93A59">
      <w:pPr>
        <w:pStyle w:val="ListParagraph"/>
        <w:numPr>
          <w:ilvl w:val="0"/>
          <w:numId w:val="5"/>
        </w:numPr>
        <w:spacing w:after="0" w:line="240" w:lineRule="auto"/>
      </w:pPr>
      <w:r>
        <w:t>Bottom right: Contour plot of underlying bivariate normal distribution (actual FEV1 vs. predicted FEV1 SC19 method) for actual threshold of 40%</w:t>
      </w:r>
    </w:p>
    <w:p w14:paraId="214FE113" w14:textId="77777777" w:rsidR="00424AD8" w:rsidRDefault="00424AD8" w:rsidP="00424AD8">
      <w:pPr>
        <w:rPr>
          <w:u w:val="single"/>
        </w:rPr>
        <w:sectPr w:rsidR="00424AD8">
          <w:pgSz w:w="12240" w:h="15840"/>
          <w:pgMar w:top="1440" w:right="1440" w:bottom="1440" w:left="1440" w:header="720" w:footer="720" w:gutter="0"/>
          <w:cols w:space="720"/>
          <w:docGrid w:linePitch="360"/>
        </w:sectPr>
      </w:pPr>
    </w:p>
    <w:p w14:paraId="5CD888BD" w14:textId="349CA9F8" w:rsidR="00424AD8" w:rsidRDefault="007167B7" w:rsidP="00424AD8">
      <w:pPr>
        <w:spacing w:after="0" w:line="240" w:lineRule="auto"/>
      </w:pPr>
      <w:r>
        <w:lastRenderedPageBreak/>
        <w:t>e-</w:t>
      </w:r>
      <w:r w:rsidR="00424AD8">
        <w:t xml:space="preserve">Figure </w:t>
      </w:r>
      <w:r w:rsidR="00B1255D">
        <w:t>2. Scatter plot of a</w:t>
      </w:r>
      <w:r w:rsidR="00424AD8">
        <w:t xml:space="preserve">ctual DLCO vs. </w:t>
      </w:r>
      <w:r w:rsidR="00B1255D">
        <w:t>p</w:t>
      </w:r>
      <w:r w:rsidR="00424AD8">
        <w:t xml:space="preserve">redicted DLCO </w:t>
      </w:r>
      <w:r w:rsidR="00B1255D">
        <w:t>using q</w:t>
      </w:r>
      <w:r w:rsidR="00424AD8">
        <w:t>uant</w:t>
      </w:r>
      <w:r w:rsidR="00B1255D">
        <w:t>itative perfusion scans</w:t>
      </w:r>
    </w:p>
    <w:p w14:paraId="7A029BC4" w14:textId="77777777" w:rsidR="00424AD8" w:rsidRDefault="00424AD8" w:rsidP="00424AD8">
      <w:pPr>
        <w:spacing w:after="0" w:line="240" w:lineRule="auto"/>
      </w:pPr>
    </w:p>
    <w:p w14:paraId="511E97A0" w14:textId="2E34F7DB" w:rsidR="00424AD8" w:rsidRDefault="00B86EE9" w:rsidP="00424AD8">
      <w:pPr>
        <w:spacing w:after="0" w:line="240" w:lineRule="auto"/>
        <w:rPr>
          <w:noProof/>
        </w:rPr>
      </w:pPr>
      <w:r>
        <w:rPr>
          <w:noProof/>
        </w:rPr>
        <w:drawing>
          <wp:inline distT="0" distB="0" distL="0" distR="0" wp14:anchorId="337315C5" wp14:editId="414945E8">
            <wp:extent cx="2752602" cy="274848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figure2a.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70409" cy="2766266"/>
                    </a:xfrm>
                    <a:prstGeom prst="rect">
                      <a:avLst/>
                    </a:prstGeom>
                  </pic:spPr>
                </pic:pic>
              </a:graphicData>
            </a:graphic>
          </wp:inline>
        </w:drawing>
      </w:r>
      <w:r w:rsidR="00424AD8" w:rsidRPr="00207CE6">
        <w:rPr>
          <w:noProof/>
        </w:rPr>
        <w:t xml:space="preserve"> </w:t>
      </w:r>
      <w:r w:rsidR="00543446">
        <w:rPr>
          <w:noProof/>
        </w:rPr>
        <w:drawing>
          <wp:inline distT="0" distB="0" distL="0" distR="0" wp14:anchorId="41155278" wp14:editId="3D80E7A9">
            <wp:extent cx="2743041" cy="2738938"/>
            <wp:effectExtent l="0" t="0" r="635"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efigure2b.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55661" cy="2751539"/>
                    </a:xfrm>
                    <a:prstGeom prst="rect">
                      <a:avLst/>
                    </a:prstGeom>
                  </pic:spPr>
                </pic:pic>
              </a:graphicData>
            </a:graphic>
          </wp:inline>
        </w:drawing>
      </w:r>
    </w:p>
    <w:p w14:paraId="1DABC4D8" w14:textId="77777777" w:rsidR="00424AD8" w:rsidRDefault="00424AD8" w:rsidP="00424AD8">
      <w:pPr>
        <w:spacing w:after="0" w:line="240" w:lineRule="auto"/>
        <w:rPr>
          <w:noProof/>
        </w:rPr>
      </w:pPr>
    </w:p>
    <w:p w14:paraId="61AB65A3" w14:textId="082C218F" w:rsidR="00424AD8" w:rsidRDefault="0095599E" w:rsidP="00424AD8">
      <w:pPr>
        <w:spacing w:after="0" w:line="240" w:lineRule="auto"/>
        <w:rPr>
          <w:noProof/>
        </w:rPr>
      </w:pPr>
      <w:r>
        <w:rPr>
          <w:noProof/>
        </w:rPr>
        <w:drawing>
          <wp:inline distT="0" distB="0" distL="0" distR="0" wp14:anchorId="7A59F4A7" wp14:editId="1431DF91">
            <wp:extent cx="2722058" cy="2717987"/>
            <wp:effectExtent l="0" t="0" r="254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figure2c.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38077" cy="2733982"/>
                    </a:xfrm>
                    <a:prstGeom prst="rect">
                      <a:avLst/>
                    </a:prstGeom>
                  </pic:spPr>
                </pic:pic>
              </a:graphicData>
            </a:graphic>
          </wp:inline>
        </w:drawing>
      </w:r>
      <w:r w:rsidR="00424AD8" w:rsidRPr="0051303F">
        <w:rPr>
          <w:noProof/>
        </w:rPr>
        <w:t xml:space="preserve"> </w:t>
      </w:r>
      <w:r>
        <w:rPr>
          <w:noProof/>
        </w:rPr>
        <w:drawing>
          <wp:inline distT="0" distB="0" distL="0" distR="0" wp14:anchorId="201016B6" wp14:editId="594698A6">
            <wp:extent cx="2720842" cy="2716772"/>
            <wp:effectExtent l="0" t="0" r="3810" b="762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efigure2d.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34825" cy="2730734"/>
                    </a:xfrm>
                    <a:prstGeom prst="rect">
                      <a:avLst/>
                    </a:prstGeom>
                  </pic:spPr>
                </pic:pic>
              </a:graphicData>
            </a:graphic>
          </wp:inline>
        </w:drawing>
      </w:r>
    </w:p>
    <w:p w14:paraId="573B027F" w14:textId="6CFDFA07" w:rsidR="00B1255D" w:rsidRDefault="00B1255D" w:rsidP="00B1255D">
      <w:pPr>
        <w:spacing w:after="0" w:line="240" w:lineRule="auto"/>
        <w:rPr>
          <w:noProof/>
        </w:rPr>
      </w:pPr>
      <w:r>
        <w:rPr>
          <w:noProof/>
        </w:rPr>
        <w:t>Top left: Scatter plot of actual DLCO vs. predicted DLCO using Q method.</w:t>
      </w:r>
    </w:p>
    <w:p w14:paraId="0DDBACB0" w14:textId="77777777" w:rsidR="00B1255D" w:rsidRDefault="00B1255D" w:rsidP="00B1255D">
      <w:pPr>
        <w:spacing w:after="0" w:line="240" w:lineRule="auto"/>
      </w:pPr>
      <w:r>
        <w:rPr>
          <w:noProof/>
        </w:rPr>
        <w:t xml:space="preserve">Top right: Random samples of 1000 pairs were generated from underlying bivariate normal distribution </w:t>
      </w:r>
    </w:p>
    <w:p w14:paraId="3F7C9AA7" w14:textId="0A4F9A87" w:rsidR="00B1255D" w:rsidRDefault="00B1255D" w:rsidP="00B1255D">
      <w:pPr>
        <w:spacing w:after="0" w:line="240" w:lineRule="auto"/>
      </w:pPr>
      <w:r>
        <w:t>Bottom left: Contour plot of underlying bivariate normal distribution (actual DLCO vs. predicted DLCO Q method) for actual threshold of 30%</w:t>
      </w:r>
    </w:p>
    <w:p w14:paraId="74BD6C0C" w14:textId="1F0FC3CC" w:rsidR="00424AD8" w:rsidRDefault="00B1255D" w:rsidP="00B1255D">
      <w:pPr>
        <w:rPr>
          <w:u w:val="single"/>
        </w:rPr>
      </w:pPr>
      <w:r>
        <w:t>Bottom right: Contour plot of underlying bivariate normal distribution (actual DLCO vs. predicted DLCO Q method) for actual threshold of 40%</w:t>
      </w:r>
    </w:p>
    <w:p w14:paraId="36A0978C" w14:textId="77777777" w:rsidR="00424AD8" w:rsidRDefault="00424AD8" w:rsidP="00424AD8">
      <w:pPr>
        <w:rPr>
          <w:u w:val="single"/>
        </w:rPr>
      </w:pPr>
    </w:p>
    <w:p w14:paraId="49E2B265" w14:textId="77777777" w:rsidR="00424AD8" w:rsidRDefault="00424AD8" w:rsidP="00424AD8">
      <w:pPr>
        <w:rPr>
          <w:u w:val="single"/>
        </w:rPr>
      </w:pPr>
    </w:p>
    <w:p w14:paraId="0C22C966" w14:textId="77777777" w:rsidR="00424AD8" w:rsidRDefault="00424AD8" w:rsidP="00424AD8">
      <w:pPr>
        <w:rPr>
          <w:u w:val="single"/>
        </w:rPr>
        <w:sectPr w:rsidR="00424AD8">
          <w:pgSz w:w="12240" w:h="15840"/>
          <w:pgMar w:top="1440" w:right="1440" w:bottom="1440" w:left="1440" w:header="720" w:footer="720" w:gutter="0"/>
          <w:cols w:space="720"/>
          <w:docGrid w:linePitch="360"/>
        </w:sectPr>
      </w:pPr>
    </w:p>
    <w:p w14:paraId="23D8246C" w14:textId="57307A9D" w:rsidR="00424AD8" w:rsidRDefault="00424AD8" w:rsidP="00424AD8">
      <w:pPr>
        <w:spacing w:after="0" w:line="240" w:lineRule="auto"/>
      </w:pPr>
      <w:r>
        <w:lastRenderedPageBreak/>
        <w:t xml:space="preserve">e-Figure </w:t>
      </w:r>
      <w:r w:rsidR="00B1255D">
        <w:t>3</w:t>
      </w:r>
      <w:r>
        <w:t xml:space="preserve">. Scatter plot of </w:t>
      </w:r>
      <w:r w:rsidR="00B1255D">
        <w:t>a</w:t>
      </w:r>
      <w:r>
        <w:t xml:space="preserve">ctual DLCO vs. </w:t>
      </w:r>
      <w:r w:rsidR="00B1255D">
        <w:t>p</w:t>
      </w:r>
      <w:r>
        <w:t xml:space="preserve">redicted DLCO </w:t>
      </w:r>
      <w:r w:rsidR="00B1255D">
        <w:t xml:space="preserve">using </w:t>
      </w:r>
      <w:r>
        <w:t>SC19</w:t>
      </w:r>
      <w:r w:rsidR="00B1255D">
        <w:t xml:space="preserve"> method</w:t>
      </w:r>
    </w:p>
    <w:p w14:paraId="35F9FFED" w14:textId="77777777" w:rsidR="00424AD8" w:rsidRDefault="00424AD8" w:rsidP="00424AD8">
      <w:pPr>
        <w:spacing w:after="0" w:line="240" w:lineRule="auto"/>
      </w:pPr>
    </w:p>
    <w:p w14:paraId="52DC05E2" w14:textId="38F327D7" w:rsidR="00424AD8" w:rsidRDefault="00736EFB" w:rsidP="00424AD8">
      <w:pPr>
        <w:spacing w:after="0" w:line="240" w:lineRule="auto"/>
      </w:pPr>
      <w:r>
        <w:rPr>
          <w:noProof/>
        </w:rPr>
        <w:drawing>
          <wp:inline distT="0" distB="0" distL="0" distR="0" wp14:anchorId="1C807277" wp14:editId="03BA071D">
            <wp:extent cx="2736722" cy="2732629"/>
            <wp:effectExtent l="0" t="0" r="698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efigure3a.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56323" cy="2752200"/>
                    </a:xfrm>
                    <a:prstGeom prst="rect">
                      <a:avLst/>
                    </a:prstGeom>
                  </pic:spPr>
                </pic:pic>
              </a:graphicData>
            </a:graphic>
          </wp:inline>
        </w:drawing>
      </w:r>
      <w:r w:rsidR="00424AD8" w:rsidRPr="00207CE6">
        <w:rPr>
          <w:noProof/>
        </w:rPr>
        <w:t xml:space="preserve"> </w:t>
      </w:r>
      <w:r>
        <w:rPr>
          <w:noProof/>
        </w:rPr>
        <w:drawing>
          <wp:inline distT="0" distB="0" distL="0" distR="0" wp14:anchorId="634C3CF1" wp14:editId="6CE03196">
            <wp:extent cx="2700916" cy="2696877"/>
            <wp:effectExtent l="0" t="0" r="4445"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efigure3b.t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18489" cy="2714423"/>
                    </a:xfrm>
                    <a:prstGeom prst="rect">
                      <a:avLst/>
                    </a:prstGeom>
                  </pic:spPr>
                </pic:pic>
              </a:graphicData>
            </a:graphic>
          </wp:inline>
        </w:drawing>
      </w:r>
    </w:p>
    <w:p w14:paraId="5DDA8053" w14:textId="77777777" w:rsidR="00424AD8" w:rsidRDefault="00424AD8" w:rsidP="00424AD8">
      <w:pPr>
        <w:spacing w:after="0" w:line="240" w:lineRule="auto"/>
      </w:pPr>
    </w:p>
    <w:p w14:paraId="2279C619" w14:textId="77777777" w:rsidR="00424AD8" w:rsidRDefault="00424AD8" w:rsidP="00424AD8">
      <w:pPr>
        <w:spacing w:after="0" w:line="240" w:lineRule="auto"/>
      </w:pPr>
    </w:p>
    <w:p w14:paraId="34B16DAC" w14:textId="0513A991" w:rsidR="00424AD8" w:rsidRDefault="0059542A" w:rsidP="00424AD8">
      <w:pPr>
        <w:spacing w:after="0" w:line="240" w:lineRule="auto"/>
      </w:pPr>
      <w:r>
        <w:rPr>
          <w:noProof/>
        </w:rPr>
        <w:drawing>
          <wp:inline distT="0" distB="0" distL="0" distR="0" wp14:anchorId="0920E7BC" wp14:editId="24D437DE">
            <wp:extent cx="2757896" cy="2753771"/>
            <wp:effectExtent l="0" t="0" r="4445" b="889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efigure3c.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71029" cy="2766884"/>
                    </a:xfrm>
                    <a:prstGeom prst="rect">
                      <a:avLst/>
                    </a:prstGeom>
                  </pic:spPr>
                </pic:pic>
              </a:graphicData>
            </a:graphic>
          </wp:inline>
        </w:drawing>
      </w:r>
      <w:r w:rsidR="00424AD8" w:rsidRPr="00E3750D">
        <w:rPr>
          <w:noProof/>
        </w:rPr>
        <w:t xml:space="preserve"> </w:t>
      </w:r>
      <w:r w:rsidR="007D2D0E">
        <w:rPr>
          <w:noProof/>
        </w:rPr>
        <w:drawing>
          <wp:inline distT="0" distB="0" distL="0" distR="0" wp14:anchorId="5E5CC643" wp14:editId="02E76AC3">
            <wp:extent cx="2732629" cy="2728541"/>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efigure3d.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48510" cy="2744398"/>
                    </a:xfrm>
                    <a:prstGeom prst="rect">
                      <a:avLst/>
                    </a:prstGeom>
                  </pic:spPr>
                </pic:pic>
              </a:graphicData>
            </a:graphic>
          </wp:inline>
        </w:drawing>
      </w:r>
    </w:p>
    <w:p w14:paraId="18E2B30C" w14:textId="4BFB8B7B" w:rsidR="00424AD8" w:rsidRDefault="00424AD8" w:rsidP="00424AD8">
      <w:pPr>
        <w:rPr>
          <w:u w:val="single"/>
        </w:rPr>
      </w:pPr>
    </w:p>
    <w:p w14:paraId="47D10217" w14:textId="2F1CCCB6" w:rsidR="00B1255D" w:rsidRDefault="00B1255D" w:rsidP="00B1255D">
      <w:pPr>
        <w:spacing w:after="0" w:line="240" w:lineRule="auto"/>
        <w:rPr>
          <w:noProof/>
        </w:rPr>
      </w:pPr>
      <w:r>
        <w:rPr>
          <w:noProof/>
        </w:rPr>
        <w:t>Top left: Scatter plot of actual DLCO vs. predicted DLCO using SC19 method.</w:t>
      </w:r>
    </w:p>
    <w:p w14:paraId="3849F497" w14:textId="77777777" w:rsidR="00B1255D" w:rsidRDefault="00B1255D" w:rsidP="00B1255D">
      <w:pPr>
        <w:spacing w:after="0" w:line="240" w:lineRule="auto"/>
      </w:pPr>
      <w:r>
        <w:rPr>
          <w:noProof/>
        </w:rPr>
        <w:t xml:space="preserve">Top right: Random samples of 1000 pairs were generated from underlying bivariate normal distribution </w:t>
      </w:r>
    </w:p>
    <w:p w14:paraId="083909DE" w14:textId="5CB76FCD" w:rsidR="00B1255D" w:rsidRDefault="00B1255D" w:rsidP="00B1255D">
      <w:pPr>
        <w:spacing w:after="0" w:line="240" w:lineRule="auto"/>
      </w:pPr>
      <w:r>
        <w:t>Bottom left: Contour plot of underlying bivariate normal distribution (actual DLCO vs. predicted DLCO SC19 method) for actual threshold of 30%</w:t>
      </w:r>
    </w:p>
    <w:p w14:paraId="00152FA2" w14:textId="7F12D762" w:rsidR="00B1255D" w:rsidRDefault="00B1255D" w:rsidP="00B1255D">
      <w:r>
        <w:t>Bottom right: Contour plot of underlying bivariate normal distribution (actual DLCO vs. predicted DLCO SC19 method) for actual threshold of 40%</w:t>
      </w:r>
    </w:p>
    <w:p w14:paraId="12D7BEF8" w14:textId="77777777" w:rsidR="007167B7" w:rsidRDefault="007167B7" w:rsidP="00B1255D"/>
    <w:p w14:paraId="27CCB25B" w14:textId="77777777" w:rsidR="007167B7" w:rsidRDefault="007167B7" w:rsidP="00B1255D">
      <w:pPr>
        <w:sectPr w:rsidR="007167B7">
          <w:pgSz w:w="12240" w:h="15840"/>
          <w:pgMar w:top="1440" w:right="1440" w:bottom="1440" w:left="1440" w:header="720" w:footer="720" w:gutter="0"/>
          <w:cols w:space="720"/>
          <w:docGrid w:linePitch="360"/>
        </w:sectPr>
      </w:pPr>
    </w:p>
    <w:p w14:paraId="23DCCDBC" w14:textId="6BB73109" w:rsidR="007E2F0C" w:rsidRPr="007E2F0C" w:rsidRDefault="005944D7" w:rsidP="007E2F0C">
      <w:pPr>
        <w:rPr>
          <w:b/>
        </w:rPr>
      </w:pPr>
      <w:r>
        <w:rPr>
          <w:b/>
        </w:rPr>
        <w:lastRenderedPageBreak/>
        <w:t>e-Figure 4</w:t>
      </w:r>
      <w:r w:rsidR="007E2F0C" w:rsidRPr="007E2F0C">
        <w:rPr>
          <w:b/>
        </w:rPr>
        <w:t>.</w:t>
      </w:r>
      <w:r>
        <w:rPr>
          <w:b/>
        </w:rPr>
        <w:t xml:space="preserve"> Bland Altman Plot of ppoDLCO minus actual postoperative DLCO vs. actual postoperative DLCO</w:t>
      </w:r>
    </w:p>
    <w:p w14:paraId="20433484" w14:textId="0A275A7B" w:rsidR="00040368" w:rsidRDefault="00040368" w:rsidP="000D1292">
      <w:pPr>
        <w:pStyle w:val="BodyText"/>
      </w:pPr>
      <w:r w:rsidRPr="00491E3F">
        <w:rPr>
          <w:rFonts w:asciiTheme="minorHAnsi" w:hAnsiTheme="minorHAnsi" w:cstheme="minorBidi"/>
          <w:noProof/>
        </w:rPr>
        <mc:AlternateContent>
          <mc:Choice Requires="wps">
            <w:drawing>
              <wp:anchor distT="0" distB="0" distL="114300" distR="114300" simplePos="0" relativeHeight="251663360" behindDoc="0" locked="0" layoutInCell="1" allowOverlap="1" wp14:anchorId="66DDD440" wp14:editId="5F93C366">
                <wp:simplePos x="0" y="0"/>
                <wp:positionH relativeFrom="column">
                  <wp:posOffset>437322</wp:posOffset>
                </wp:positionH>
                <wp:positionV relativeFrom="paragraph">
                  <wp:posOffset>862055</wp:posOffset>
                </wp:positionV>
                <wp:extent cx="2166730" cy="1702904"/>
                <wp:effectExtent l="0" t="0" r="24130" b="31115"/>
                <wp:wrapNone/>
                <wp:docPr id="26" name="Straight Connector 26"/>
                <wp:cNvGraphicFramePr/>
                <a:graphic xmlns:a="http://schemas.openxmlformats.org/drawingml/2006/main">
                  <a:graphicData uri="http://schemas.microsoft.com/office/word/2010/wordprocessingShape">
                    <wps:wsp>
                      <wps:cNvCnPr/>
                      <wps:spPr>
                        <a:xfrm>
                          <a:off x="0" y="0"/>
                          <a:ext cx="2166730" cy="1702904"/>
                        </a:xfrm>
                        <a:prstGeom prst="line">
                          <a:avLst/>
                        </a:prstGeom>
                        <a:ln w="25400">
                          <a:solidFill>
                            <a:srgbClr val="FF0000"/>
                          </a:solidFill>
                          <a:prstDash val="lg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311CB7" id="Straight Connector 26"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45pt,67.9pt" to="205.05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" strokecolor="red" strokeweight="2pt">
                <v:stroke dashstyle="longDash" joinstyle="miter"/>
              </v:line>
            </w:pict>
          </mc:Fallback>
        </mc:AlternateContent>
      </w:r>
      <w:r w:rsidR="007723FA">
        <w:rPr>
          <w:noProof/>
        </w:rPr>
        <w:drawing>
          <wp:inline distT="0" distB="0" distL="0" distR="0" wp14:anchorId="22C6D775" wp14:editId="346A4819">
            <wp:extent cx="3835253" cy="299690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efigure4a.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849137" cy="3007755"/>
                    </a:xfrm>
                    <a:prstGeom prst="rect">
                      <a:avLst/>
                    </a:prstGeom>
                  </pic:spPr>
                </pic:pic>
              </a:graphicData>
            </a:graphic>
          </wp:inline>
        </w:drawing>
      </w:r>
    </w:p>
    <w:p w14:paraId="4D426BF1" w14:textId="20AB896C" w:rsidR="00040368" w:rsidRDefault="00040368" w:rsidP="000D1292">
      <w:pPr>
        <w:pStyle w:val="BodyText"/>
      </w:pPr>
      <w:r w:rsidRPr="00491E3F">
        <w:rPr>
          <w:rFonts w:asciiTheme="minorHAnsi" w:hAnsiTheme="minorHAnsi" w:cstheme="minorBidi"/>
          <w:noProof/>
        </w:rPr>
        <mc:AlternateContent>
          <mc:Choice Requires="wps">
            <w:drawing>
              <wp:anchor distT="0" distB="0" distL="114300" distR="114300" simplePos="0" relativeHeight="251665408" behindDoc="0" locked="0" layoutInCell="1" allowOverlap="1" wp14:anchorId="531C3E3D" wp14:editId="711EEA17">
                <wp:simplePos x="0" y="0"/>
                <wp:positionH relativeFrom="column">
                  <wp:posOffset>402492</wp:posOffset>
                </wp:positionH>
                <wp:positionV relativeFrom="paragraph">
                  <wp:posOffset>817001</wp:posOffset>
                </wp:positionV>
                <wp:extent cx="2168770" cy="1636174"/>
                <wp:effectExtent l="0" t="0" r="22225" b="21590"/>
                <wp:wrapNone/>
                <wp:docPr id="28" name="Straight Connector 28"/>
                <wp:cNvGraphicFramePr/>
                <a:graphic xmlns:a="http://schemas.openxmlformats.org/drawingml/2006/main">
                  <a:graphicData uri="http://schemas.microsoft.com/office/word/2010/wordprocessingShape">
                    <wps:wsp>
                      <wps:cNvCnPr/>
                      <wps:spPr>
                        <a:xfrm>
                          <a:off x="0" y="0"/>
                          <a:ext cx="2168770" cy="1636174"/>
                        </a:xfrm>
                        <a:prstGeom prst="line">
                          <a:avLst/>
                        </a:prstGeom>
                        <a:ln w="25400">
                          <a:solidFill>
                            <a:srgbClr val="FF0000"/>
                          </a:solidFill>
                          <a:prstDash val="lg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82FC53" id="Straight Connector 28"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7pt,64.35pt" to="202.45pt,19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" strokecolor="red" strokeweight="2pt">
                <v:stroke dashstyle="longDash" joinstyle="miter"/>
              </v:line>
            </w:pict>
          </mc:Fallback>
        </mc:AlternateContent>
      </w:r>
      <w:r w:rsidR="007723FA">
        <w:rPr>
          <w:noProof/>
        </w:rPr>
        <w:drawing>
          <wp:inline distT="0" distB="0" distL="0" distR="0" wp14:anchorId="6FC3BE90" wp14:editId="17ADE5AB">
            <wp:extent cx="3777405" cy="2833054"/>
            <wp:effectExtent l="0" t="0" r="0" b="571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efigure4b.tif"/>
                    <pic:cNvPicPr/>
                  </pic:nvPicPr>
                  <pic:blipFill>
                    <a:blip r:embed="rId24">
                      <a:extLst>
                        <a:ext uri="{28A0092B-C50C-407E-A947-70E740481C1C}">
                          <a14:useLocalDpi xmlns:a14="http://schemas.microsoft.com/office/drawing/2010/main" val="0"/>
                        </a:ext>
                      </a:extLst>
                    </a:blip>
                    <a:stretch>
                      <a:fillRect/>
                    </a:stretch>
                  </pic:blipFill>
                  <pic:spPr>
                    <a:xfrm>
                      <a:off x="0" y="0"/>
                      <a:ext cx="3826747" cy="2870060"/>
                    </a:xfrm>
                    <a:prstGeom prst="rect">
                      <a:avLst/>
                    </a:prstGeom>
                  </pic:spPr>
                </pic:pic>
              </a:graphicData>
            </a:graphic>
          </wp:inline>
        </w:drawing>
      </w:r>
    </w:p>
    <w:p w14:paraId="6FEFD453" w14:textId="77777777" w:rsidR="005944D7" w:rsidRDefault="005944D7" w:rsidP="000D1292">
      <w:pPr>
        <w:pStyle w:val="BodyText"/>
        <w:sectPr w:rsidR="005944D7">
          <w:pgSz w:w="12240" w:h="15840"/>
          <w:pgMar w:top="1440" w:right="1440" w:bottom="1440" w:left="1440" w:header="720" w:footer="720" w:gutter="0"/>
          <w:cols w:space="720"/>
          <w:docGrid w:linePitch="360"/>
        </w:sectPr>
      </w:pPr>
    </w:p>
    <w:p w14:paraId="5EB16691" w14:textId="26C0BA5F" w:rsidR="005944D7" w:rsidRPr="005944D7" w:rsidRDefault="005944D7" w:rsidP="005944D7">
      <w:pPr>
        <w:rPr>
          <w:b/>
        </w:rPr>
      </w:pPr>
      <w:r w:rsidRPr="005944D7">
        <w:rPr>
          <w:b/>
        </w:rPr>
        <w:lastRenderedPageBreak/>
        <w:t>e-Figure 5.</w:t>
      </w:r>
      <w:r>
        <w:rPr>
          <w:b/>
        </w:rPr>
        <w:t xml:space="preserve">  Bland Altman Plot of ppoFEV1 minus actual postoperative FEV1 vs. actual postoperative FEV1</w:t>
      </w:r>
    </w:p>
    <w:p w14:paraId="56B8B09A" w14:textId="77777777" w:rsidR="005944D7" w:rsidRDefault="005944D7" w:rsidP="005944D7"/>
    <w:p w14:paraId="065BDB51" w14:textId="3D7D1513" w:rsidR="005944D7" w:rsidRPr="00491E3F" w:rsidRDefault="005944D7" w:rsidP="005944D7">
      <w:pPr>
        <w:pStyle w:val="EndNoteBibliography"/>
        <w:spacing w:line="259" w:lineRule="auto"/>
        <w:rPr>
          <w:rFonts w:asciiTheme="minorHAnsi" w:hAnsiTheme="minorHAnsi" w:cstheme="minorBidi"/>
          <w:szCs w:val="24"/>
        </w:rPr>
      </w:pPr>
      <w:r w:rsidRPr="00491E3F">
        <w:rPr>
          <w:rFonts w:asciiTheme="minorHAnsi" w:hAnsiTheme="minorHAnsi" w:cstheme="minorBidi"/>
          <w:szCs w:val="24"/>
        </w:rPr>
        <mc:AlternateContent>
          <mc:Choice Requires="wps">
            <w:drawing>
              <wp:anchor distT="0" distB="0" distL="114300" distR="114300" simplePos="0" relativeHeight="251675648" behindDoc="0" locked="0" layoutInCell="1" allowOverlap="1" wp14:anchorId="21651B6F" wp14:editId="130C7F1E">
                <wp:simplePos x="0" y="0"/>
                <wp:positionH relativeFrom="column">
                  <wp:posOffset>470451</wp:posOffset>
                </wp:positionH>
                <wp:positionV relativeFrom="paragraph">
                  <wp:posOffset>594690</wp:posOffset>
                </wp:positionV>
                <wp:extent cx="2365513" cy="2305879"/>
                <wp:effectExtent l="0" t="0" r="34925" b="37465"/>
                <wp:wrapNone/>
                <wp:docPr id="9" name="Straight Connector 9"/>
                <wp:cNvGraphicFramePr/>
                <a:graphic xmlns:a="http://schemas.openxmlformats.org/drawingml/2006/main">
                  <a:graphicData uri="http://schemas.microsoft.com/office/word/2010/wordprocessingShape">
                    <wps:wsp>
                      <wps:cNvCnPr/>
                      <wps:spPr>
                        <a:xfrm>
                          <a:off x="0" y="0"/>
                          <a:ext cx="2365513" cy="2305879"/>
                        </a:xfrm>
                        <a:prstGeom prst="line">
                          <a:avLst/>
                        </a:prstGeom>
                        <a:ln w="25400">
                          <a:solidFill>
                            <a:srgbClr val="FF0000"/>
                          </a:solidFill>
                          <a:prstDash val="lg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8BB425" id="Straight Connector 9"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05pt,46.85pt" to="223.3pt,2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" strokecolor="red" strokeweight="2pt">
                <v:stroke dashstyle="longDash" joinstyle="miter"/>
              </v:line>
            </w:pict>
          </mc:Fallback>
        </mc:AlternateContent>
      </w:r>
      <w:r w:rsidR="000439E8">
        <w:rPr>
          <w:rFonts w:asciiTheme="minorHAnsi" w:hAnsiTheme="minorHAnsi" w:cstheme="minorBidi"/>
          <w:szCs w:val="24"/>
        </w:rPr>
        <w:drawing>
          <wp:inline distT="0" distB="0" distL="0" distR="0" wp14:anchorId="029E5CE3" wp14:editId="01D88E00">
            <wp:extent cx="4295212" cy="335632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efigure5a.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304174" cy="3363326"/>
                    </a:xfrm>
                    <a:prstGeom prst="rect">
                      <a:avLst/>
                    </a:prstGeom>
                  </pic:spPr>
                </pic:pic>
              </a:graphicData>
            </a:graphic>
          </wp:inline>
        </w:drawing>
      </w:r>
    </w:p>
    <w:p w14:paraId="55966E4C" w14:textId="76900687" w:rsidR="005944D7" w:rsidRDefault="005944D7" w:rsidP="005944D7">
      <w:pPr>
        <w:rPr>
          <w:u w:val="single"/>
        </w:rPr>
      </w:pPr>
    </w:p>
    <w:p w14:paraId="1E27C313" w14:textId="68AD2830" w:rsidR="00040368" w:rsidRDefault="007A1572" w:rsidP="00DE1187">
      <w:pPr>
        <w:pStyle w:val="BodyText"/>
      </w:pPr>
      <w:r w:rsidRPr="00491E3F">
        <w:rPr>
          <w:noProof/>
        </w:rPr>
        <mc:AlternateContent>
          <mc:Choice Requires="wps">
            <w:drawing>
              <wp:anchor distT="0" distB="0" distL="114300" distR="114300" simplePos="0" relativeHeight="251676672" behindDoc="0" locked="0" layoutInCell="1" allowOverlap="1" wp14:anchorId="7A219216" wp14:editId="4BD04348">
                <wp:simplePos x="0" y="0"/>
                <wp:positionH relativeFrom="column">
                  <wp:posOffset>433415</wp:posOffset>
                </wp:positionH>
                <wp:positionV relativeFrom="paragraph">
                  <wp:posOffset>529468</wp:posOffset>
                </wp:positionV>
                <wp:extent cx="2362640" cy="2256929"/>
                <wp:effectExtent l="0" t="0" r="19050" b="29210"/>
                <wp:wrapNone/>
                <wp:docPr id="16" name="Straight Connector 16"/>
                <wp:cNvGraphicFramePr/>
                <a:graphic xmlns:a="http://schemas.openxmlformats.org/drawingml/2006/main">
                  <a:graphicData uri="http://schemas.microsoft.com/office/word/2010/wordprocessingShape">
                    <wps:wsp>
                      <wps:cNvCnPr/>
                      <wps:spPr>
                        <a:xfrm>
                          <a:off x="0" y="0"/>
                          <a:ext cx="2362640" cy="2256929"/>
                        </a:xfrm>
                        <a:prstGeom prst="line">
                          <a:avLst/>
                        </a:prstGeom>
                        <a:ln w="25400">
                          <a:solidFill>
                            <a:srgbClr val="FF0000"/>
                          </a:solidFill>
                          <a:prstDash val="lg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A8354A" id="Straight Connector 16"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15pt,41.7pt" to="220.2pt,2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" strokecolor="red" strokeweight="2pt">
                <v:stroke dashstyle="longDash" joinstyle="miter"/>
              </v:line>
            </w:pict>
          </mc:Fallback>
        </mc:AlternateContent>
      </w:r>
      <w:r>
        <w:rPr>
          <w:noProof/>
        </w:rPr>
        <w:drawing>
          <wp:inline distT="0" distB="0" distL="0" distR="0" wp14:anchorId="42E49A06" wp14:editId="3BB5F442">
            <wp:extent cx="4242535" cy="3181901"/>
            <wp:effectExtent l="0" t="0" r="571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efigure5b.tif"/>
                    <pic:cNvPicPr/>
                  </pic:nvPicPr>
                  <pic:blipFill>
                    <a:blip r:embed="rId26">
                      <a:extLst>
                        <a:ext uri="{28A0092B-C50C-407E-A947-70E740481C1C}">
                          <a14:useLocalDpi xmlns:a14="http://schemas.microsoft.com/office/drawing/2010/main" val="0"/>
                        </a:ext>
                      </a:extLst>
                    </a:blip>
                    <a:stretch>
                      <a:fillRect/>
                    </a:stretch>
                  </pic:blipFill>
                  <pic:spPr>
                    <a:xfrm>
                      <a:off x="0" y="0"/>
                      <a:ext cx="4329207" cy="3246905"/>
                    </a:xfrm>
                    <a:prstGeom prst="rect">
                      <a:avLst/>
                    </a:prstGeom>
                  </pic:spPr>
                </pic:pic>
              </a:graphicData>
            </a:graphic>
          </wp:inline>
        </w:drawing>
      </w:r>
      <w:r w:rsidR="0098467A">
        <w:fldChar w:fldCharType="begin"/>
      </w:r>
      <w:r w:rsidR="0098467A">
        <w:instrText xml:space="preserve"> ADDIN </w:instrText>
      </w:r>
      <w:r w:rsidR="0098467A">
        <w:fldChar w:fldCharType="end"/>
      </w:r>
    </w:p>
    <w:sectPr w:rsidR="0004036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D91681" w14:textId="77777777" w:rsidR="001E0FE7" w:rsidRDefault="001E0FE7" w:rsidP="00424AD8">
      <w:pPr>
        <w:spacing w:after="0" w:line="240" w:lineRule="auto"/>
      </w:pPr>
      <w:r>
        <w:separator/>
      </w:r>
    </w:p>
  </w:endnote>
  <w:endnote w:type="continuationSeparator" w:id="0">
    <w:p w14:paraId="49EC66D7" w14:textId="77777777" w:rsidR="001E0FE7" w:rsidRDefault="001E0FE7" w:rsidP="00424A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F8D876" w14:textId="77777777" w:rsidR="001E0FE7" w:rsidRDefault="001E0FE7" w:rsidP="00424AD8">
      <w:pPr>
        <w:spacing w:after="0" w:line="240" w:lineRule="auto"/>
      </w:pPr>
      <w:r>
        <w:separator/>
      </w:r>
    </w:p>
  </w:footnote>
  <w:footnote w:type="continuationSeparator" w:id="0">
    <w:p w14:paraId="2A53EBF3" w14:textId="77777777" w:rsidR="001E0FE7" w:rsidRDefault="001E0FE7" w:rsidP="00424AD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055374"/>
    <w:multiLevelType w:val="hybridMultilevel"/>
    <w:tmpl w:val="190C5028"/>
    <w:lvl w:ilvl="0" w:tplc="272C19E8">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2276195"/>
    <w:multiLevelType w:val="hybridMultilevel"/>
    <w:tmpl w:val="0D943B1C"/>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467C3EC9"/>
    <w:multiLevelType w:val="hybridMultilevel"/>
    <w:tmpl w:val="610C9C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C000240"/>
    <w:multiLevelType w:val="hybridMultilevel"/>
    <w:tmpl w:val="AF8E67C8"/>
    <w:lvl w:ilvl="0" w:tplc="047E99E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C7A62C9"/>
    <w:multiLevelType w:val="hybridMultilevel"/>
    <w:tmpl w:val="9132AB00"/>
    <w:lvl w:ilvl="0" w:tplc="41A831B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3"/>
  </w:num>
  <w:num w:numId="2">
    <w:abstractNumId w:val="0"/>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4"/>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mer J Resp Crit Care Med&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xstx0zxgapxfaewtpu525rgsp9dvp5vxs2d&quot;&gt;Master Library&lt;record-ids&gt;&lt;item&gt;602&lt;/item&gt;&lt;item&gt;2250&lt;/item&gt;&lt;item&gt;2853&lt;/item&gt;&lt;item&gt;2867&lt;/item&gt;&lt;item&gt;3158&lt;/item&gt;&lt;item&gt;3159&lt;/item&gt;&lt;item&gt;3160&lt;/item&gt;&lt;/record-ids&gt;&lt;/item&gt;&lt;/Libraries&gt;"/>
  </w:docVars>
  <w:rsids>
    <w:rsidRoot w:val="002E590A"/>
    <w:rsid w:val="00040368"/>
    <w:rsid w:val="000439E8"/>
    <w:rsid w:val="00070B2D"/>
    <w:rsid w:val="000A3A63"/>
    <w:rsid w:val="000D1292"/>
    <w:rsid w:val="00104C31"/>
    <w:rsid w:val="00126ACD"/>
    <w:rsid w:val="0013524F"/>
    <w:rsid w:val="00160867"/>
    <w:rsid w:val="0018545C"/>
    <w:rsid w:val="001D19E7"/>
    <w:rsid w:val="001E0FE7"/>
    <w:rsid w:val="002245C6"/>
    <w:rsid w:val="00276B3C"/>
    <w:rsid w:val="00292CC3"/>
    <w:rsid w:val="002B3935"/>
    <w:rsid w:val="002B6BC0"/>
    <w:rsid w:val="002E590A"/>
    <w:rsid w:val="00311788"/>
    <w:rsid w:val="00354B2A"/>
    <w:rsid w:val="00364DF1"/>
    <w:rsid w:val="003743C0"/>
    <w:rsid w:val="003878DB"/>
    <w:rsid w:val="003C1418"/>
    <w:rsid w:val="003D109C"/>
    <w:rsid w:val="003E11C6"/>
    <w:rsid w:val="00424AD8"/>
    <w:rsid w:val="00467D85"/>
    <w:rsid w:val="00477F67"/>
    <w:rsid w:val="00490592"/>
    <w:rsid w:val="00491E3F"/>
    <w:rsid w:val="00493542"/>
    <w:rsid w:val="00500DE5"/>
    <w:rsid w:val="00502E7A"/>
    <w:rsid w:val="00543446"/>
    <w:rsid w:val="00544DD1"/>
    <w:rsid w:val="00557116"/>
    <w:rsid w:val="005710D7"/>
    <w:rsid w:val="005944D7"/>
    <w:rsid w:val="0059542A"/>
    <w:rsid w:val="005B2DFC"/>
    <w:rsid w:val="005C080F"/>
    <w:rsid w:val="00600AF6"/>
    <w:rsid w:val="0060234C"/>
    <w:rsid w:val="006504F6"/>
    <w:rsid w:val="00662CE1"/>
    <w:rsid w:val="0069762F"/>
    <w:rsid w:val="006A494E"/>
    <w:rsid w:val="006B7295"/>
    <w:rsid w:val="006C3C9D"/>
    <w:rsid w:val="006D047D"/>
    <w:rsid w:val="006D111F"/>
    <w:rsid w:val="006E3AB2"/>
    <w:rsid w:val="007167B7"/>
    <w:rsid w:val="00736EFB"/>
    <w:rsid w:val="00740F47"/>
    <w:rsid w:val="007723FA"/>
    <w:rsid w:val="007849C4"/>
    <w:rsid w:val="00792AC7"/>
    <w:rsid w:val="00793EB6"/>
    <w:rsid w:val="007A1572"/>
    <w:rsid w:val="007D2D0E"/>
    <w:rsid w:val="007D36FE"/>
    <w:rsid w:val="007E2F0C"/>
    <w:rsid w:val="007F2135"/>
    <w:rsid w:val="00814221"/>
    <w:rsid w:val="00821ADB"/>
    <w:rsid w:val="0084635D"/>
    <w:rsid w:val="008D2B61"/>
    <w:rsid w:val="00922C2A"/>
    <w:rsid w:val="0095599E"/>
    <w:rsid w:val="0096419D"/>
    <w:rsid w:val="0098467A"/>
    <w:rsid w:val="009B215B"/>
    <w:rsid w:val="009E5855"/>
    <w:rsid w:val="009F5179"/>
    <w:rsid w:val="00A16CEC"/>
    <w:rsid w:val="00A4273F"/>
    <w:rsid w:val="00A5418A"/>
    <w:rsid w:val="00A678B5"/>
    <w:rsid w:val="00A736D9"/>
    <w:rsid w:val="00AA1B08"/>
    <w:rsid w:val="00AC2EA5"/>
    <w:rsid w:val="00AE0D69"/>
    <w:rsid w:val="00AE4251"/>
    <w:rsid w:val="00B05F5D"/>
    <w:rsid w:val="00B1255D"/>
    <w:rsid w:val="00B2583F"/>
    <w:rsid w:val="00B767AA"/>
    <w:rsid w:val="00B800D9"/>
    <w:rsid w:val="00B82ED4"/>
    <w:rsid w:val="00B86EE9"/>
    <w:rsid w:val="00B93A59"/>
    <w:rsid w:val="00BD4E9A"/>
    <w:rsid w:val="00BF2559"/>
    <w:rsid w:val="00C0063A"/>
    <w:rsid w:val="00C01954"/>
    <w:rsid w:val="00C51E0A"/>
    <w:rsid w:val="00CA0010"/>
    <w:rsid w:val="00D1751C"/>
    <w:rsid w:val="00D4522D"/>
    <w:rsid w:val="00DA6428"/>
    <w:rsid w:val="00DD2F66"/>
    <w:rsid w:val="00DE1187"/>
    <w:rsid w:val="00DE5F1A"/>
    <w:rsid w:val="00DF36D9"/>
    <w:rsid w:val="00DF4D54"/>
    <w:rsid w:val="00DF575B"/>
    <w:rsid w:val="00E97C9D"/>
    <w:rsid w:val="00EC3320"/>
    <w:rsid w:val="00F02631"/>
    <w:rsid w:val="00F04D67"/>
    <w:rsid w:val="00F8394E"/>
    <w:rsid w:val="00FC68FD"/>
    <w:rsid w:val="00FD1A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75BC25"/>
  <w15:chartTrackingRefBased/>
  <w15:docId w15:val="{52F6C4FC-BFBA-43F7-86F6-D14A48517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D19E7"/>
  </w:style>
  <w:style w:type="paragraph" w:styleId="Heading1">
    <w:name w:val="heading 1"/>
    <w:basedOn w:val="Normal"/>
    <w:next w:val="Normal"/>
    <w:link w:val="Heading1Char"/>
    <w:uiPriority w:val="9"/>
    <w:qFormat/>
    <w:rsid w:val="001D19E7"/>
    <w:pPr>
      <w:keepNext/>
      <w:outlineLvl w:val="0"/>
    </w:pPr>
    <w:rPr>
      <w:b/>
    </w:rPr>
  </w:style>
  <w:style w:type="paragraph" w:styleId="Heading2">
    <w:name w:val="heading 2"/>
    <w:basedOn w:val="Normal"/>
    <w:next w:val="Normal"/>
    <w:link w:val="Heading2Char"/>
    <w:uiPriority w:val="9"/>
    <w:unhideWhenUsed/>
    <w:qFormat/>
    <w:rsid w:val="007D36FE"/>
    <w:pPr>
      <w:keepNext/>
      <w:spacing w:after="0" w:line="480" w:lineRule="auto"/>
      <w:outlineLvl w:val="1"/>
    </w:pPr>
    <w:rPr>
      <w:rFonts w:ascii="Arial" w:hAnsi="Arial" w:cs="Arial"/>
      <w:b/>
      <w:sz w:val="24"/>
      <w:szCs w:val="24"/>
    </w:rPr>
  </w:style>
  <w:style w:type="paragraph" w:styleId="Heading3">
    <w:name w:val="heading 3"/>
    <w:basedOn w:val="Normal"/>
    <w:next w:val="Normal"/>
    <w:link w:val="Heading3Char"/>
    <w:uiPriority w:val="9"/>
    <w:unhideWhenUsed/>
    <w:qFormat/>
    <w:rsid w:val="00B82ED4"/>
    <w:pPr>
      <w:keepNext/>
      <w:adjustRightInd w:val="0"/>
      <w:spacing w:before="60" w:after="60" w:line="240" w:lineRule="auto"/>
      <w:jc w:val="center"/>
      <w:outlineLvl w:val="2"/>
    </w:pPr>
    <w:rPr>
      <w:b/>
      <w:bCs/>
      <w:color w:val="000000"/>
    </w:rPr>
  </w:style>
  <w:style w:type="paragraph" w:styleId="Heading4">
    <w:name w:val="heading 4"/>
    <w:basedOn w:val="Normal"/>
    <w:next w:val="Normal"/>
    <w:link w:val="Heading4Char"/>
    <w:uiPriority w:val="9"/>
    <w:unhideWhenUsed/>
    <w:qFormat/>
    <w:rsid w:val="00354B2A"/>
    <w:pPr>
      <w:keepNext/>
      <w:adjustRightInd w:val="0"/>
      <w:spacing w:before="60" w:after="60" w:line="240" w:lineRule="auto"/>
      <w:outlineLvl w:val="3"/>
    </w:pPr>
    <w:rPr>
      <w:b/>
      <w:bCs/>
      <w:color w:val="00000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D19E7"/>
    <w:pPr>
      <w:spacing w:after="0"/>
      <w:jc w:val="center"/>
    </w:pPr>
    <w:rPr>
      <w:rFonts w:ascii="Arial" w:hAnsi="Arial" w:cs="Arial"/>
      <w:b/>
      <w:sz w:val="24"/>
      <w:szCs w:val="24"/>
    </w:rPr>
  </w:style>
  <w:style w:type="character" w:customStyle="1" w:styleId="TitleChar">
    <w:name w:val="Title Char"/>
    <w:basedOn w:val="DefaultParagraphFont"/>
    <w:link w:val="Title"/>
    <w:uiPriority w:val="10"/>
    <w:rsid w:val="001D19E7"/>
    <w:rPr>
      <w:rFonts w:ascii="Arial" w:hAnsi="Arial" w:cs="Arial"/>
      <w:b/>
      <w:sz w:val="24"/>
      <w:szCs w:val="24"/>
    </w:rPr>
  </w:style>
  <w:style w:type="character" w:customStyle="1" w:styleId="Heading1Char">
    <w:name w:val="Heading 1 Char"/>
    <w:basedOn w:val="DefaultParagraphFont"/>
    <w:link w:val="Heading1"/>
    <w:uiPriority w:val="9"/>
    <w:rsid w:val="001D19E7"/>
    <w:rPr>
      <w:b/>
    </w:rPr>
  </w:style>
  <w:style w:type="paragraph" w:styleId="BodyText">
    <w:name w:val="Body Text"/>
    <w:basedOn w:val="Normal"/>
    <w:link w:val="BodyTextChar"/>
    <w:uiPriority w:val="99"/>
    <w:unhideWhenUsed/>
    <w:rsid w:val="001D19E7"/>
    <w:pPr>
      <w:spacing w:after="0" w:line="480" w:lineRule="auto"/>
    </w:pPr>
    <w:rPr>
      <w:rFonts w:ascii="Arial" w:hAnsi="Arial" w:cs="Arial"/>
      <w:sz w:val="24"/>
      <w:szCs w:val="24"/>
    </w:rPr>
  </w:style>
  <w:style w:type="character" w:customStyle="1" w:styleId="BodyTextChar">
    <w:name w:val="Body Text Char"/>
    <w:basedOn w:val="DefaultParagraphFont"/>
    <w:link w:val="BodyText"/>
    <w:uiPriority w:val="99"/>
    <w:rsid w:val="001D19E7"/>
    <w:rPr>
      <w:rFonts w:ascii="Arial" w:hAnsi="Arial" w:cs="Arial"/>
      <w:sz w:val="24"/>
      <w:szCs w:val="24"/>
    </w:rPr>
  </w:style>
  <w:style w:type="character" w:customStyle="1" w:styleId="Heading2Char">
    <w:name w:val="Heading 2 Char"/>
    <w:basedOn w:val="DefaultParagraphFont"/>
    <w:link w:val="Heading2"/>
    <w:uiPriority w:val="9"/>
    <w:rsid w:val="007D36FE"/>
    <w:rPr>
      <w:rFonts w:ascii="Arial" w:hAnsi="Arial" w:cs="Arial"/>
      <w:b/>
      <w:sz w:val="24"/>
      <w:szCs w:val="24"/>
    </w:rPr>
  </w:style>
  <w:style w:type="paragraph" w:styleId="ListParagraph">
    <w:name w:val="List Paragraph"/>
    <w:basedOn w:val="Normal"/>
    <w:uiPriority w:val="34"/>
    <w:qFormat/>
    <w:rsid w:val="0013524F"/>
    <w:pPr>
      <w:spacing w:after="200" w:line="276" w:lineRule="auto"/>
      <w:ind w:left="720"/>
      <w:contextualSpacing/>
    </w:pPr>
  </w:style>
  <w:style w:type="table" w:styleId="TableGridLight">
    <w:name w:val="Grid Table Light"/>
    <w:basedOn w:val="TableNormal"/>
    <w:uiPriority w:val="40"/>
    <w:rsid w:val="0013524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3Char">
    <w:name w:val="Heading 3 Char"/>
    <w:basedOn w:val="DefaultParagraphFont"/>
    <w:link w:val="Heading3"/>
    <w:uiPriority w:val="9"/>
    <w:rsid w:val="00B82ED4"/>
    <w:rPr>
      <w:b/>
      <w:bCs/>
      <w:color w:val="000000"/>
    </w:rPr>
  </w:style>
  <w:style w:type="character" w:customStyle="1" w:styleId="Heading4Char">
    <w:name w:val="Heading 4 Char"/>
    <w:basedOn w:val="DefaultParagraphFont"/>
    <w:link w:val="Heading4"/>
    <w:uiPriority w:val="9"/>
    <w:rsid w:val="00354B2A"/>
    <w:rPr>
      <w:b/>
      <w:bCs/>
      <w:color w:val="000000"/>
    </w:rPr>
  </w:style>
  <w:style w:type="character" w:styleId="CommentReference">
    <w:name w:val="annotation reference"/>
    <w:basedOn w:val="DefaultParagraphFont"/>
    <w:uiPriority w:val="99"/>
    <w:semiHidden/>
    <w:unhideWhenUsed/>
    <w:rsid w:val="00600AF6"/>
    <w:rPr>
      <w:sz w:val="16"/>
      <w:szCs w:val="16"/>
    </w:rPr>
  </w:style>
  <w:style w:type="paragraph" w:styleId="CommentText">
    <w:name w:val="annotation text"/>
    <w:basedOn w:val="Normal"/>
    <w:link w:val="CommentTextChar"/>
    <w:uiPriority w:val="99"/>
    <w:semiHidden/>
    <w:unhideWhenUsed/>
    <w:rsid w:val="00600AF6"/>
    <w:pPr>
      <w:spacing w:line="240" w:lineRule="auto"/>
    </w:pPr>
    <w:rPr>
      <w:sz w:val="20"/>
      <w:szCs w:val="20"/>
    </w:rPr>
  </w:style>
  <w:style w:type="character" w:customStyle="1" w:styleId="CommentTextChar">
    <w:name w:val="Comment Text Char"/>
    <w:basedOn w:val="DefaultParagraphFont"/>
    <w:link w:val="CommentText"/>
    <w:uiPriority w:val="99"/>
    <w:semiHidden/>
    <w:rsid w:val="00600AF6"/>
    <w:rPr>
      <w:sz w:val="20"/>
      <w:szCs w:val="20"/>
    </w:rPr>
  </w:style>
  <w:style w:type="paragraph" w:styleId="CommentSubject">
    <w:name w:val="annotation subject"/>
    <w:basedOn w:val="CommentText"/>
    <w:next w:val="CommentText"/>
    <w:link w:val="CommentSubjectChar"/>
    <w:uiPriority w:val="99"/>
    <w:semiHidden/>
    <w:unhideWhenUsed/>
    <w:rsid w:val="00600AF6"/>
    <w:rPr>
      <w:b/>
      <w:bCs/>
    </w:rPr>
  </w:style>
  <w:style w:type="character" w:customStyle="1" w:styleId="CommentSubjectChar">
    <w:name w:val="Comment Subject Char"/>
    <w:basedOn w:val="CommentTextChar"/>
    <w:link w:val="CommentSubject"/>
    <w:uiPriority w:val="99"/>
    <w:semiHidden/>
    <w:rsid w:val="00600AF6"/>
    <w:rPr>
      <w:b/>
      <w:bCs/>
      <w:sz w:val="20"/>
      <w:szCs w:val="20"/>
    </w:rPr>
  </w:style>
  <w:style w:type="paragraph" w:styleId="BalloonText">
    <w:name w:val="Balloon Text"/>
    <w:basedOn w:val="Normal"/>
    <w:link w:val="BalloonTextChar"/>
    <w:uiPriority w:val="99"/>
    <w:semiHidden/>
    <w:unhideWhenUsed/>
    <w:rsid w:val="00600AF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00AF6"/>
    <w:rPr>
      <w:rFonts w:ascii="Segoe UI" w:hAnsi="Segoe UI" w:cs="Segoe UI"/>
      <w:sz w:val="18"/>
      <w:szCs w:val="18"/>
    </w:rPr>
  </w:style>
  <w:style w:type="paragraph" w:customStyle="1" w:styleId="EndNoteBibliographyTitle">
    <w:name w:val="EndNote Bibliography Title"/>
    <w:basedOn w:val="Normal"/>
    <w:link w:val="EndNoteBibliographyTitleChar"/>
    <w:rsid w:val="003E11C6"/>
    <w:pPr>
      <w:spacing w:after="0"/>
      <w:jc w:val="center"/>
    </w:pPr>
    <w:rPr>
      <w:rFonts w:ascii="Arial" w:hAnsi="Arial" w:cs="Arial"/>
      <w:noProof/>
      <w:sz w:val="24"/>
    </w:rPr>
  </w:style>
  <w:style w:type="character" w:customStyle="1" w:styleId="EndNoteBibliographyTitleChar">
    <w:name w:val="EndNote Bibliography Title Char"/>
    <w:basedOn w:val="DefaultParagraphFont"/>
    <w:link w:val="EndNoteBibliographyTitle"/>
    <w:rsid w:val="003E11C6"/>
    <w:rPr>
      <w:rFonts w:ascii="Arial" w:hAnsi="Arial" w:cs="Arial"/>
      <w:noProof/>
      <w:sz w:val="24"/>
    </w:rPr>
  </w:style>
  <w:style w:type="paragraph" w:customStyle="1" w:styleId="EndNoteBibliography">
    <w:name w:val="EndNote Bibliography"/>
    <w:basedOn w:val="Normal"/>
    <w:link w:val="EndNoteBibliographyChar"/>
    <w:rsid w:val="003E11C6"/>
    <w:pPr>
      <w:spacing w:line="240" w:lineRule="auto"/>
    </w:pPr>
    <w:rPr>
      <w:rFonts w:ascii="Arial" w:hAnsi="Arial" w:cs="Arial"/>
      <w:noProof/>
      <w:sz w:val="24"/>
    </w:rPr>
  </w:style>
  <w:style w:type="character" w:customStyle="1" w:styleId="EndNoteBibliographyChar">
    <w:name w:val="EndNote Bibliography Char"/>
    <w:basedOn w:val="DefaultParagraphFont"/>
    <w:link w:val="EndNoteBibliography"/>
    <w:rsid w:val="003E11C6"/>
    <w:rPr>
      <w:rFonts w:ascii="Arial" w:hAnsi="Arial" w:cs="Arial"/>
      <w:noProof/>
      <w:sz w:val="24"/>
    </w:rPr>
  </w:style>
  <w:style w:type="character" w:styleId="Hyperlink">
    <w:name w:val="Hyperlink"/>
    <w:basedOn w:val="DefaultParagraphFont"/>
    <w:uiPriority w:val="99"/>
    <w:unhideWhenUsed/>
    <w:rsid w:val="003E11C6"/>
    <w:rPr>
      <w:color w:val="0563C1" w:themeColor="hyperlink"/>
      <w:u w:val="single"/>
    </w:rPr>
  </w:style>
  <w:style w:type="paragraph" w:styleId="BodyText2">
    <w:name w:val="Body Text 2"/>
    <w:basedOn w:val="Normal"/>
    <w:link w:val="BodyText2Char"/>
    <w:uiPriority w:val="99"/>
    <w:semiHidden/>
    <w:unhideWhenUsed/>
    <w:rsid w:val="00DE1187"/>
    <w:pPr>
      <w:spacing w:after="120" w:line="480" w:lineRule="auto"/>
    </w:pPr>
  </w:style>
  <w:style w:type="character" w:customStyle="1" w:styleId="BodyText2Char">
    <w:name w:val="Body Text 2 Char"/>
    <w:basedOn w:val="DefaultParagraphFont"/>
    <w:link w:val="BodyText2"/>
    <w:uiPriority w:val="99"/>
    <w:semiHidden/>
    <w:rsid w:val="00DE11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ost@mdanderson.org" TargetMode="External"/><Relationship Id="rId13" Type="http://schemas.openxmlformats.org/officeDocument/2006/relationships/image" Target="media/image3.tif"/><Relationship Id="rId18" Type="http://schemas.openxmlformats.org/officeDocument/2006/relationships/image" Target="media/image8.tif"/><Relationship Id="rId26" Type="http://schemas.openxmlformats.org/officeDocument/2006/relationships/image" Target="media/image16.tif"/><Relationship Id="rId3" Type="http://schemas.openxmlformats.org/officeDocument/2006/relationships/styles" Target="styles.xml"/><Relationship Id="rId21" Type="http://schemas.openxmlformats.org/officeDocument/2006/relationships/image" Target="media/image11.tif"/><Relationship Id="rId7" Type="http://schemas.openxmlformats.org/officeDocument/2006/relationships/endnotes" Target="endnotes.xml"/><Relationship Id="rId12" Type="http://schemas.openxmlformats.org/officeDocument/2006/relationships/image" Target="media/image2.tif"/><Relationship Id="rId17" Type="http://schemas.openxmlformats.org/officeDocument/2006/relationships/image" Target="media/image7.tif"/><Relationship Id="rId25" Type="http://schemas.openxmlformats.org/officeDocument/2006/relationships/image" Target="media/image15.tif"/><Relationship Id="rId2" Type="http://schemas.openxmlformats.org/officeDocument/2006/relationships/numbering" Target="numbering.xml"/><Relationship Id="rId16" Type="http://schemas.openxmlformats.org/officeDocument/2006/relationships/image" Target="media/image6.tif"/><Relationship Id="rId20" Type="http://schemas.openxmlformats.org/officeDocument/2006/relationships/image" Target="media/image10.t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tif"/><Relationship Id="rId24" Type="http://schemas.openxmlformats.org/officeDocument/2006/relationships/image" Target="media/image14.tif"/><Relationship Id="rId5" Type="http://schemas.openxmlformats.org/officeDocument/2006/relationships/webSettings" Target="webSettings.xml"/><Relationship Id="rId15" Type="http://schemas.openxmlformats.org/officeDocument/2006/relationships/image" Target="media/image5.tif"/><Relationship Id="rId23" Type="http://schemas.openxmlformats.org/officeDocument/2006/relationships/image" Target="media/image13.tiff"/><Relationship Id="rId28" Type="http://schemas.openxmlformats.org/officeDocument/2006/relationships/theme" Target="theme/theme1.xml"/><Relationship Id="rId10" Type="http://schemas.openxmlformats.org/officeDocument/2006/relationships/hyperlink" Target="http://www.ats.ucla.edu/stat/sas/library/multipleimputation.pdf" TargetMode="External"/><Relationship Id="rId19" Type="http://schemas.openxmlformats.org/officeDocument/2006/relationships/image" Target="media/image9.tif"/><Relationship Id="rId4" Type="http://schemas.openxmlformats.org/officeDocument/2006/relationships/settings" Target="settings.xml"/><Relationship Id="rId9" Type="http://schemas.openxmlformats.org/officeDocument/2006/relationships/hyperlink" Target="http://www.ats.ucla.edu/stat/sas/library/multipleimputation.pdf" TargetMode="External"/><Relationship Id="rId14" Type="http://schemas.openxmlformats.org/officeDocument/2006/relationships/image" Target="media/image4.tif"/><Relationship Id="rId22" Type="http://schemas.openxmlformats.org/officeDocument/2006/relationships/image" Target="media/image12.tif"/><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B1073C-651E-45DD-A309-BE74BD322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6990</TotalTime>
  <Pages>21</Pages>
  <Words>5561</Words>
  <Characters>31704</Characters>
  <Application>Microsoft Office Word</Application>
  <DocSecurity>0</DocSecurity>
  <Lines>264</Lines>
  <Paragraphs>74</Paragraphs>
  <ScaleCrop>false</ScaleCrop>
  <HeadingPairs>
    <vt:vector size="2" baseType="variant">
      <vt:variant>
        <vt:lpstr>Title</vt:lpstr>
      </vt:variant>
      <vt:variant>
        <vt:i4>1</vt:i4>
      </vt:variant>
    </vt:vector>
  </HeadingPairs>
  <TitlesOfParts>
    <vt:vector size="1" baseType="lpstr">
      <vt:lpstr/>
    </vt:vector>
  </TitlesOfParts>
  <Company>M. D. Anderson Cancer Center</Company>
  <LinksUpToDate>false</LinksUpToDate>
  <CharactersWithSpaces>37191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Ost,David</dc:creator>
  <cp:keywords/>
  <dc:description/>
  <cp:lastModifiedBy>Ost,David</cp:lastModifiedBy>
  <cp:revision>64</cp:revision>
  <dcterms:created xsi:type="dcterms:W3CDTF">2017-03-27T14:13:00Z</dcterms:created>
  <dcterms:modified xsi:type="dcterms:W3CDTF">2018-04-20T23:51:00Z</dcterms:modified>
</cp:coreProperties>
</file>