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01" w:rsidRPr="000C1947" w:rsidRDefault="005F5F01" w:rsidP="005F5F01">
      <w:pPr>
        <w:rPr>
          <w:rFonts w:cs="Arial"/>
        </w:rPr>
      </w:pPr>
    </w:p>
    <w:p w:rsidR="005F5F01" w:rsidRDefault="005F5F01" w:rsidP="005F5F01">
      <w:pPr>
        <w:spacing w:after="120" w:line="360" w:lineRule="auto"/>
        <w:rPr>
          <w:rFonts w:cs="Arial"/>
        </w:rPr>
      </w:pPr>
      <w:r w:rsidRPr="00DE4418">
        <w:rPr>
          <w:rFonts w:cs="Arial"/>
          <w:b/>
        </w:rPr>
        <w:t xml:space="preserve">Supplementary </w:t>
      </w:r>
      <w:r>
        <w:rPr>
          <w:rFonts w:cs="Arial"/>
          <w:b/>
        </w:rPr>
        <w:t>t</w:t>
      </w:r>
      <w:r w:rsidRPr="00DE4418">
        <w:rPr>
          <w:rFonts w:cs="Arial"/>
          <w:b/>
        </w:rPr>
        <w:t>able 1.</w:t>
      </w:r>
      <w:r>
        <w:rPr>
          <w:rFonts w:cs="Arial"/>
        </w:rPr>
        <w:t xml:space="preserve"> Summary of the </w:t>
      </w:r>
      <w:r w:rsidRPr="00DE4418">
        <w:rPr>
          <w:rFonts w:cs="Arial"/>
        </w:rPr>
        <w:t>measure</w:t>
      </w:r>
      <w:r>
        <w:rPr>
          <w:rFonts w:cs="Arial"/>
        </w:rPr>
        <w:t>ment c</w:t>
      </w:r>
      <w:r w:rsidRPr="00DE4418">
        <w:rPr>
          <w:rFonts w:cs="Arial"/>
        </w:rPr>
        <w:t xml:space="preserve">haracteristics </w:t>
      </w:r>
      <w:r>
        <w:rPr>
          <w:rFonts w:cs="Arial"/>
        </w:rPr>
        <w:t xml:space="preserve">when determining </w:t>
      </w:r>
      <w:r w:rsidRPr="00DE4418">
        <w:rPr>
          <w:rFonts w:cs="Arial"/>
        </w:rPr>
        <w:t xml:space="preserve">TKV </w:t>
      </w:r>
      <w:r>
        <w:rPr>
          <w:rFonts w:cs="Arial"/>
        </w:rPr>
        <w:t>using MRI</w:t>
      </w:r>
    </w:p>
    <w:p w:rsidR="005F5F01" w:rsidRPr="00DE4418" w:rsidRDefault="005F5F01" w:rsidP="005F5F01">
      <w:pPr>
        <w:spacing w:after="120" w:line="360" w:lineRule="auto"/>
        <w:rPr>
          <w:rFonts w:cs="Arial"/>
        </w:rPr>
      </w:pPr>
      <w:r w:rsidRPr="00DE4418">
        <w:rPr>
          <w:rFonts w:cs="Arial"/>
        </w:rPr>
        <w:t xml:space="preserve">1A 3T Siemens verio magnet (Munich, Germany) </w:t>
      </w:r>
      <w:r>
        <w:rPr>
          <w:rFonts w:cs="Arial"/>
        </w:rPr>
        <w:t>was</w:t>
      </w:r>
      <w:r w:rsidRPr="00DE4418">
        <w:rPr>
          <w:rFonts w:cs="Arial"/>
        </w:rPr>
        <w:t xml:space="preserve"> used in all patients using a cardio specific array with 32 channels covering from liver to iliac crests. Patients </w:t>
      </w:r>
      <w:r>
        <w:rPr>
          <w:rFonts w:cs="Arial"/>
        </w:rPr>
        <w:t>we</w:t>
      </w:r>
      <w:r w:rsidRPr="00DE4418">
        <w:rPr>
          <w:rFonts w:cs="Arial"/>
        </w:rPr>
        <w:t>re all introduced head first in</w:t>
      </w:r>
      <w:r>
        <w:rPr>
          <w:rFonts w:cs="Arial"/>
        </w:rPr>
        <w:t xml:space="preserve"> a</w:t>
      </w:r>
      <w:r w:rsidRPr="00DE4418">
        <w:rPr>
          <w:rFonts w:cs="Arial"/>
        </w:rPr>
        <w:t xml:space="preserve"> supine position. T1 in/out phase axial sequences, T2 in axial, coronal and sagit</w:t>
      </w:r>
      <w:r>
        <w:rPr>
          <w:rFonts w:cs="Arial"/>
        </w:rPr>
        <w:t>t</w:t>
      </w:r>
      <w:r w:rsidRPr="00DE4418">
        <w:rPr>
          <w:rFonts w:cs="Arial"/>
        </w:rPr>
        <w:t xml:space="preserve">al planes, and axial T1 and T2 fat sat sequences </w:t>
      </w:r>
      <w:r>
        <w:rPr>
          <w:rFonts w:cs="Arial"/>
        </w:rPr>
        <w:t>were</w:t>
      </w:r>
      <w:r w:rsidRPr="00DE4418">
        <w:rPr>
          <w:rFonts w:cs="Arial"/>
        </w:rPr>
        <w:t xml:space="preserve"> performed in all cases.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53"/>
        <w:gridCol w:w="2024"/>
        <w:gridCol w:w="777"/>
        <w:gridCol w:w="1217"/>
        <w:gridCol w:w="630"/>
        <w:gridCol w:w="1058"/>
        <w:gridCol w:w="1265"/>
      </w:tblGrid>
      <w:tr w:rsidR="005F5F01" w:rsidTr="003951BF">
        <w:tc>
          <w:tcPr>
            <w:tcW w:w="0" w:type="auto"/>
          </w:tcPr>
          <w:p w:rsidR="005F5F01" w:rsidRDefault="005F5F01" w:rsidP="003951BF"/>
        </w:tc>
        <w:tc>
          <w:tcPr>
            <w:tcW w:w="0" w:type="auto"/>
          </w:tcPr>
          <w:p w:rsidR="005F5F01" w:rsidRPr="00E002E9" w:rsidRDefault="005F5F01" w:rsidP="003951BF">
            <w:pPr>
              <w:rPr>
                <w:b/>
              </w:rPr>
            </w:pPr>
            <w:r w:rsidRPr="00E002E9">
              <w:rPr>
                <w:b/>
              </w:rPr>
              <w:t>Sequence</w:t>
            </w:r>
          </w:p>
        </w:tc>
        <w:tc>
          <w:tcPr>
            <w:tcW w:w="0" w:type="auto"/>
          </w:tcPr>
          <w:p w:rsidR="005F5F01" w:rsidRPr="00E002E9" w:rsidRDefault="005F5F01" w:rsidP="003951BF">
            <w:pPr>
              <w:rPr>
                <w:b/>
              </w:rPr>
            </w:pPr>
            <w:r w:rsidRPr="00E002E9">
              <w:rPr>
                <w:b/>
              </w:rPr>
              <w:t>Slices</w:t>
            </w:r>
          </w:p>
        </w:tc>
        <w:tc>
          <w:tcPr>
            <w:tcW w:w="0" w:type="auto"/>
          </w:tcPr>
          <w:p w:rsidR="005F5F01" w:rsidRPr="00E002E9" w:rsidRDefault="005F5F01" w:rsidP="003951BF">
            <w:pPr>
              <w:rPr>
                <w:b/>
              </w:rPr>
            </w:pPr>
            <w:r w:rsidRPr="00E002E9">
              <w:rPr>
                <w:b/>
              </w:rPr>
              <w:t>Thickness</w:t>
            </w:r>
          </w:p>
        </w:tc>
        <w:tc>
          <w:tcPr>
            <w:tcW w:w="0" w:type="auto"/>
          </w:tcPr>
          <w:p w:rsidR="005F5F01" w:rsidRPr="00E002E9" w:rsidRDefault="005F5F01" w:rsidP="003951BF">
            <w:pPr>
              <w:rPr>
                <w:b/>
              </w:rPr>
            </w:pPr>
            <w:r w:rsidRPr="00E002E9">
              <w:rPr>
                <w:b/>
              </w:rPr>
              <w:t>TR</w:t>
            </w:r>
          </w:p>
        </w:tc>
        <w:tc>
          <w:tcPr>
            <w:tcW w:w="0" w:type="auto"/>
          </w:tcPr>
          <w:p w:rsidR="005F5F01" w:rsidRPr="00E002E9" w:rsidRDefault="005F5F01" w:rsidP="003951BF">
            <w:pPr>
              <w:rPr>
                <w:b/>
              </w:rPr>
            </w:pPr>
            <w:r w:rsidRPr="00E002E9">
              <w:rPr>
                <w:b/>
              </w:rPr>
              <w:t>TE</w:t>
            </w:r>
          </w:p>
        </w:tc>
        <w:tc>
          <w:tcPr>
            <w:tcW w:w="0" w:type="auto"/>
          </w:tcPr>
          <w:p w:rsidR="005F5F01" w:rsidRPr="00E002E9" w:rsidRDefault="005F5F01" w:rsidP="003951BF">
            <w:pPr>
              <w:rPr>
                <w:b/>
              </w:rPr>
            </w:pPr>
            <w:r w:rsidRPr="00E002E9">
              <w:rPr>
                <w:b/>
              </w:rPr>
              <w:t>Bandwidth</w:t>
            </w:r>
          </w:p>
        </w:tc>
      </w:tr>
      <w:tr w:rsidR="005F5F01" w:rsidTr="003951BF">
        <w:tc>
          <w:tcPr>
            <w:tcW w:w="0" w:type="auto"/>
          </w:tcPr>
          <w:p w:rsidR="005F5F01" w:rsidRPr="00E002E9" w:rsidRDefault="005F5F01" w:rsidP="003951BF">
            <w:pPr>
              <w:rPr>
                <w:b/>
              </w:rPr>
            </w:pPr>
            <w:r w:rsidRPr="00E002E9">
              <w:rPr>
                <w:b/>
              </w:rPr>
              <w:t>T1 in/out</w:t>
            </w:r>
          </w:p>
        </w:tc>
        <w:tc>
          <w:tcPr>
            <w:tcW w:w="0" w:type="auto"/>
          </w:tcPr>
          <w:p w:rsidR="005F5F01" w:rsidRDefault="005F5F01" w:rsidP="003951BF">
            <w:r>
              <w:t>3D Vibe caypidixon</w:t>
            </w:r>
          </w:p>
        </w:tc>
        <w:tc>
          <w:tcPr>
            <w:tcW w:w="0" w:type="auto"/>
          </w:tcPr>
          <w:p w:rsidR="005F5F01" w:rsidRDefault="005F5F01" w:rsidP="003951BF">
            <w:r>
              <w:t>144</w:t>
            </w:r>
          </w:p>
        </w:tc>
        <w:tc>
          <w:tcPr>
            <w:tcW w:w="0" w:type="auto"/>
          </w:tcPr>
          <w:p w:rsidR="005F5F01" w:rsidRDefault="005F5F01" w:rsidP="003951BF">
            <w:r>
              <w:t>2mm</w:t>
            </w:r>
          </w:p>
        </w:tc>
        <w:tc>
          <w:tcPr>
            <w:tcW w:w="0" w:type="auto"/>
          </w:tcPr>
          <w:p w:rsidR="005F5F01" w:rsidRDefault="005F5F01" w:rsidP="003951BF">
            <w:r>
              <w:t>4.21</w:t>
            </w:r>
          </w:p>
        </w:tc>
        <w:tc>
          <w:tcPr>
            <w:tcW w:w="0" w:type="auto"/>
          </w:tcPr>
          <w:p w:rsidR="005F5F01" w:rsidRDefault="005F5F01" w:rsidP="003951BF">
            <w:r>
              <w:t>1.35/2.58</w:t>
            </w:r>
          </w:p>
        </w:tc>
        <w:tc>
          <w:tcPr>
            <w:tcW w:w="0" w:type="auto"/>
          </w:tcPr>
          <w:p w:rsidR="005F5F01" w:rsidRDefault="005F5F01" w:rsidP="003951BF">
            <w:r>
              <w:t>210</w:t>
            </w:r>
          </w:p>
        </w:tc>
      </w:tr>
      <w:tr w:rsidR="005F5F01" w:rsidTr="003951BF">
        <w:tc>
          <w:tcPr>
            <w:tcW w:w="0" w:type="auto"/>
          </w:tcPr>
          <w:p w:rsidR="005F5F01" w:rsidRPr="00E002E9" w:rsidRDefault="005F5F01" w:rsidP="003951BF">
            <w:pPr>
              <w:rPr>
                <w:b/>
                <w:lang w:val="en-US"/>
              </w:rPr>
            </w:pPr>
            <w:r w:rsidRPr="00E002E9">
              <w:rPr>
                <w:b/>
                <w:lang w:val="en-US"/>
              </w:rPr>
              <w:t>T2 axial</w:t>
            </w:r>
          </w:p>
        </w:tc>
        <w:tc>
          <w:tcPr>
            <w:tcW w:w="0" w:type="auto"/>
          </w:tcPr>
          <w:p w:rsidR="005F5F01" w:rsidRPr="00322628" w:rsidRDefault="005F5F01" w:rsidP="003951BF">
            <w:pPr>
              <w:rPr>
                <w:lang w:val="en-US"/>
              </w:rPr>
            </w:pPr>
            <w:r w:rsidRPr="00322628">
              <w:rPr>
                <w:lang w:val="en-US"/>
              </w:rPr>
              <w:t>HASTE</w:t>
            </w:r>
          </w:p>
        </w:tc>
        <w:tc>
          <w:tcPr>
            <w:tcW w:w="0" w:type="auto"/>
          </w:tcPr>
          <w:p w:rsidR="005F5F01" w:rsidRPr="00322628" w:rsidRDefault="005F5F01" w:rsidP="003951BF">
            <w:pPr>
              <w:rPr>
                <w:lang w:val="en-US"/>
              </w:rPr>
            </w:pPr>
            <w:r w:rsidRPr="00322628">
              <w:rPr>
                <w:lang w:val="en-US"/>
              </w:rPr>
              <w:t>65</w:t>
            </w:r>
          </w:p>
        </w:tc>
        <w:tc>
          <w:tcPr>
            <w:tcW w:w="0" w:type="auto"/>
          </w:tcPr>
          <w:p w:rsidR="005F5F01" w:rsidRPr="00322628" w:rsidRDefault="005F5F01" w:rsidP="003951BF">
            <w:pPr>
              <w:rPr>
                <w:lang w:val="en-US"/>
              </w:rPr>
            </w:pPr>
            <w:r w:rsidRPr="00322628">
              <w:rPr>
                <w:lang w:val="en-US"/>
              </w:rPr>
              <w:t>1.1mm</w:t>
            </w:r>
          </w:p>
        </w:tc>
        <w:tc>
          <w:tcPr>
            <w:tcW w:w="0" w:type="auto"/>
          </w:tcPr>
          <w:p w:rsidR="005F5F01" w:rsidRPr="00322628" w:rsidRDefault="005F5F01" w:rsidP="003951BF">
            <w:pPr>
              <w:rPr>
                <w:lang w:val="en-US"/>
              </w:rPr>
            </w:pPr>
            <w:r w:rsidRPr="00322628">
              <w:rPr>
                <w:lang w:val="en-US"/>
              </w:rPr>
              <w:t>1240</w:t>
            </w:r>
          </w:p>
        </w:tc>
        <w:tc>
          <w:tcPr>
            <w:tcW w:w="0" w:type="auto"/>
          </w:tcPr>
          <w:p w:rsidR="005F5F01" w:rsidRPr="00322628" w:rsidRDefault="005F5F01" w:rsidP="003951BF">
            <w:pPr>
              <w:rPr>
                <w:lang w:val="en-US"/>
              </w:rPr>
            </w:pPr>
            <w:r w:rsidRPr="00322628">
              <w:rPr>
                <w:lang w:val="en-US"/>
              </w:rPr>
              <w:t>88</w:t>
            </w:r>
          </w:p>
        </w:tc>
        <w:tc>
          <w:tcPr>
            <w:tcW w:w="0" w:type="auto"/>
          </w:tcPr>
          <w:p w:rsidR="005F5F01" w:rsidRPr="00322628" w:rsidRDefault="005F5F01" w:rsidP="003951BF">
            <w:pPr>
              <w:rPr>
                <w:lang w:val="en-US"/>
              </w:rPr>
            </w:pPr>
            <w:r w:rsidRPr="00322628">
              <w:rPr>
                <w:lang w:val="en-US"/>
              </w:rPr>
              <w:t>1184</w:t>
            </w:r>
          </w:p>
        </w:tc>
      </w:tr>
      <w:tr w:rsidR="005F5F01" w:rsidTr="003951BF">
        <w:tc>
          <w:tcPr>
            <w:tcW w:w="0" w:type="auto"/>
          </w:tcPr>
          <w:p w:rsidR="005F5F01" w:rsidRPr="00E002E9" w:rsidRDefault="005F5F01" w:rsidP="003951BF">
            <w:pPr>
              <w:rPr>
                <w:b/>
                <w:lang w:val="en-US"/>
              </w:rPr>
            </w:pPr>
            <w:r w:rsidRPr="00E002E9">
              <w:rPr>
                <w:b/>
                <w:lang w:val="en-US"/>
              </w:rPr>
              <w:t>T2 coronal</w:t>
            </w:r>
          </w:p>
        </w:tc>
        <w:tc>
          <w:tcPr>
            <w:tcW w:w="0" w:type="auto"/>
          </w:tcPr>
          <w:p w:rsidR="005F5F01" w:rsidRPr="00322628" w:rsidRDefault="005F5F01" w:rsidP="003951BF">
            <w:pPr>
              <w:rPr>
                <w:lang w:val="en-US"/>
              </w:rPr>
            </w:pPr>
            <w:r w:rsidRPr="00322628">
              <w:rPr>
                <w:lang w:val="en-US"/>
              </w:rPr>
              <w:t>HASTE</w:t>
            </w:r>
          </w:p>
        </w:tc>
        <w:tc>
          <w:tcPr>
            <w:tcW w:w="0" w:type="auto"/>
          </w:tcPr>
          <w:p w:rsidR="005F5F01" w:rsidRPr="00322628" w:rsidRDefault="005F5F01" w:rsidP="003951BF">
            <w:pPr>
              <w:rPr>
                <w:lang w:val="en-US"/>
              </w:rPr>
            </w:pPr>
            <w:r w:rsidRPr="00322628">
              <w:rPr>
                <w:lang w:val="en-US"/>
              </w:rPr>
              <w:t>25</w:t>
            </w:r>
          </w:p>
        </w:tc>
        <w:tc>
          <w:tcPr>
            <w:tcW w:w="0" w:type="auto"/>
          </w:tcPr>
          <w:p w:rsidR="005F5F01" w:rsidRPr="00322628" w:rsidRDefault="005F5F01" w:rsidP="003951BF">
            <w:pPr>
              <w:rPr>
                <w:lang w:val="en-US"/>
              </w:rPr>
            </w:pPr>
            <w:r w:rsidRPr="00322628">
              <w:rPr>
                <w:lang w:val="en-US"/>
              </w:rPr>
              <w:t>4mm</w:t>
            </w:r>
          </w:p>
        </w:tc>
        <w:tc>
          <w:tcPr>
            <w:tcW w:w="0" w:type="auto"/>
          </w:tcPr>
          <w:p w:rsidR="005F5F01" w:rsidRPr="00322628" w:rsidRDefault="005F5F01" w:rsidP="003951BF">
            <w:pPr>
              <w:rPr>
                <w:lang w:val="en-US"/>
              </w:rPr>
            </w:pPr>
            <w:r w:rsidRPr="00322628">
              <w:rPr>
                <w:lang w:val="en-US"/>
              </w:rPr>
              <w:t>1240</w:t>
            </w:r>
          </w:p>
        </w:tc>
        <w:tc>
          <w:tcPr>
            <w:tcW w:w="0" w:type="auto"/>
          </w:tcPr>
          <w:p w:rsidR="005F5F01" w:rsidRPr="00322628" w:rsidRDefault="005F5F01" w:rsidP="003951BF">
            <w:pPr>
              <w:rPr>
                <w:lang w:val="en-US"/>
              </w:rPr>
            </w:pPr>
            <w:r w:rsidRPr="00322628">
              <w:rPr>
                <w:lang w:val="en-US"/>
              </w:rPr>
              <w:t>88</w:t>
            </w:r>
          </w:p>
        </w:tc>
        <w:tc>
          <w:tcPr>
            <w:tcW w:w="0" w:type="auto"/>
          </w:tcPr>
          <w:p w:rsidR="005F5F01" w:rsidRPr="00322628" w:rsidRDefault="005F5F01" w:rsidP="003951BF">
            <w:pPr>
              <w:rPr>
                <w:lang w:val="en-US"/>
              </w:rPr>
            </w:pPr>
            <w:r w:rsidRPr="00322628">
              <w:rPr>
                <w:lang w:val="en-US"/>
              </w:rPr>
              <w:t>1184</w:t>
            </w:r>
          </w:p>
        </w:tc>
      </w:tr>
      <w:tr w:rsidR="005F5F01" w:rsidTr="003951BF">
        <w:tc>
          <w:tcPr>
            <w:tcW w:w="0" w:type="auto"/>
          </w:tcPr>
          <w:p w:rsidR="005F5F01" w:rsidRPr="00E002E9" w:rsidRDefault="005F5F01" w:rsidP="003951BF">
            <w:pPr>
              <w:rPr>
                <w:b/>
                <w:lang w:val="en-US"/>
              </w:rPr>
            </w:pPr>
            <w:r w:rsidRPr="00E002E9">
              <w:rPr>
                <w:b/>
                <w:lang w:val="en-US"/>
              </w:rPr>
              <w:t>T2 sagittal</w:t>
            </w:r>
          </w:p>
        </w:tc>
        <w:tc>
          <w:tcPr>
            <w:tcW w:w="0" w:type="auto"/>
          </w:tcPr>
          <w:p w:rsidR="005F5F01" w:rsidRPr="00322628" w:rsidRDefault="005F5F01" w:rsidP="003951BF">
            <w:pPr>
              <w:rPr>
                <w:lang w:val="en-US"/>
              </w:rPr>
            </w:pPr>
            <w:r w:rsidRPr="00322628">
              <w:rPr>
                <w:lang w:val="en-US"/>
              </w:rPr>
              <w:t>HASTE</w:t>
            </w:r>
          </w:p>
        </w:tc>
        <w:tc>
          <w:tcPr>
            <w:tcW w:w="0" w:type="auto"/>
          </w:tcPr>
          <w:p w:rsidR="005F5F01" w:rsidRPr="00322628" w:rsidRDefault="005F5F01" w:rsidP="003951BF">
            <w:pPr>
              <w:rPr>
                <w:lang w:val="en-US"/>
              </w:rPr>
            </w:pPr>
            <w:r w:rsidRPr="00322628">
              <w:rPr>
                <w:lang w:val="en-US"/>
              </w:rPr>
              <w:t>25</w:t>
            </w:r>
          </w:p>
        </w:tc>
        <w:tc>
          <w:tcPr>
            <w:tcW w:w="0" w:type="auto"/>
          </w:tcPr>
          <w:p w:rsidR="005F5F01" w:rsidRPr="00322628" w:rsidRDefault="005F5F01" w:rsidP="003951BF">
            <w:pPr>
              <w:rPr>
                <w:lang w:val="en-US"/>
              </w:rPr>
            </w:pPr>
            <w:r w:rsidRPr="00322628">
              <w:rPr>
                <w:lang w:val="en-US"/>
              </w:rPr>
              <w:t>4mm</w:t>
            </w:r>
          </w:p>
        </w:tc>
        <w:tc>
          <w:tcPr>
            <w:tcW w:w="0" w:type="auto"/>
          </w:tcPr>
          <w:p w:rsidR="005F5F01" w:rsidRPr="00322628" w:rsidRDefault="005F5F01" w:rsidP="003951BF">
            <w:pPr>
              <w:rPr>
                <w:lang w:val="en-US"/>
              </w:rPr>
            </w:pPr>
            <w:r w:rsidRPr="00322628">
              <w:rPr>
                <w:lang w:val="en-US"/>
              </w:rPr>
              <w:t>1240</w:t>
            </w:r>
          </w:p>
        </w:tc>
        <w:tc>
          <w:tcPr>
            <w:tcW w:w="0" w:type="auto"/>
          </w:tcPr>
          <w:p w:rsidR="005F5F01" w:rsidRPr="00322628" w:rsidRDefault="005F5F01" w:rsidP="003951BF">
            <w:pPr>
              <w:rPr>
                <w:lang w:val="en-US"/>
              </w:rPr>
            </w:pPr>
            <w:r w:rsidRPr="00322628">
              <w:rPr>
                <w:lang w:val="en-US"/>
              </w:rPr>
              <w:t>88</w:t>
            </w:r>
          </w:p>
        </w:tc>
        <w:tc>
          <w:tcPr>
            <w:tcW w:w="0" w:type="auto"/>
          </w:tcPr>
          <w:p w:rsidR="005F5F01" w:rsidRPr="00322628" w:rsidRDefault="005F5F01" w:rsidP="003951BF">
            <w:pPr>
              <w:rPr>
                <w:lang w:val="en-US"/>
              </w:rPr>
            </w:pPr>
            <w:r w:rsidRPr="00322628">
              <w:rPr>
                <w:lang w:val="en-US"/>
              </w:rPr>
              <w:t>1184</w:t>
            </w:r>
          </w:p>
        </w:tc>
      </w:tr>
      <w:tr w:rsidR="005F5F01" w:rsidTr="003951BF">
        <w:tc>
          <w:tcPr>
            <w:tcW w:w="0" w:type="auto"/>
          </w:tcPr>
          <w:p w:rsidR="005F5F01" w:rsidRPr="00E002E9" w:rsidRDefault="005F5F01" w:rsidP="003951BF">
            <w:pPr>
              <w:rPr>
                <w:b/>
                <w:lang w:val="en-US"/>
              </w:rPr>
            </w:pPr>
            <w:r w:rsidRPr="00E002E9">
              <w:rPr>
                <w:b/>
                <w:lang w:val="en-US"/>
              </w:rPr>
              <w:t>T1 fat sat</w:t>
            </w:r>
          </w:p>
        </w:tc>
        <w:tc>
          <w:tcPr>
            <w:tcW w:w="0" w:type="auto"/>
          </w:tcPr>
          <w:p w:rsidR="005F5F01" w:rsidRPr="00322628" w:rsidRDefault="005F5F01" w:rsidP="003951BF">
            <w:pPr>
              <w:rPr>
                <w:lang w:val="en-US"/>
              </w:rPr>
            </w:pPr>
            <w:r w:rsidRPr="00322628">
              <w:rPr>
                <w:lang w:val="en-US"/>
              </w:rPr>
              <w:t>3D vibe caypidixon</w:t>
            </w:r>
          </w:p>
        </w:tc>
        <w:tc>
          <w:tcPr>
            <w:tcW w:w="0" w:type="auto"/>
          </w:tcPr>
          <w:p w:rsidR="005F5F01" w:rsidRPr="00322628" w:rsidRDefault="005F5F01" w:rsidP="003951BF">
            <w:pPr>
              <w:rPr>
                <w:lang w:val="en-US"/>
              </w:rPr>
            </w:pPr>
            <w:r w:rsidRPr="00322628">
              <w:rPr>
                <w:lang w:val="en-US"/>
              </w:rPr>
              <w:t>144</w:t>
            </w:r>
          </w:p>
        </w:tc>
        <w:tc>
          <w:tcPr>
            <w:tcW w:w="0" w:type="auto"/>
          </w:tcPr>
          <w:p w:rsidR="005F5F01" w:rsidRPr="00322628" w:rsidRDefault="005F5F01" w:rsidP="003951BF">
            <w:pPr>
              <w:rPr>
                <w:lang w:val="en-US"/>
              </w:rPr>
            </w:pPr>
            <w:r w:rsidRPr="00322628">
              <w:rPr>
                <w:lang w:val="en-US"/>
              </w:rPr>
              <w:t>2mm</w:t>
            </w:r>
          </w:p>
        </w:tc>
        <w:tc>
          <w:tcPr>
            <w:tcW w:w="0" w:type="auto"/>
          </w:tcPr>
          <w:p w:rsidR="005F5F01" w:rsidRPr="00322628" w:rsidRDefault="005F5F01" w:rsidP="003951BF">
            <w:pPr>
              <w:rPr>
                <w:lang w:val="en-US"/>
              </w:rPr>
            </w:pPr>
            <w:r>
              <w:t>4.21</w:t>
            </w:r>
          </w:p>
        </w:tc>
        <w:tc>
          <w:tcPr>
            <w:tcW w:w="0" w:type="auto"/>
          </w:tcPr>
          <w:p w:rsidR="005F5F01" w:rsidRPr="00322628" w:rsidRDefault="005F5F01" w:rsidP="003951BF">
            <w:pPr>
              <w:rPr>
                <w:lang w:val="en-US"/>
              </w:rPr>
            </w:pPr>
            <w:r>
              <w:t>1.35/2.58</w:t>
            </w:r>
          </w:p>
        </w:tc>
        <w:tc>
          <w:tcPr>
            <w:tcW w:w="0" w:type="auto"/>
          </w:tcPr>
          <w:p w:rsidR="005F5F01" w:rsidRPr="00322628" w:rsidRDefault="005F5F01" w:rsidP="003951BF">
            <w:pPr>
              <w:rPr>
                <w:lang w:val="en-US"/>
              </w:rPr>
            </w:pPr>
            <w:r w:rsidRPr="00322628">
              <w:rPr>
                <w:lang w:val="en-US"/>
              </w:rPr>
              <w:t>210</w:t>
            </w:r>
          </w:p>
        </w:tc>
      </w:tr>
      <w:tr w:rsidR="005F5F01" w:rsidTr="003951BF">
        <w:tc>
          <w:tcPr>
            <w:tcW w:w="0" w:type="auto"/>
          </w:tcPr>
          <w:p w:rsidR="005F5F01" w:rsidRPr="00E002E9" w:rsidRDefault="005F5F01" w:rsidP="003951BF">
            <w:pPr>
              <w:rPr>
                <w:b/>
                <w:lang w:val="en-US"/>
              </w:rPr>
            </w:pPr>
            <w:r w:rsidRPr="00E002E9">
              <w:rPr>
                <w:b/>
                <w:lang w:val="en-US"/>
              </w:rPr>
              <w:t>T2 fat sat</w:t>
            </w:r>
          </w:p>
        </w:tc>
        <w:tc>
          <w:tcPr>
            <w:tcW w:w="0" w:type="auto"/>
          </w:tcPr>
          <w:p w:rsidR="005F5F01" w:rsidRPr="00322628" w:rsidRDefault="005F5F01" w:rsidP="003951BF">
            <w:pPr>
              <w:rPr>
                <w:lang w:val="en-US"/>
              </w:rPr>
            </w:pPr>
          </w:p>
        </w:tc>
        <w:tc>
          <w:tcPr>
            <w:tcW w:w="0" w:type="auto"/>
          </w:tcPr>
          <w:p w:rsidR="005F5F01" w:rsidRPr="00322628" w:rsidRDefault="005F5F01" w:rsidP="003951BF">
            <w:pPr>
              <w:rPr>
                <w:lang w:val="en-US"/>
              </w:rPr>
            </w:pPr>
            <w:r w:rsidRPr="00322628">
              <w:rPr>
                <w:lang w:val="en-US"/>
              </w:rPr>
              <w:t>35</w:t>
            </w:r>
          </w:p>
        </w:tc>
        <w:tc>
          <w:tcPr>
            <w:tcW w:w="0" w:type="auto"/>
          </w:tcPr>
          <w:p w:rsidR="005F5F01" w:rsidRPr="00322628" w:rsidRDefault="005F5F01" w:rsidP="003951BF">
            <w:pPr>
              <w:rPr>
                <w:lang w:val="en-US"/>
              </w:rPr>
            </w:pPr>
            <w:r w:rsidRPr="00322628">
              <w:rPr>
                <w:lang w:val="en-US"/>
              </w:rPr>
              <w:t>4mm</w:t>
            </w:r>
          </w:p>
        </w:tc>
        <w:tc>
          <w:tcPr>
            <w:tcW w:w="0" w:type="auto"/>
          </w:tcPr>
          <w:p w:rsidR="005F5F01" w:rsidRPr="00322628" w:rsidRDefault="005F5F01" w:rsidP="003951BF">
            <w:pPr>
              <w:rPr>
                <w:lang w:val="en-US"/>
              </w:rPr>
            </w:pPr>
            <w:r w:rsidRPr="00322628">
              <w:rPr>
                <w:lang w:val="en-US"/>
              </w:rPr>
              <w:t>2500</w:t>
            </w:r>
          </w:p>
        </w:tc>
        <w:tc>
          <w:tcPr>
            <w:tcW w:w="0" w:type="auto"/>
          </w:tcPr>
          <w:p w:rsidR="005F5F01" w:rsidRPr="00322628" w:rsidRDefault="005F5F01" w:rsidP="003951BF">
            <w:pPr>
              <w:rPr>
                <w:lang w:val="en-US"/>
              </w:rPr>
            </w:pPr>
            <w:r w:rsidRPr="00322628">
              <w:rPr>
                <w:lang w:val="en-US"/>
              </w:rPr>
              <w:t>80</w:t>
            </w:r>
          </w:p>
        </w:tc>
        <w:tc>
          <w:tcPr>
            <w:tcW w:w="0" w:type="auto"/>
          </w:tcPr>
          <w:p w:rsidR="005F5F01" w:rsidRPr="00322628" w:rsidRDefault="005F5F01" w:rsidP="003951BF">
            <w:pPr>
              <w:rPr>
                <w:lang w:val="en-US"/>
              </w:rPr>
            </w:pPr>
            <w:r w:rsidRPr="00322628">
              <w:rPr>
                <w:lang w:val="en-US"/>
              </w:rPr>
              <w:t>254</w:t>
            </w:r>
          </w:p>
        </w:tc>
      </w:tr>
    </w:tbl>
    <w:p w:rsidR="005F5F01" w:rsidRPr="00E002E9" w:rsidRDefault="005F5F01" w:rsidP="005F5F01">
      <w:pPr>
        <w:rPr>
          <w:b/>
        </w:rPr>
      </w:pPr>
      <w:r w:rsidRPr="00B15148">
        <w:rPr>
          <w:b/>
        </w:rPr>
        <w:t>TE, echo time; TR, repetition time</w:t>
      </w:r>
    </w:p>
    <w:p w:rsidR="005F5F01" w:rsidRDefault="005F5F01" w:rsidP="005F5F01">
      <w:pPr>
        <w:spacing w:after="0" w:line="240" w:lineRule="auto"/>
        <w:rPr>
          <w:rFonts w:cs="Arial"/>
        </w:rPr>
      </w:pPr>
      <w:r>
        <w:rPr>
          <w:rFonts w:cs="Arial"/>
        </w:rPr>
        <w:br w:type="page"/>
      </w:r>
    </w:p>
    <w:p w:rsidR="005F5F01" w:rsidRPr="00EB38E8" w:rsidRDefault="005F5F01" w:rsidP="005F5F01">
      <w:pPr>
        <w:tabs>
          <w:tab w:val="left" w:pos="1200"/>
        </w:tabs>
        <w:rPr>
          <w:rFonts w:cs="Arial"/>
          <w:b/>
        </w:rPr>
      </w:pPr>
      <w:r w:rsidRPr="00EB38E8">
        <w:rPr>
          <w:rFonts w:cs="Arial"/>
          <w:b/>
        </w:rPr>
        <w:lastRenderedPageBreak/>
        <w:t>Supplementary information on genetic testing</w:t>
      </w:r>
    </w:p>
    <w:p w:rsidR="005F5F01" w:rsidRPr="000C1947" w:rsidRDefault="005F5F01" w:rsidP="005F5F01">
      <w:pPr>
        <w:pStyle w:val="Textosinformato"/>
        <w:spacing w:after="120" w:line="360" w:lineRule="auto"/>
        <w:rPr>
          <w:rFonts w:ascii="Arial" w:hAnsi="Arial" w:cs="Arial"/>
          <w:b/>
          <w:sz w:val="22"/>
          <w:szCs w:val="22"/>
        </w:rPr>
      </w:pPr>
      <w:r w:rsidRPr="000C1947">
        <w:rPr>
          <w:rFonts w:ascii="Arial" w:eastAsia="Times New Roman" w:hAnsi="Arial" w:cs="Arial"/>
          <w:sz w:val="22"/>
          <w:szCs w:val="22"/>
          <w:lang w:eastAsia="es-ES"/>
        </w:rPr>
        <w:t xml:space="preserve">Genetic testing was performed by targeted next-generation sequencing of </w:t>
      </w:r>
      <w:r w:rsidRPr="000C1947">
        <w:rPr>
          <w:rFonts w:ascii="Arial" w:eastAsia="Times New Roman" w:hAnsi="Arial" w:cs="Arial"/>
          <w:i/>
          <w:sz w:val="22"/>
          <w:szCs w:val="22"/>
          <w:lang w:eastAsia="es-ES"/>
        </w:rPr>
        <w:t>PKD1</w:t>
      </w:r>
      <w:r w:rsidRPr="000C1947">
        <w:rPr>
          <w:rFonts w:ascii="Arial" w:eastAsia="Times New Roman" w:hAnsi="Arial" w:cs="Arial"/>
          <w:sz w:val="22"/>
          <w:szCs w:val="22"/>
          <w:lang w:eastAsia="es-ES"/>
        </w:rPr>
        <w:t xml:space="preserve"> and </w:t>
      </w:r>
      <w:r w:rsidRPr="000C1947">
        <w:rPr>
          <w:rFonts w:ascii="Arial" w:eastAsia="Times New Roman" w:hAnsi="Arial" w:cs="Arial"/>
          <w:i/>
          <w:sz w:val="22"/>
          <w:szCs w:val="22"/>
          <w:lang w:eastAsia="es-ES"/>
        </w:rPr>
        <w:t>PKD2</w:t>
      </w:r>
      <w:r w:rsidRPr="000C1947">
        <w:rPr>
          <w:rFonts w:ascii="Arial" w:eastAsia="Times New Roman" w:hAnsi="Arial" w:cs="Arial"/>
          <w:sz w:val="22"/>
          <w:szCs w:val="22"/>
          <w:lang w:eastAsia="es-ES"/>
        </w:rPr>
        <w:t xml:space="preserve">, </w:t>
      </w:r>
      <w:r w:rsidRPr="00EB38E8">
        <w:rPr>
          <w:rFonts w:ascii="Arial" w:eastAsia="Times New Roman" w:hAnsi="Arial" w:cs="Arial"/>
          <w:sz w:val="22"/>
          <w:szCs w:val="22"/>
          <w:lang w:eastAsia="es-ES"/>
        </w:rPr>
        <w:t>as previously described</w:t>
      </w:r>
      <w:r>
        <w:rPr>
          <w:rFonts w:ascii="Arial" w:eastAsia="Times New Roman" w:hAnsi="Arial" w:cs="Arial"/>
          <w:sz w:val="22"/>
          <w:szCs w:val="22"/>
          <w:lang w:eastAsia="es-ES"/>
        </w:rPr>
        <w:t xml:space="preserve"> </w:t>
      </w:r>
      <w:r w:rsidR="001558D8" w:rsidRPr="000C1947">
        <w:rPr>
          <w:rFonts w:ascii="Arial" w:eastAsia="Times New Roman" w:hAnsi="Arial" w:cs="Arial"/>
          <w:sz w:val="22"/>
          <w:szCs w:val="22"/>
          <w:lang w:eastAsia="es-ES"/>
        </w:rPr>
        <w:fldChar w:fldCharType="begin" w:fldLock="1"/>
      </w:r>
      <w:r>
        <w:rPr>
          <w:rFonts w:ascii="Arial" w:eastAsia="Times New Roman" w:hAnsi="Arial" w:cs="Arial"/>
          <w:sz w:val="22"/>
          <w:szCs w:val="22"/>
          <w:lang w:eastAsia="es-ES"/>
        </w:rPr>
        <w:instrText>ADDIN CSL_CITATION { "citationItems" : [ { "id" : "ITEM-1", "itemData" : { "DOI" : "10.1002/mgg3.82", "ISBN" : "3493416970", "ISSN" : "2324-9269", "PMID" : "25333066", "abstract" : "Molecular diagnostics of autosomal dominant polycystic kidney disease (ADPKD) relies on mutation screening of PKD1 and PKD2, which is complicated by extensive allelic heterogeneity and the presence of six highly homologous sequences of PKD1. To date, specific sequencing of PKD1 requires laborious long-range amplifications. The high cost and long turnaround time of PKD1 and PKD2 mutation analysis using conventional techniques limits its widespread application in clinical settings. We performed targeted next-generation sequencing (NGS) of PKD1 and PKD2. Pooled barcoded DNA patient libraries were enriched by in-solution hybridization with PKD1 and PKD2 capture probes. Bioinformatics analysis was performed using an in-house developed pipeline. We validated the assay in a cohort of 36 patients with previously known PKD1 and PKD2 mutations and five control individuals. Then, we used the same assay and bioinformatics analysis in a discovery cohort of 12 uncharacterized patients. We detected 35 out of 36 known definitely, highly likely, and likely pathogenic mutations in the validation cohort, including two large deletions. In the discovery cohort, we detected 11 different pathogenic mutations in 10 out of 12 patients. This study demonstrates that laborious long-range PCRs of the repeated PKD1 region can be avoided by in-solution enrichment of PKD1 and PKD2 and NGS. This strategy significantly reduces the cost and time for simultaneous PKD1 and PKD2 sequence analysis, facilitating routine genetic diagnostics of ADPKD.", "author" : [ { "dropping-particle" : "", "family" : "Trujillano", "given" : "Daniel", "non-dropping-particle" : "", "parse-names" : false, "suffix" : "" }, { "dropping-particle" : "", "family" : "Bullich", "given" : "Gemma", "non-dropping-particle" : "", "parse-names" : false, "suffix" : "" }, { "dropping-particle" : "", "family" : "Ossowski", "given" : "Stephan", "non-dropping-particle" : "", "parse-names" : false, "suffix" : "" }, { "dropping-particle" : "", "family" : "Ballar\u00edn", "given" : "Jos\u00e9", "non-dropping-particle" : "", "parse-names" : false, "suffix" : "" }, { "dropping-particle" : "", "family" : "Torra", "given" : "Roser", "non-dropping-particle" : "", "parse-names" : false, "suffix" : "" }, { "dropping-particle" : "", "family" : "Estivill", "given" : "Xavier", "non-dropping-particle" : "", "parse-names" : false, "suffix" : "" }, { "dropping-particle" : "", "family" : "Ars", "given" : "Elisabet", "non-dropping-particle" : "", "parse-names" : false, "suffix" : "" } ], "container-title" : "&lt;i&gt;Molecular Genetics &amp; Genomic Medicine&lt;/i&gt;", "id" : "ITEM-1", "issue" : "5", "issued" : { "date-parts" : [ [ "2014" ] ] }, "page" : "412-21", "title" : "Diagnosis of autosomal dominant polycystic kidney disease using efficient PKD1 and PKD2 targeted next-generation sequencing.", "type" : "article-journal", "volume" : "2" }, "uris" : [ "http://www.mendeley.com/documents/?uuid=9391ffc3-6d81-4c0c-97c9-8650a8c6b87e" ] } ], "mendeley" : { "formattedCitation" : "(24)", "plainTextFormattedCitation" : "(24)", "previouslyFormattedCitation" : "(24)" }, "properties" : {  }, "schema" : "https://github.com/citation-style-language/schema/raw/master/csl-citation.json" }</w:instrText>
      </w:r>
      <w:r w:rsidR="001558D8" w:rsidRPr="000C1947">
        <w:rPr>
          <w:rFonts w:ascii="Arial" w:eastAsia="Times New Roman" w:hAnsi="Arial" w:cs="Arial"/>
          <w:sz w:val="22"/>
          <w:szCs w:val="22"/>
          <w:lang w:eastAsia="es-ES"/>
        </w:rPr>
        <w:fldChar w:fldCharType="separate"/>
      </w:r>
      <w:r w:rsidRPr="003811A2">
        <w:rPr>
          <w:rFonts w:ascii="Arial" w:eastAsia="Times New Roman" w:hAnsi="Arial" w:cs="Arial"/>
          <w:noProof/>
          <w:sz w:val="22"/>
          <w:szCs w:val="22"/>
          <w:lang w:eastAsia="es-ES"/>
        </w:rPr>
        <w:t>(24)</w:t>
      </w:r>
      <w:r w:rsidR="001558D8" w:rsidRPr="000C1947">
        <w:rPr>
          <w:rFonts w:ascii="Arial" w:eastAsia="Times New Roman" w:hAnsi="Arial" w:cs="Arial"/>
          <w:sz w:val="22"/>
          <w:szCs w:val="22"/>
          <w:lang w:eastAsia="es-ES"/>
        </w:rPr>
        <w:fldChar w:fldCharType="end"/>
      </w:r>
      <w:r w:rsidRPr="000C1947">
        <w:rPr>
          <w:rFonts w:ascii="Arial" w:eastAsia="Times New Roman" w:hAnsi="Arial" w:cs="Arial"/>
          <w:sz w:val="22"/>
          <w:szCs w:val="22"/>
          <w:lang w:eastAsia="es-ES"/>
        </w:rPr>
        <w:t xml:space="preserve">. </w:t>
      </w:r>
      <w:r w:rsidRPr="00EB38E8">
        <w:rPr>
          <w:rFonts w:ascii="Arial" w:eastAsia="Times New Roman" w:hAnsi="Arial" w:cs="Arial"/>
          <w:sz w:val="22"/>
          <w:szCs w:val="22"/>
          <w:lang w:eastAsia="es-ES"/>
        </w:rPr>
        <w:t xml:space="preserve">Briefly, capture enrichment of </w:t>
      </w:r>
      <w:r w:rsidRPr="00EB38E8">
        <w:rPr>
          <w:rFonts w:ascii="Arial" w:eastAsia="Times New Roman" w:hAnsi="Arial" w:cs="Arial"/>
          <w:i/>
          <w:sz w:val="22"/>
          <w:szCs w:val="22"/>
          <w:lang w:eastAsia="es-ES"/>
        </w:rPr>
        <w:t>PKD1</w:t>
      </w:r>
      <w:r w:rsidRPr="00EB38E8">
        <w:rPr>
          <w:rFonts w:ascii="Arial" w:eastAsia="Times New Roman" w:hAnsi="Arial" w:cs="Arial"/>
          <w:sz w:val="22"/>
          <w:szCs w:val="22"/>
          <w:lang w:eastAsia="es-ES"/>
        </w:rPr>
        <w:t xml:space="preserve"> and </w:t>
      </w:r>
      <w:r w:rsidRPr="00EB38E8">
        <w:rPr>
          <w:rFonts w:ascii="Arial" w:eastAsia="Times New Roman" w:hAnsi="Arial" w:cs="Arial"/>
          <w:i/>
          <w:sz w:val="22"/>
          <w:szCs w:val="22"/>
          <w:lang w:eastAsia="es-ES"/>
        </w:rPr>
        <w:t>PKD2</w:t>
      </w:r>
      <w:r w:rsidRPr="00EB38E8">
        <w:rPr>
          <w:rFonts w:ascii="Arial" w:eastAsia="Times New Roman" w:hAnsi="Arial" w:cs="Arial"/>
          <w:sz w:val="22"/>
          <w:szCs w:val="22"/>
          <w:lang w:eastAsia="es-ES"/>
        </w:rPr>
        <w:t xml:space="preserve"> genomic regions was performed using </w:t>
      </w:r>
      <w:r>
        <w:rPr>
          <w:rFonts w:ascii="Arial" w:eastAsia="Times New Roman" w:hAnsi="Arial" w:cs="Arial"/>
          <w:sz w:val="22"/>
          <w:szCs w:val="22"/>
          <w:lang w:eastAsia="es-ES"/>
        </w:rPr>
        <w:t>c</w:t>
      </w:r>
      <w:r w:rsidRPr="00EB38E8">
        <w:rPr>
          <w:rFonts w:ascii="Arial" w:eastAsia="Times New Roman" w:hAnsi="Arial" w:cs="Arial"/>
          <w:sz w:val="22"/>
          <w:szCs w:val="22"/>
          <w:lang w:eastAsia="es-ES"/>
        </w:rPr>
        <w:t xml:space="preserve">ustom </w:t>
      </w:r>
      <w:r>
        <w:rPr>
          <w:rFonts w:ascii="Arial" w:eastAsia="Times New Roman" w:hAnsi="Arial" w:cs="Arial"/>
          <w:sz w:val="22"/>
          <w:szCs w:val="22"/>
          <w:lang w:eastAsia="es-ES"/>
        </w:rPr>
        <w:t xml:space="preserve">NimbleGen </w:t>
      </w:r>
      <w:r w:rsidRPr="00EB38E8">
        <w:rPr>
          <w:rFonts w:ascii="Arial" w:eastAsia="Times New Roman" w:hAnsi="Arial" w:cs="Arial"/>
          <w:sz w:val="22"/>
          <w:szCs w:val="22"/>
          <w:lang w:eastAsia="es-ES"/>
        </w:rPr>
        <w:t xml:space="preserve">SeqCap EZ </w:t>
      </w:r>
      <w:r>
        <w:rPr>
          <w:rFonts w:ascii="Arial" w:eastAsia="Times New Roman" w:hAnsi="Arial" w:cs="Arial"/>
          <w:sz w:val="22"/>
          <w:szCs w:val="22"/>
          <w:lang w:eastAsia="es-ES"/>
        </w:rPr>
        <w:t>Developer Libray</w:t>
      </w:r>
      <w:r w:rsidRPr="00EB38E8">
        <w:rPr>
          <w:rFonts w:ascii="Arial" w:eastAsia="Times New Roman" w:hAnsi="Arial" w:cs="Arial"/>
          <w:sz w:val="22"/>
          <w:szCs w:val="22"/>
          <w:lang w:eastAsia="es-ES"/>
        </w:rPr>
        <w:t xml:space="preserve"> (</w:t>
      </w:r>
      <w:r w:rsidRPr="007F38E9">
        <w:rPr>
          <w:rFonts w:ascii="Arial" w:eastAsia="Times New Roman" w:hAnsi="Arial" w:cs="Arial"/>
          <w:sz w:val="22"/>
          <w:szCs w:val="22"/>
          <w:lang w:eastAsia="es-ES"/>
        </w:rPr>
        <w:t>Roche NimbleGen; Madison, WI, USA</w:t>
      </w:r>
      <w:r w:rsidRPr="00EB38E8">
        <w:rPr>
          <w:rFonts w:ascii="Arial" w:eastAsia="Times New Roman" w:hAnsi="Arial" w:cs="Arial"/>
          <w:sz w:val="22"/>
          <w:szCs w:val="22"/>
          <w:lang w:eastAsia="es-ES"/>
        </w:rPr>
        <w:t xml:space="preserve">) and sequenced on a HiSeq instrument (Illumina). Data analysis was performed using open source in-house pipeline. Analysis of copy number variants (CNVs) was performed using the CONTRA tool </w:t>
      </w:r>
      <w:r w:rsidR="001558D8" w:rsidRPr="00EB38E8">
        <w:rPr>
          <w:rFonts w:ascii="Arial" w:eastAsia="Times New Roman" w:hAnsi="Arial" w:cs="Arial"/>
          <w:sz w:val="22"/>
          <w:szCs w:val="22"/>
          <w:lang w:eastAsia="es-ES"/>
        </w:rPr>
        <w:fldChar w:fldCharType="begin" w:fldLock="1"/>
      </w:r>
      <w:r>
        <w:rPr>
          <w:rFonts w:ascii="Arial" w:eastAsia="Times New Roman" w:hAnsi="Arial" w:cs="Arial"/>
          <w:sz w:val="22"/>
          <w:szCs w:val="22"/>
          <w:lang w:eastAsia="es-ES"/>
        </w:rPr>
        <w:instrText>ADDIN CSL_CITATION { "citationItems" : [ { "id" : "ITEM-1", "itemData" : { "DOI" : "10.1093/bioinformatics/bts146", "ISBN" : "1367-4811 (Electronic)\\r1367-4803 (Linking)", "ISSN" : "13674803", "PMID" : "22474122", "abstract" : "MOTIVATION: In light of the increasing adoption of targeted resequencing (TR) as a cost-effective strategy to identify disease-causing variants, a robust method for copy number variation (CNV) analysis is needed to maximize the value of this promising technology.\\n\\nRESULTS: We present a method for CNV detection for TR data, including whole-exome capture data. Our method calls copy number gains and losses for each target region based on normalized depth of coverage. Our key strategies include the use of base-level log-ratios to remove GC-content bias, correction for an imbalanced library size effect on log-ratios, and the estimation of log-ratio variations via binning and interpolation. Our methods are made available via CONTRA (COpy Number Targeted Resequencing Analysis), a software package that takes standard alignment formats (BAM/SAM) and outputs in variant call format (VCF4.0), for easy integration with other next-generation sequencing analysis packages. We assessed our methods using samples from seven different target enrichment assays, and evaluated our results using simulated data and real germline data with known CNV genotypes.", "author" : [ { "dropping-particle" : "", "family" : "Li", "given" : "Jason", "non-dropping-particle" : "", "parse-names" : false, "suffix" : "" }, { "dropping-particle" : "", "family" : "Lupat", "given" : "Richard", "non-dropping-particle" : "", "parse-names" : false, "suffix" : "" }, { "dropping-particle" : "", "family" : "Amarasinghe", "given" : "Kaushalya C.", "non-dropping-particle" : "", "parse-names" : false, "suffix" : "" }, { "dropping-particle" : "", "family" : "Thompson", "given" : "Ella R.", "non-dropping-particle" : "", "parse-names" : false, "suffix" : "" }, { "dropping-particle" : "", "family" : "Doyle", "given" : "Maria A.", "non-dropping-particle" : "", "parse-names" : false, "suffix" : "" }, { "dropping-particle" : "", "family" : "Ryland", "given" : "Georgina L.", "non-dropping-particle" : "", "parse-names" : false, "suffix" : "" }, { "dropping-particle" : "", "family" : "Tothill", "given" : "Richard W.", "non-dropping-particle" : "", "parse-names" : false, "suffix" : "" }, { "dropping-particle" : "", "family" : "Halgamuge", "given" : "Saman K.", "non-dropping-particle" : "", "parse-names" : false, "suffix" : "" }, { "dropping-particle" : "", "family" : "Campbell", "given" : "Ian G.", "non-dropping-particle" : "", "parse-names" : false, "suffix" : "" }, { "dropping-particle" : "", "family" : "Gorringe", "given" : "Kylie L.", "non-dropping-particle" : "", "parse-names" : false, "suffix" : "" } ], "container-title" : "&lt;i&gt;Bioinformatics&lt;/i&gt;", "id" : "ITEM-1", "issue" : "10", "issued" : { "date-parts" : [ [ "2012" ] ] }, "page" : "1307-1313", "title" : "CONTRA: Copy number analysis for targeted resequencing", "type" : "article-journal", "volume" : "28" }, "uris" : [ "http://www.mendeley.com/documents/?uuid=95bfba8c-605d-427c-a51e-7b027e259ce9" ] } ], "mendeley" : { "formattedCitation" : "(28)", "plainTextFormattedCitation" : "(28)", "previouslyFormattedCitation" : "(28)" }, "properties" : {  }, "schema" : "https://github.com/citation-style-language/schema/raw/master/csl-citation.json" }</w:instrText>
      </w:r>
      <w:r w:rsidR="001558D8" w:rsidRPr="00EB38E8">
        <w:rPr>
          <w:rFonts w:ascii="Arial" w:eastAsia="Times New Roman" w:hAnsi="Arial" w:cs="Arial"/>
          <w:sz w:val="22"/>
          <w:szCs w:val="22"/>
          <w:lang w:eastAsia="es-ES"/>
        </w:rPr>
        <w:fldChar w:fldCharType="separate"/>
      </w:r>
      <w:r w:rsidRPr="003811A2">
        <w:rPr>
          <w:rFonts w:ascii="Arial" w:eastAsia="Times New Roman" w:hAnsi="Arial" w:cs="Arial"/>
          <w:noProof/>
          <w:sz w:val="22"/>
          <w:szCs w:val="22"/>
          <w:lang w:eastAsia="es-ES"/>
        </w:rPr>
        <w:t>(28)</w:t>
      </w:r>
      <w:r w:rsidR="001558D8" w:rsidRPr="00EB38E8">
        <w:rPr>
          <w:rFonts w:ascii="Arial" w:eastAsia="Times New Roman" w:hAnsi="Arial" w:cs="Arial"/>
          <w:sz w:val="22"/>
          <w:szCs w:val="22"/>
          <w:lang w:eastAsia="es-ES"/>
        </w:rPr>
        <w:fldChar w:fldCharType="end"/>
      </w:r>
      <w:r w:rsidRPr="00EB38E8">
        <w:rPr>
          <w:rFonts w:ascii="Arial" w:eastAsia="Times New Roman" w:hAnsi="Arial" w:cs="Arial"/>
          <w:sz w:val="22"/>
          <w:szCs w:val="22"/>
          <w:lang w:eastAsia="es-ES"/>
        </w:rPr>
        <w:t>. Single nucleotide pathogenic variants were validated by Sanger sequencing and CNVs by multiplex ligation</w:t>
      </w:r>
      <w:r w:rsidRPr="00EB38E8">
        <w:rPr>
          <w:rFonts w:ascii="Arial" w:hAnsi="Arial" w:cs="Arial"/>
          <w:sz w:val="22"/>
          <w:szCs w:val="22"/>
        </w:rPr>
        <w:t>-dependent probe amplification (</w:t>
      </w:r>
      <w:r w:rsidRPr="00EB38E8">
        <w:rPr>
          <w:rFonts w:ascii="Arial" w:eastAsia="Times New Roman" w:hAnsi="Arial" w:cs="Arial"/>
          <w:sz w:val="22"/>
          <w:szCs w:val="22"/>
          <w:lang w:eastAsia="es-ES"/>
        </w:rPr>
        <w:t xml:space="preserve">MLPA) analysis. Segregation analysis was assessed for all available family members. </w:t>
      </w:r>
      <w:r w:rsidRPr="00EB38E8">
        <w:rPr>
          <w:rFonts w:ascii="Arial" w:eastAsia="Times New Roman" w:hAnsi="Arial" w:cs="Arial"/>
          <w:i/>
          <w:sz w:val="22"/>
          <w:szCs w:val="22"/>
          <w:lang w:eastAsia="es-ES"/>
        </w:rPr>
        <w:t>PKD1</w:t>
      </w:r>
      <w:r w:rsidRPr="00EB38E8">
        <w:rPr>
          <w:rFonts w:ascii="Arial" w:eastAsia="Times New Roman" w:hAnsi="Arial" w:cs="Arial"/>
          <w:sz w:val="22"/>
          <w:szCs w:val="22"/>
          <w:lang w:eastAsia="es-ES"/>
        </w:rPr>
        <w:t xml:space="preserve"> </w:t>
      </w:r>
      <w:r>
        <w:rPr>
          <w:rFonts w:ascii="Arial" w:eastAsia="Times New Roman" w:hAnsi="Arial" w:cs="Arial"/>
          <w:sz w:val="22"/>
          <w:szCs w:val="22"/>
          <w:lang w:eastAsia="es-ES"/>
        </w:rPr>
        <w:t>mutations</w:t>
      </w:r>
      <w:r w:rsidRPr="00EB38E8">
        <w:rPr>
          <w:rFonts w:ascii="Arial" w:eastAsia="Times New Roman" w:hAnsi="Arial" w:cs="Arial"/>
          <w:sz w:val="22"/>
          <w:szCs w:val="22"/>
          <w:lang w:eastAsia="es-ES"/>
        </w:rPr>
        <w:t xml:space="preserve"> were divided into two categories: truncating mutations (including nonsense, frameshift, splicing mutations and large rearrangements) and nontruncating mutations (including missense </w:t>
      </w:r>
      <w:r>
        <w:rPr>
          <w:rFonts w:ascii="Arial" w:eastAsia="Times New Roman" w:hAnsi="Arial" w:cs="Arial"/>
          <w:sz w:val="22"/>
          <w:szCs w:val="22"/>
          <w:lang w:eastAsia="es-ES"/>
        </w:rPr>
        <w:t>variants</w:t>
      </w:r>
      <w:r w:rsidRPr="00EB38E8">
        <w:rPr>
          <w:rFonts w:ascii="Arial" w:eastAsia="Times New Roman" w:hAnsi="Arial" w:cs="Arial"/>
          <w:sz w:val="22"/>
          <w:szCs w:val="22"/>
          <w:lang w:eastAsia="es-ES"/>
        </w:rPr>
        <w:t xml:space="preserve"> and in-frame short deletions and insertions).</w:t>
      </w:r>
    </w:p>
    <w:p w:rsidR="005F5F01" w:rsidRPr="000C1947" w:rsidRDefault="005F5F01" w:rsidP="005F5F01">
      <w:pPr>
        <w:tabs>
          <w:tab w:val="left" w:pos="1200"/>
        </w:tabs>
        <w:rPr>
          <w:rFonts w:cs="Arial"/>
        </w:rPr>
      </w:pPr>
    </w:p>
    <w:p w:rsidR="003A286A" w:rsidRDefault="003A286A">
      <w:bookmarkStart w:id="0" w:name="_GoBack"/>
      <w:bookmarkEnd w:id="0"/>
    </w:p>
    <w:sectPr w:rsidR="003A286A" w:rsidSect="001F3687">
      <w:endnotePr>
        <w:numFmt w:val="decimal"/>
      </w:endnotePr>
      <w:pgSz w:w="11906" w:h="16838"/>
      <w:pgMar w:top="1440" w:right="1440"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defaultTabStop w:val="720"/>
  <w:hyphenationZone w:val="425"/>
  <w:characterSpacingControl w:val="doNotCompress"/>
  <w:endnotePr>
    <w:numFmt w:val="decimal"/>
  </w:endnotePr>
  <w:compat/>
  <w:rsids>
    <w:rsidRoot w:val="005F5F01"/>
    <w:rsid w:val="001558D8"/>
    <w:rsid w:val="003A286A"/>
    <w:rsid w:val="005F5F01"/>
    <w:rsid w:val="00954C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F01"/>
    <w:rPr>
      <w:rFonts w:ascii="Arial" w:eastAsia="Calibri" w:hAnsi="Arial"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5F5F01"/>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5F5F01"/>
    <w:rPr>
      <w:rFonts w:ascii="Consolas" w:eastAsia="Calibri" w:hAnsi="Consolas" w:cs="Times New Roman"/>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F01"/>
    <w:rPr>
      <w:rFonts w:ascii="Arial" w:eastAsia="Calibri" w:hAnsi="Arial"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5F5F01"/>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5F5F01"/>
    <w:rPr>
      <w:rFonts w:ascii="Consolas" w:eastAsia="Calibri" w:hAnsi="Consolas" w:cs="Times New Roman"/>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1327</Words>
  <Characters>7302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dc:creator>
  <cp:lastModifiedBy>rtorra</cp:lastModifiedBy>
  <cp:revision>2</cp:revision>
  <dcterms:created xsi:type="dcterms:W3CDTF">2018-01-26T09:47:00Z</dcterms:created>
  <dcterms:modified xsi:type="dcterms:W3CDTF">2018-01-26T09:47:00Z</dcterms:modified>
</cp:coreProperties>
</file>