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"/>
        <w:gridCol w:w="1445"/>
        <w:gridCol w:w="540"/>
        <w:gridCol w:w="720"/>
        <w:gridCol w:w="3330"/>
        <w:gridCol w:w="360"/>
        <w:gridCol w:w="2610"/>
        <w:gridCol w:w="270"/>
      </w:tblGrid>
      <w:tr w:rsidR="00216071" w:rsidRPr="00BE4987" w14:paraId="2CA341B4" w14:textId="77777777" w:rsidTr="007F1944">
        <w:trPr>
          <w:gridBefore w:val="1"/>
          <w:wBefore w:w="85" w:type="dxa"/>
          <w:trHeight w:val="270"/>
        </w:trPr>
        <w:tc>
          <w:tcPr>
            <w:tcW w:w="9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939598"/>
              <w:right w:val="single" w:sz="4" w:space="0" w:color="auto"/>
            </w:tcBorders>
          </w:tcPr>
          <w:p w14:paraId="61A25BA9" w14:textId="484ACEFB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right="133" w:firstLine="365"/>
              <w:rPr>
                <w:rFonts w:ascii="Times New Roman" w:eastAsia="Gill Sans MT" w:hAnsi="Times New Roman" w:cs="Times New Roman"/>
                <w:b/>
                <w:w w:val="110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b/>
                <w:w w:val="110"/>
                <w:sz w:val="24"/>
                <w:szCs w:val="24"/>
              </w:rPr>
              <w:t>Supplementa</w:t>
            </w:r>
            <w:r w:rsidR="003D1D1E">
              <w:rPr>
                <w:rFonts w:ascii="Times New Roman" w:eastAsia="Gill Sans MT" w:hAnsi="Times New Roman" w:cs="Times New Roman"/>
                <w:b/>
                <w:w w:val="110"/>
                <w:sz w:val="24"/>
                <w:szCs w:val="24"/>
              </w:rPr>
              <w:t>l</w:t>
            </w:r>
            <w:bookmarkStart w:id="0" w:name="_GoBack"/>
            <w:bookmarkEnd w:id="0"/>
            <w:r w:rsidRPr="00BE4987">
              <w:rPr>
                <w:rFonts w:ascii="Times New Roman" w:eastAsia="Gill Sans MT" w:hAnsi="Times New Roman" w:cs="Times New Roman"/>
                <w:b/>
                <w:w w:val="110"/>
                <w:sz w:val="24"/>
                <w:szCs w:val="24"/>
              </w:rPr>
              <w:t xml:space="preserve"> Table 1. </w:t>
            </w:r>
            <w:r w:rsidR="006A30DC">
              <w:rPr>
                <w:rFonts w:ascii="Times New Roman" w:eastAsia="Gill Sans MT" w:hAnsi="Times New Roman" w:cs="Times New Roman"/>
                <w:w w:val="110"/>
                <w:sz w:val="24"/>
                <w:szCs w:val="24"/>
              </w:rPr>
              <w:t>Actionable gene list</w:t>
            </w:r>
          </w:p>
        </w:tc>
      </w:tr>
      <w:tr w:rsidR="00216071" w:rsidRPr="00BE4987" w14:paraId="683209B1" w14:textId="77777777" w:rsidTr="007F1944">
        <w:trPr>
          <w:gridBefore w:val="1"/>
          <w:wBefore w:w="85" w:type="dxa"/>
          <w:trHeight w:val="27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939598"/>
              <w:right w:val="single" w:sz="4" w:space="0" w:color="auto"/>
            </w:tcBorders>
          </w:tcPr>
          <w:p w14:paraId="0E1C7208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-715"/>
              <w:jc w:val="center"/>
              <w:rPr>
                <w:rFonts w:ascii="Times New Roman" w:eastAsia="Gill Sans MT" w:hAnsi="Times New Roman" w:cs="Times New Roman"/>
                <w:b/>
                <w:w w:val="110"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939598"/>
              <w:right w:val="single" w:sz="4" w:space="0" w:color="auto"/>
            </w:tcBorders>
          </w:tcPr>
          <w:p w14:paraId="744F5600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-715"/>
              <w:jc w:val="center"/>
              <w:rPr>
                <w:rFonts w:ascii="Times New Roman" w:eastAsia="Gill Sans MT" w:hAnsi="Times New Roman" w:cs="Times New Roman"/>
                <w:b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b/>
                <w:w w:val="110"/>
                <w:sz w:val="24"/>
                <w:szCs w:val="24"/>
              </w:rPr>
              <w:t>Phenotype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939598"/>
              <w:right w:val="single" w:sz="4" w:space="0" w:color="auto"/>
            </w:tcBorders>
          </w:tcPr>
          <w:p w14:paraId="22A32793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center"/>
              <w:rPr>
                <w:rFonts w:ascii="Times New Roman" w:eastAsia="Gill Sans MT" w:hAnsi="Times New Roman" w:cs="Times New Roman"/>
                <w:b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b/>
                <w:w w:val="110"/>
                <w:sz w:val="24"/>
                <w:szCs w:val="24"/>
              </w:rPr>
              <w:t>Gene/genes</w:t>
            </w:r>
          </w:p>
        </w:tc>
      </w:tr>
      <w:tr w:rsidR="00216071" w:rsidRPr="00BE4987" w14:paraId="6980A4C4" w14:textId="77777777" w:rsidTr="007F1944">
        <w:trPr>
          <w:gridBefore w:val="1"/>
          <w:wBefore w:w="85" w:type="dxa"/>
          <w:trHeight w:val="150"/>
        </w:trPr>
        <w:tc>
          <w:tcPr>
            <w:tcW w:w="1985" w:type="dxa"/>
            <w:gridSpan w:val="2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</w:tcPr>
          <w:p w14:paraId="62AABC97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b/>
                <w:w w:val="105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b/>
                <w:w w:val="105"/>
                <w:sz w:val="24"/>
                <w:szCs w:val="24"/>
              </w:rPr>
              <w:t>Cardiovascular</w:t>
            </w:r>
          </w:p>
        </w:tc>
        <w:tc>
          <w:tcPr>
            <w:tcW w:w="4410" w:type="dxa"/>
            <w:gridSpan w:val="3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11DF45" w14:textId="77777777" w:rsidR="00216071" w:rsidRPr="006A30DC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  <w:lang w:val="fr-CH"/>
              </w:rPr>
            </w:pPr>
            <w:r w:rsidRPr="006A30DC">
              <w:rPr>
                <w:rFonts w:ascii="Times New Roman" w:eastAsia="Gill Sans MT" w:hAnsi="Times New Roman" w:cs="Times New Roman"/>
                <w:w w:val="105"/>
                <w:sz w:val="24"/>
                <w:szCs w:val="24"/>
                <w:lang w:val="fr-CH"/>
              </w:rPr>
              <w:t>Ehlers-Danlos syndrome, vascular type</w:t>
            </w:r>
          </w:p>
        </w:tc>
        <w:tc>
          <w:tcPr>
            <w:tcW w:w="2880" w:type="dxa"/>
            <w:gridSpan w:val="2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</w:tcPr>
          <w:p w14:paraId="07AF41EC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COL3A1, COL5A1</w:t>
            </w:r>
          </w:p>
        </w:tc>
      </w:tr>
      <w:tr w:rsidR="00216071" w:rsidRPr="00BE4987" w14:paraId="37104271" w14:textId="77777777" w:rsidTr="007F1944">
        <w:trPr>
          <w:gridBefore w:val="1"/>
          <w:wBefore w:w="85" w:type="dxa"/>
          <w:trHeight w:val="150"/>
        </w:trPr>
        <w:tc>
          <w:tcPr>
            <w:tcW w:w="1985" w:type="dxa"/>
            <w:gridSpan w:val="2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3DEF96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1D150C" w14:textId="77777777" w:rsidR="00216071" w:rsidRPr="006A30DC" w:rsidRDefault="00216071" w:rsidP="00216071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  <w:lang w:val="fr-CH"/>
              </w:rPr>
            </w:pPr>
            <w:r w:rsidRPr="006A30DC">
              <w:rPr>
                <w:rFonts w:ascii="Times New Roman" w:eastAsia="Gill Sans MT" w:hAnsi="Times New Roman" w:cs="Times New Roman"/>
                <w:w w:val="105"/>
                <w:sz w:val="24"/>
                <w:szCs w:val="24"/>
                <w:lang w:val="fr-CH"/>
              </w:rPr>
              <w:t>Marfan syndrome, Loeys-Dietz syndromes, familial thoracic aortic aneurysms &amp; dissections</w:t>
            </w:r>
          </w:p>
        </w:tc>
        <w:tc>
          <w:tcPr>
            <w:tcW w:w="2880" w:type="dxa"/>
            <w:gridSpan w:val="2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BD591B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FBN1, TGFBR1, TGFBR2, SMAD3, ACTA2, MYH1, MYLK</w:t>
            </w:r>
          </w:p>
        </w:tc>
      </w:tr>
      <w:tr w:rsidR="00216071" w:rsidRPr="00BE4987" w14:paraId="35742E53" w14:textId="77777777" w:rsidTr="007F1944">
        <w:trPr>
          <w:gridBefore w:val="1"/>
          <w:wBefore w:w="85" w:type="dxa"/>
          <w:trHeight w:val="150"/>
        </w:trPr>
        <w:tc>
          <w:tcPr>
            <w:tcW w:w="1985" w:type="dxa"/>
            <w:gridSpan w:val="2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</w:tcPr>
          <w:p w14:paraId="05D1B69B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570BB5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Hypertrophic cardiomyopathy</w:t>
            </w:r>
          </w:p>
        </w:tc>
        <w:tc>
          <w:tcPr>
            <w:tcW w:w="2880" w:type="dxa"/>
            <w:gridSpan w:val="2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</w:tcPr>
          <w:p w14:paraId="7B690FD1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MYBPC3, MYH7, TNNT2, TNNI3, TPM, MYL3, ACTC1, PRKAG2,</w:t>
            </w:r>
          </w:p>
          <w:p w14:paraId="0890C8CE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GLA</w:t>
            </w:r>
          </w:p>
        </w:tc>
      </w:tr>
      <w:tr w:rsidR="00216071" w:rsidRPr="00BE4987" w14:paraId="55277EF8" w14:textId="77777777" w:rsidTr="007F1944">
        <w:trPr>
          <w:gridBefore w:val="1"/>
          <w:wBefore w:w="85" w:type="dxa"/>
          <w:trHeight w:val="150"/>
        </w:trPr>
        <w:tc>
          <w:tcPr>
            <w:tcW w:w="1985" w:type="dxa"/>
            <w:gridSpan w:val="2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21F56D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1372E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Dilated cardiomyopathy</w:t>
            </w:r>
          </w:p>
        </w:tc>
        <w:tc>
          <w:tcPr>
            <w:tcW w:w="2880" w:type="dxa"/>
            <w:gridSpan w:val="2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3EBEB8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MYL2, LMNA</w:t>
            </w:r>
          </w:p>
        </w:tc>
      </w:tr>
      <w:tr w:rsidR="00216071" w:rsidRPr="00BE4987" w14:paraId="5C63A15C" w14:textId="77777777" w:rsidTr="007F1944">
        <w:trPr>
          <w:gridBefore w:val="1"/>
          <w:wBefore w:w="85" w:type="dxa"/>
          <w:trHeight w:val="150"/>
        </w:trPr>
        <w:tc>
          <w:tcPr>
            <w:tcW w:w="1985" w:type="dxa"/>
            <w:gridSpan w:val="2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3EE01C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288136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Catecholaminergic polymorphic ventricular tachycardia</w:t>
            </w:r>
          </w:p>
        </w:tc>
        <w:tc>
          <w:tcPr>
            <w:tcW w:w="2880" w:type="dxa"/>
            <w:gridSpan w:val="2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F1FC2A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RYR2</w:t>
            </w:r>
          </w:p>
        </w:tc>
      </w:tr>
      <w:tr w:rsidR="00216071" w:rsidRPr="00BE4987" w14:paraId="5E16CCD6" w14:textId="77777777" w:rsidTr="007F1944">
        <w:trPr>
          <w:gridBefore w:val="1"/>
          <w:wBefore w:w="85" w:type="dxa"/>
          <w:trHeight w:val="150"/>
        </w:trPr>
        <w:tc>
          <w:tcPr>
            <w:tcW w:w="1985" w:type="dxa"/>
            <w:gridSpan w:val="2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3238E9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BE3177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Arrhythmogenic right ventricular  cardiomyopathy</w:t>
            </w:r>
          </w:p>
        </w:tc>
        <w:tc>
          <w:tcPr>
            <w:tcW w:w="2880" w:type="dxa"/>
            <w:gridSpan w:val="2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7C6E94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PKP2, DSP ,DSC2,</w:t>
            </w:r>
          </w:p>
          <w:p w14:paraId="41AB277D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TMEM43, DSG2</w:t>
            </w:r>
          </w:p>
        </w:tc>
      </w:tr>
      <w:tr w:rsidR="00216071" w:rsidRPr="00BE4987" w14:paraId="1C36D88A" w14:textId="77777777" w:rsidTr="007F1944">
        <w:trPr>
          <w:gridBefore w:val="1"/>
          <w:wBefore w:w="85" w:type="dxa"/>
          <w:trHeight w:val="150"/>
        </w:trPr>
        <w:tc>
          <w:tcPr>
            <w:tcW w:w="1985" w:type="dxa"/>
            <w:gridSpan w:val="2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</w:tcPr>
          <w:p w14:paraId="2BBD1332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963CC2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Romano-Ward long-QT syndrome types 1, 2, and</w:t>
            </w:r>
            <w:r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3, Brugada syndrome</w:t>
            </w:r>
          </w:p>
        </w:tc>
        <w:tc>
          <w:tcPr>
            <w:tcW w:w="2880" w:type="dxa"/>
            <w:gridSpan w:val="2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</w:tcPr>
          <w:p w14:paraId="11A59EEB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KCNQ1, KCNH2, SCN5A,</w:t>
            </w:r>
          </w:p>
          <w:p w14:paraId="19CE58F1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KCNJ2, KCNE1</w:t>
            </w:r>
          </w:p>
        </w:tc>
      </w:tr>
      <w:tr w:rsidR="00216071" w:rsidRPr="00BE4987" w14:paraId="5C5E63CB" w14:textId="77777777" w:rsidTr="007F1944">
        <w:trPr>
          <w:gridBefore w:val="1"/>
          <w:wBefore w:w="85" w:type="dxa"/>
          <w:trHeight w:val="150"/>
        </w:trPr>
        <w:tc>
          <w:tcPr>
            <w:tcW w:w="1985" w:type="dxa"/>
            <w:gridSpan w:val="2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1DE871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6B2DBD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Familial hypercholesterolemia</w:t>
            </w:r>
          </w:p>
        </w:tc>
        <w:tc>
          <w:tcPr>
            <w:tcW w:w="2880" w:type="dxa"/>
            <w:gridSpan w:val="2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C67AB5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LDLR, APOB, PCSK9</w:t>
            </w:r>
          </w:p>
        </w:tc>
      </w:tr>
      <w:tr w:rsidR="00216071" w:rsidRPr="00BE4987" w14:paraId="55A9EA0D" w14:textId="77777777" w:rsidTr="007F1944">
        <w:trPr>
          <w:gridBefore w:val="1"/>
          <w:wBefore w:w="85" w:type="dxa"/>
          <w:trHeight w:val="150"/>
        </w:trPr>
        <w:tc>
          <w:tcPr>
            <w:tcW w:w="1985" w:type="dxa"/>
            <w:gridSpan w:val="2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274E1F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ECB9E6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Diabetes</w:t>
            </w:r>
          </w:p>
        </w:tc>
        <w:tc>
          <w:tcPr>
            <w:tcW w:w="2880" w:type="dxa"/>
            <w:gridSpan w:val="2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A4A70F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HNF1A, HNF1B</w:t>
            </w:r>
          </w:p>
        </w:tc>
      </w:tr>
      <w:tr w:rsidR="00216071" w:rsidRPr="00BE4987" w14:paraId="08D23709" w14:textId="77777777" w:rsidTr="007F1944">
        <w:trPr>
          <w:gridBefore w:val="1"/>
          <w:wBefore w:w="85" w:type="dxa"/>
          <w:trHeight w:val="150"/>
        </w:trPr>
        <w:tc>
          <w:tcPr>
            <w:tcW w:w="1985" w:type="dxa"/>
            <w:gridSpan w:val="2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84DB5F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b/>
                <w:w w:val="105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b/>
                <w:w w:val="105"/>
                <w:sz w:val="24"/>
                <w:szCs w:val="24"/>
              </w:rPr>
              <w:t>Cancer</w:t>
            </w:r>
          </w:p>
        </w:tc>
        <w:tc>
          <w:tcPr>
            <w:tcW w:w="4410" w:type="dxa"/>
            <w:gridSpan w:val="3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E0C5DE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Hereditary breast and ovarian cancer</w:t>
            </w:r>
          </w:p>
        </w:tc>
        <w:tc>
          <w:tcPr>
            <w:tcW w:w="2880" w:type="dxa"/>
            <w:gridSpan w:val="2"/>
            <w:tcBorders>
              <w:top w:val="single" w:sz="4" w:space="0" w:color="939598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13C750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BRCA1, BRCA2,</w:t>
            </w:r>
          </w:p>
        </w:tc>
      </w:tr>
      <w:tr w:rsidR="00216071" w:rsidRPr="00BE4987" w14:paraId="05132B59" w14:textId="77777777" w:rsidTr="007F1944">
        <w:trPr>
          <w:gridBefore w:val="1"/>
          <w:wBefore w:w="85" w:type="dxa"/>
          <w:trHeight w:val="140"/>
        </w:trPr>
        <w:tc>
          <w:tcPr>
            <w:tcW w:w="1985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</w:tcPr>
          <w:p w14:paraId="03960820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auto"/>
          </w:tcPr>
          <w:p w14:paraId="2DC25B6A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sz w:val="24"/>
                <w:szCs w:val="24"/>
              </w:rPr>
              <w:t>Li-Fraumeni syndrome</w:t>
            </w:r>
          </w:p>
        </w:tc>
        <w:tc>
          <w:tcPr>
            <w:tcW w:w="2880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</w:tcPr>
          <w:p w14:paraId="1439B64C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w w:val="95"/>
                <w:sz w:val="24"/>
                <w:szCs w:val="24"/>
              </w:rPr>
              <w:t>TP53</w:t>
            </w:r>
          </w:p>
        </w:tc>
      </w:tr>
      <w:tr w:rsidR="00216071" w:rsidRPr="00BE4987" w14:paraId="5F7121B0" w14:textId="77777777" w:rsidTr="007F1944">
        <w:trPr>
          <w:gridBefore w:val="1"/>
          <w:wBefore w:w="85" w:type="dxa"/>
          <w:trHeight w:val="140"/>
        </w:trPr>
        <w:tc>
          <w:tcPr>
            <w:tcW w:w="1985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D9D9D9" w:themeFill="background1" w:themeFillShade="D9"/>
          </w:tcPr>
          <w:p w14:paraId="4B72AF7A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D9D9D9" w:themeFill="background1" w:themeFillShade="D9"/>
          </w:tcPr>
          <w:p w14:paraId="09C2B35D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Peutz-Jeghers syndrome</w:t>
            </w:r>
          </w:p>
        </w:tc>
        <w:tc>
          <w:tcPr>
            <w:tcW w:w="2880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D9D9D9" w:themeFill="background1" w:themeFillShade="D9"/>
          </w:tcPr>
          <w:p w14:paraId="0D67BAAC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STK11</w:t>
            </w:r>
          </w:p>
        </w:tc>
      </w:tr>
      <w:tr w:rsidR="00216071" w:rsidRPr="00BE4987" w14:paraId="58D87A9D" w14:textId="77777777" w:rsidTr="007F1944">
        <w:trPr>
          <w:gridBefore w:val="1"/>
          <w:wBefore w:w="85" w:type="dxa"/>
          <w:trHeight w:val="160"/>
        </w:trPr>
        <w:tc>
          <w:tcPr>
            <w:tcW w:w="1985" w:type="dxa"/>
            <w:gridSpan w:val="2"/>
            <w:tcBorders>
              <w:top w:val="single" w:sz="8" w:space="0" w:color="FFFFFF"/>
              <w:left w:val="single" w:sz="4" w:space="0" w:color="auto"/>
              <w:right w:val="single" w:sz="4" w:space="0" w:color="auto"/>
            </w:tcBorders>
          </w:tcPr>
          <w:p w14:paraId="1226488A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8" w:space="0" w:color="FFFFFF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B98350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sz w:val="24"/>
                <w:szCs w:val="24"/>
              </w:rPr>
              <w:t>Lynch syndrome</w:t>
            </w:r>
          </w:p>
        </w:tc>
        <w:tc>
          <w:tcPr>
            <w:tcW w:w="2880" w:type="dxa"/>
            <w:gridSpan w:val="2"/>
            <w:tcBorders>
              <w:top w:val="single" w:sz="8" w:space="0" w:color="FFFFFF"/>
              <w:left w:val="single" w:sz="4" w:space="0" w:color="auto"/>
              <w:right w:val="single" w:sz="4" w:space="0" w:color="auto"/>
            </w:tcBorders>
          </w:tcPr>
          <w:p w14:paraId="24EF8236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MLH1, MSH2, MSH6,</w:t>
            </w:r>
          </w:p>
          <w:p w14:paraId="1363058C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PMS2, POLD1, POLE</w:t>
            </w:r>
          </w:p>
        </w:tc>
      </w:tr>
      <w:tr w:rsidR="00216071" w:rsidRPr="00BE4987" w14:paraId="487ADDBD" w14:textId="77777777" w:rsidTr="007F1944">
        <w:trPr>
          <w:gridBefore w:val="1"/>
          <w:wBefore w:w="85" w:type="dxa"/>
          <w:trHeight w:val="140"/>
        </w:trPr>
        <w:tc>
          <w:tcPr>
            <w:tcW w:w="1985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D9D9D9" w:themeFill="background1" w:themeFillShade="D9"/>
          </w:tcPr>
          <w:p w14:paraId="03E4C011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D9D9D9" w:themeFill="background1" w:themeFillShade="D9"/>
          </w:tcPr>
          <w:p w14:paraId="79A8F648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Familial adenomatous polyposis</w:t>
            </w:r>
          </w:p>
        </w:tc>
        <w:tc>
          <w:tcPr>
            <w:tcW w:w="2880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D9D9D9" w:themeFill="background1" w:themeFillShade="D9"/>
          </w:tcPr>
          <w:p w14:paraId="61FD2B81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APC</w:t>
            </w:r>
          </w:p>
        </w:tc>
      </w:tr>
      <w:tr w:rsidR="00216071" w:rsidRPr="00BE4987" w14:paraId="304DB39E" w14:textId="77777777" w:rsidTr="007F1944">
        <w:trPr>
          <w:gridBefore w:val="1"/>
          <w:wBefore w:w="85" w:type="dxa"/>
          <w:trHeight w:val="430"/>
        </w:trPr>
        <w:tc>
          <w:tcPr>
            <w:tcW w:w="1985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</w:tcPr>
          <w:p w14:paraId="2C996863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 w:right="161"/>
              <w:rPr>
                <w:rFonts w:ascii="Times New Roman" w:eastAsia="Gill Sans MT" w:hAnsi="Times New Roman" w:cs="Times New Roman"/>
                <w:i/>
                <w:w w:val="105"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auto"/>
          </w:tcPr>
          <w:p w14:paraId="144677CF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 w:right="161"/>
              <w:rPr>
                <w:rFonts w:ascii="Times New Roman" w:eastAsia="Gill Sans MT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w w:val="105"/>
                <w:sz w:val="24"/>
                <w:szCs w:val="24"/>
              </w:rPr>
              <w:t>MYH</w:t>
            </w: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-associated polyposis; adenomas,</w:t>
            </w:r>
            <w:r w:rsidRPr="00BE4987">
              <w:rPr>
                <w:rFonts w:ascii="Times New Roman" w:eastAsia="Gill Sans MT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multiple colorectal,</w:t>
            </w:r>
            <w:r w:rsidRPr="00BE4987">
              <w:rPr>
                <w:rFonts w:ascii="Times New Roman" w:eastAsia="Gill Sans MT" w:hAnsi="Times New Roman" w:cs="Times New Roman"/>
                <w:spacing w:val="-20"/>
                <w:w w:val="105"/>
                <w:sz w:val="24"/>
                <w:szCs w:val="24"/>
              </w:rPr>
              <w:t xml:space="preserve"> </w:t>
            </w:r>
            <w:r w:rsidRPr="00BE4987">
              <w:rPr>
                <w:rFonts w:ascii="Times New Roman" w:eastAsia="Gill Sans MT" w:hAnsi="Times New Roman" w:cs="Times New Roman"/>
                <w:i/>
                <w:spacing w:val="-3"/>
                <w:w w:val="105"/>
                <w:sz w:val="24"/>
                <w:szCs w:val="24"/>
              </w:rPr>
              <w:t>FAP</w:t>
            </w:r>
            <w:r w:rsidRPr="00BE4987">
              <w:rPr>
                <w:rFonts w:ascii="Times New Roman" w:eastAsia="Gill Sans MT" w:hAnsi="Times New Roman" w:cs="Times New Roman"/>
                <w:i/>
                <w:spacing w:val="-27"/>
                <w:w w:val="105"/>
                <w:sz w:val="24"/>
                <w:szCs w:val="24"/>
              </w:rPr>
              <w:t xml:space="preserve"> </w:t>
            </w: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type</w:t>
            </w:r>
            <w:r w:rsidRPr="00BE4987">
              <w:rPr>
                <w:rFonts w:ascii="Times New Roman" w:eastAsia="Gill Sans MT" w:hAnsi="Times New Roman" w:cs="Times New Roman"/>
                <w:spacing w:val="-20"/>
                <w:w w:val="105"/>
                <w:sz w:val="24"/>
                <w:szCs w:val="24"/>
              </w:rPr>
              <w:t xml:space="preserve"> </w:t>
            </w: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2;</w:t>
            </w:r>
            <w:r w:rsidRPr="00BE4987">
              <w:rPr>
                <w:rFonts w:ascii="Times New Roman" w:eastAsia="Gill Sans MT" w:hAnsi="Times New Roman" w:cs="Times New Roman"/>
                <w:spacing w:val="-20"/>
                <w:w w:val="105"/>
                <w:sz w:val="24"/>
                <w:szCs w:val="24"/>
              </w:rPr>
              <w:t xml:space="preserve"> </w:t>
            </w: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colorectal</w:t>
            </w:r>
            <w:r w:rsidRPr="00BE4987">
              <w:rPr>
                <w:rFonts w:ascii="Times New Roman" w:eastAsia="Gill Sans MT" w:hAnsi="Times New Roman" w:cs="Times New Roman"/>
                <w:spacing w:val="-20"/>
                <w:w w:val="105"/>
                <w:sz w:val="24"/>
                <w:szCs w:val="24"/>
              </w:rPr>
              <w:t xml:space="preserve"> </w:t>
            </w: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adenomatous polyposis,</w:t>
            </w:r>
            <w:r w:rsidRPr="00BE4987">
              <w:rPr>
                <w:rFonts w:ascii="Times New Roman" w:eastAsia="Gill Sans MT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autosomal</w:t>
            </w:r>
            <w:r w:rsidRPr="00BE4987">
              <w:rPr>
                <w:rFonts w:ascii="Times New Roman" w:eastAsia="Gill Sans MT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recessive,</w:t>
            </w:r>
            <w:r w:rsidRPr="00BE4987">
              <w:rPr>
                <w:rFonts w:ascii="Times New Roman" w:eastAsia="Gill Sans MT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with</w:t>
            </w:r>
            <w:r w:rsidRPr="00BE4987">
              <w:rPr>
                <w:rFonts w:ascii="Times New Roman" w:eastAsia="Gill Sans MT" w:hAnsi="Times New Roman" w:cs="Times New Roman"/>
                <w:sz w:val="24"/>
                <w:szCs w:val="24"/>
              </w:rPr>
              <w:t xml:space="preserve"> </w:t>
            </w: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pilomatricomas</w:t>
            </w:r>
          </w:p>
        </w:tc>
        <w:tc>
          <w:tcPr>
            <w:tcW w:w="2880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</w:tcPr>
          <w:p w14:paraId="6E6EEB81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2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MUTYH</w:t>
            </w:r>
          </w:p>
        </w:tc>
      </w:tr>
      <w:tr w:rsidR="00216071" w:rsidRPr="00BE4987" w14:paraId="515E6B91" w14:textId="77777777" w:rsidTr="007F1944">
        <w:trPr>
          <w:gridBefore w:val="1"/>
          <w:wBefore w:w="85" w:type="dxa"/>
          <w:trHeight w:val="160"/>
        </w:trPr>
        <w:tc>
          <w:tcPr>
            <w:tcW w:w="1985" w:type="dxa"/>
            <w:gridSpan w:val="2"/>
            <w:tcBorders>
              <w:top w:val="single" w:sz="8" w:space="0" w:color="FFFFFF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F082B3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8" w:space="0" w:color="FFFFFF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2DFC0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Juvenile polyposis</w:t>
            </w:r>
          </w:p>
        </w:tc>
        <w:tc>
          <w:tcPr>
            <w:tcW w:w="2880" w:type="dxa"/>
            <w:gridSpan w:val="2"/>
            <w:tcBorders>
              <w:top w:val="single" w:sz="8" w:space="0" w:color="FFFFFF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DE909C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2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BMPR1A, SMAD4</w:t>
            </w:r>
          </w:p>
        </w:tc>
      </w:tr>
      <w:tr w:rsidR="00216071" w:rsidRPr="00BE4987" w14:paraId="40A2A541" w14:textId="77777777" w:rsidTr="007F1944">
        <w:trPr>
          <w:gridBefore w:val="1"/>
          <w:wBefore w:w="85" w:type="dxa"/>
          <w:trHeight w:val="140"/>
        </w:trPr>
        <w:tc>
          <w:tcPr>
            <w:tcW w:w="1985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</w:tcPr>
          <w:p w14:paraId="2E516AAD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auto"/>
          </w:tcPr>
          <w:p w14:paraId="04762FE4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Von Hippel–Lindau syndrome</w:t>
            </w:r>
          </w:p>
        </w:tc>
        <w:tc>
          <w:tcPr>
            <w:tcW w:w="2880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</w:tcPr>
          <w:p w14:paraId="4517E46B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VHL</w:t>
            </w:r>
          </w:p>
        </w:tc>
      </w:tr>
      <w:tr w:rsidR="00216071" w:rsidRPr="00BE4987" w14:paraId="160AAE50" w14:textId="77777777" w:rsidTr="007F1944">
        <w:trPr>
          <w:gridBefore w:val="1"/>
          <w:wBefore w:w="85" w:type="dxa"/>
          <w:trHeight w:val="140"/>
        </w:trPr>
        <w:tc>
          <w:tcPr>
            <w:tcW w:w="1985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</w:tcPr>
          <w:p w14:paraId="3AAA73EC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auto"/>
          </w:tcPr>
          <w:p w14:paraId="382DFF40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Multiple endocrine neoplasia type 1</w:t>
            </w:r>
          </w:p>
        </w:tc>
        <w:tc>
          <w:tcPr>
            <w:tcW w:w="2880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</w:tcPr>
          <w:p w14:paraId="57A5FDE9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MEN1</w:t>
            </w:r>
          </w:p>
        </w:tc>
      </w:tr>
      <w:tr w:rsidR="00216071" w:rsidRPr="00BE4987" w14:paraId="414215FE" w14:textId="77777777" w:rsidTr="007F1944">
        <w:trPr>
          <w:gridBefore w:val="1"/>
          <w:wBefore w:w="85" w:type="dxa"/>
          <w:trHeight w:val="140"/>
        </w:trPr>
        <w:tc>
          <w:tcPr>
            <w:tcW w:w="1985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</w:tcPr>
          <w:p w14:paraId="32CDDE4C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auto"/>
          </w:tcPr>
          <w:p w14:paraId="1ED5DC08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Multiple endocrine neoplasia type 2</w:t>
            </w:r>
          </w:p>
        </w:tc>
        <w:tc>
          <w:tcPr>
            <w:tcW w:w="2880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</w:tcPr>
          <w:p w14:paraId="0D66F141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w w:val="95"/>
                <w:sz w:val="24"/>
                <w:szCs w:val="24"/>
              </w:rPr>
              <w:t>RET</w:t>
            </w:r>
          </w:p>
        </w:tc>
      </w:tr>
      <w:tr w:rsidR="00216071" w:rsidRPr="00BE4987" w14:paraId="2D3C5F30" w14:textId="77777777" w:rsidTr="007F1944">
        <w:trPr>
          <w:gridBefore w:val="1"/>
          <w:wBefore w:w="85" w:type="dxa"/>
          <w:trHeight w:val="140"/>
        </w:trPr>
        <w:tc>
          <w:tcPr>
            <w:tcW w:w="1985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</w:tcPr>
          <w:p w14:paraId="1F5280C6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auto"/>
          </w:tcPr>
          <w:p w14:paraId="3B22FB0E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Familial medullary thyroid cancer</w:t>
            </w:r>
            <w:r w:rsidRPr="00BE4987">
              <w:rPr>
                <w:rFonts w:ascii="Times New Roman" w:eastAsia="Gill Sans MT" w:hAnsi="Times New Roman" w:cs="Times New Roman"/>
                <w:w w:val="105"/>
                <w:position w:val="5"/>
                <w:sz w:val="24"/>
                <w:szCs w:val="24"/>
              </w:rPr>
              <w:t>d</w:t>
            </w:r>
          </w:p>
        </w:tc>
        <w:tc>
          <w:tcPr>
            <w:tcW w:w="2880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</w:tcPr>
          <w:p w14:paraId="48061ABB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w w:val="95"/>
                <w:sz w:val="24"/>
                <w:szCs w:val="24"/>
              </w:rPr>
              <w:t>RET</w:t>
            </w:r>
          </w:p>
        </w:tc>
      </w:tr>
      <w:tr w:rsidR="00216071" w:rsidRPr="00BE4987" w14:paraId="21B060C9" w14:textId="77777777" w:rsidTr="007F1944">
        <w:trPr>
          <w:gridBefore w:val="1"/>
          <w:wBefore w:w="85" w:type="dxa"/>
          <w:trHeight w:val="140"/>
        </w:trPr>
        <w:tc>
          <w:tcPr>
            <w:tcW w:w="1985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</w:tcPr>
          <w:p w14:paraId="001C7375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auto"/>
          </w:tcPr>
          <w:p w14:paraId="5E85F9C3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 xml:space="preserve">PTEN </w:t>
            </w:r>
            <w:r w:rsidRPr="00BE4987">
              <w:rPr>
                <w:rFonts w:ascii="Times New Roman" w:eastAsia="Gill Sans MT" w:hAnsi="Times New Roman" w:cs="Times New Roman"/>
                <w:sz w:val="24"/>
                <w:szCs w:val="24"/>
              </w:rPr>
              <w:t>hamartoma tumor syndrome</w:t>
            </w:r>
          </w:p>
        </w:tc>
        <w:tc>
          <w:tcPr>
            <w:tcW w:w="2880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</w:tcPr>
          <w:p w14:paraId="54CB98C3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w w:val="95"/>
                <w:sz w:val="24"/>
                <w:szCs w:val="24"/>
              </w:rPr>
              <w:t>PTEN</w:t>
            </w:r>
          </w:p>
        </w:tc>
      </w:tr>
      <w:tr w:rsidR="00216071" w:rsidRPr="00BE4987" w14:paraId="2F65769C" w14:textId="77777777" w:rsidTr="007F1944">
        <w:trPr>
          <w:gridBefore w:val="1"/>
          <w:wBefore w:w="85" w:type="dxa"/>
          <w:trHeight w:val="140"/>
        </w:trPr>
        <w:tc>
          <w:tcPr>
            <w:tcW w:w="1985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D9D9D9" w:themeFill="background1" w:themeFillShade="D9"/>
          </w:tcPr>
          <w:p w14:paraId="067DC0BC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D9D9D9" w:themeFill="background1" w:themeFillShade="D9"/>
          </w:tcPr>
          <w:p w14:paraId="2157AB3D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Retinoblastoma</w:t>
            </w:r>
          </w:p>
        </w:tc>
        <w:tc>
          <w:tcPr>
            <w:tcW w:w="2880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D9D9D9" w:themeFill="background1" w:themeFillShade="D9"/>
          </w:tcPr>
          <w:p w14:paraId="3B510CD1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RB1</w:t>
            </w:r>
          </w:p>
        </w:tc>
      </w:tr>
      <w:tr w:rsidR="00216071" w:rsidRPr="00BE4987" w14:paraId="15CF9BC2" w14:textId="77777777" w:rsidTr="007F1944">
        <w:trPr>
          <w:gridBefore w:val="1"/>
          <w:wBefore w:w="85" w:type="dxa"/>
          <w:trHeight w:val="160"/>
        </w:trPr>
        <w:tc>
          <w:tcPr>
            <w:tcW w:w="1985" w:type="dxa"/>
            <w:gridSpan w:val="2"/>
            <w:tcBorders>
              <w:top w:val="single" w:sz="8" w:space="0" w:color="FFFFFF"/>
              <w:left w:val="single" w:sz="4" w:space="0" w:color="auto"/>
              <w:right w:val="single" w:sz="4" w:space="0" w:color="auto"/>
            </w:tcBorders>
          </w:tcPr>
          <w:p w14:paraId="6283F97D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8" w:space="0" w:color="FFFFFF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0720CD" w14:textId="77777777" w:rsidR="00216071" w:rsidRPr="00216071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Hereditary paraganglioma-pheochromocytoma</w:t>
            </w:r>
            <w:r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syndrome</w:t>
            </w:r>
          </w:p>
        </w:tc>
        <w:tc>
          <w:tcPr>
            <w:tcW w:w="2880" w:type="dxa"/>
            <w:gridSpan w:val="2"/>
            <w:tcBorders>
              <w:top w:val="single" w:sz="8" w:space="0" w:color="FFFFFF"/>
              <w:left w:val="single" w:sz="4" w:space="0" w:color="auto"/>
              <w:right w:val="single" w:sz="4" w:space="0" w:color="auto"/>
            </w:tcBorders>
          </w:tcPr>
          <w:p w14:paraId="388243FF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SDHD, SDHAF2,</w:t>
            </w:r>
          </w:p>
          <w:p w14:paraId="78775A49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SDHC, SDHB</w:t>
            </w:r>
          </w:p>
        </w:tc>
      </w:tr>
      <w:tr w:rsidR="00216071" w:rsidRPr="00BE4987" w14:paraId="231AF9D3" w14:textId="77777777" w:rsidTr="007F1944">
        <w:trPr>
          <w:gridBefore w:val="1"/>
          <w:wBefore w:w="85" w:type="dxa"/>
          <w:trHeight w:val="160"/>
        </w:trPr>
        <w:tc>
          <w:tcPr>
            <w:tcW w:w="1985" w:type="dxa"/>
            <w:gridSpan w:val="2"/>
            <w:tcBorders>
              <w:top w:val="single" w:sz="8" w:space="0" w:color="FFFFFF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97110E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b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b/>
                <w:sz w:val="24"/>
                <w:szCs w:val="24"/>
              </w:rPr>
              <w:t>Other</w:t>
            </w:r>
          </w:p>
        </w:tc>
        <w:tc>
          <w:tcPr>
            <w:tcW w:w="4410" w:type="dxa"/>
            <w:gridSpan w:val="3"/>
            <w:tcBorders>
              <w:top w:val="single" w:sz="8" w:space="0" w:color="FFFFFF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762D0A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sz w:val="24"/>
                <w:szCs w:val="24"/>
              </w:rPr>
              <w:t>Tuberous sclerosis complex</w:t>
            </w:r>
          </w:p>
        </w:tc>
        <w:tc>
          <w:tcPr>
            <w:tcW w:w="2880" w:type="dxa"/>
            <w:gridSpan w:val="2"/>
            <w:tcBorders>
              <w:top w:val="single" w:sz="8" w:space="0" w:color="FFFFFF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AAA223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w w:val="95"/>
                <w:sz w:val="24"/>
                <w:szCs w:val="24"/>
              </w:rPr>
              <w:t>TSC1, TSC2</w:t>
            </w:r>
          </w:p>
        </w:tc>
      </w:tr>
      <w:tr w:rsidR="00216071" w:rsidRPr="00BE4987" w14:paraId="0C9D116C" w14:textId="77777777" w:rsidTr="007F1944">
        <w:trPr>
          <w:gridBefore w:val="1"/>
          <w:wBefore w:w="85" w:type="dxa"/>
          <w:trHeight w:val="140"/>
        </w:trPr>
        <w:tc>
          <w:tcPr>
            <w:tcW w:w="1985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</w:tcPr>
          <w:p w14:paraId="5CEED6B6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auto"/>
          </w:tcPr>
          <w:p w14:paraId="51AFF3C2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sz w:val="24"/>
                <w:szCs w:val="24"/>
              </w:rPr>
              <w:t>WT1-related Wilms tumor</w:t>
            </w:r>
          </w:p>
        </w:tc>
        <w:tc>
          <w:tcPr>
            <w:tcW w:w="2880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</w:tcPr>
          <w:p w14:paraId="66274C0A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WT1</w:t>
            </w:r>
          </w:p>
        </w:tc>
      </w:tr>
      <w:tr w:rsidR="00216071" w:rsidRPr="00BE4987" w14:paraId="7F363D94" w14:textId="77777777" w:rsidTr="007F1944">
        <w:trPr>
          <w:gridBefore w:val="1"/>
          <w:wBefore w:w="85" w:type="dxa"/>
          <w:trHeight w:val="140"/>
        </w:trPr>
        <w:tc>
          <w:tcPr>
            <w:tcW w:w="1985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D9D9D9" w:themeFill="background1" w:themeFillShade="D9"/>
          </w:tcPr>
          <w:p w14:paraId="00B22465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D9D9D9" w:themeFill="background1" w:themeFillShade="D9"/>
          </w:tcPr>
          <w:p w14:paraId="4D2AE718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Neurofibromatosis type 2</w:t>
            </w:r>
          </w:p>
        </w:tc>
        <w:tc>
          <w:tcPr>
            <w:tcW w:w="2880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D9D9D9" w:themeFill="background1" w:themeFillShade="D9"/>
          </w:tcPr>
          <w:p w14:paraId="01F06A9A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w w:val="95"/>
                <w:sz w:val="24"/>
                <w:szCs w:val="24"/>
              </w:rPr>
              <w:t>NF2</w:t>
            </w:r>
          </w:p>
        </w:tc>
      </w:tr>
      <w:tr w:rsidR="00216071" w:rsidRPr="00BE4987" w14:paraId="6C232DE4" w14:textId="77777777" w:rsidTr="007F1944">
        <w:trPr>
          <w:gridBefore w:val="1"/>
          <w:wBefore w:w="85" w:type="dxa"/>
          <w:trHeight w:val="140"/>
        </w:trPr>
        <w:tc>
          <w:tcPr>
            <w:tcW w:w="1985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</w:tcPr>
          <w:p w14:paraId="5EE55A57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auto"/>
          </w:tcPr>
          <w:p w14:paraId="1FC7AB07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Wilson disease</w:t>
            </w:r>
          </w:p>
        </w:tc>
        <w:tc>
          <w:tcPr>
            <w:tcW w:w="2880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</w:tcPr>
          <w:p w14:paraId="49F8E2D7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ATP7B</w:t>
            </w:r>
          </w:p>
        </w:tc>
      </w:tr>
      <w:tr w:rsidR="00216071" w:rsidRPr="00BE4987" w14:paraId="634F6D03" w14:textId="77777777" w:rsidTr="007F1944">
        <w:trPr>
          <w:gridBefore w:val="1"/>
          <w:wBefore w:w="85" w:type="dxa"/>
          <w:trHeight w:val="250"/>
        </w:trPr>
        <w:tc>
          <w:tcPr>
            <w:tcW w:w="1985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D9D9D9" w:themeFill="background1" w:themeFillShade="D9"/>
          </w:tcPr>
          <w:p w14:paraId="1CA4713A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D9D9D9" w:themeFill="background1" w:themeFillShade="D9"/>
          </w:tcPr>
          <w:p w14:paraId="6B987909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Ornithine transcarbamylase deficiency</w:t>
            </w:r>
          </w:p>
        </w:tc>
        <w:tc>
          <w:tcPr>
            <w:tcW w:w="2880" w:type="dxa"/>
            <w:gridSpan w:val="2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D9D9D9" w:themeFill="background1" w:themeFillShade="D9"/>
          </w:tcPr>
          <w:p w14:paraId="53684C99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OTC</w:t>
            </w:r>
          </w:p>
        </w:tc>
      </w:tr>
      <w:tr w:rsidR="00216071" w:rsidRPr="00BE4987" w14:paraId="39137CF9" w14:textId="77777777" w:rsidTr="007F1944">
        <w:trPr>
          <w:gridBefore w:val="1"/>
          <w:wBefore w:w="85" w:type="dxa"/>
          <w:trHeight w:val="145"/>
        </w:trPr>
        <w:tc>
          <w:tcPr>
            <w:tcW w:w="1985" w:type="dxa"/>
            <w:gridSpan w:val="2"/>
            <w:tcBorders>
              <w:top w:val="single" w:sz="8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E759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410" w:type="dxa"/>
            <w:gridSpan w:val="3"/>
            <w:tcBorders>
              <w:top w:val="single" w:sz="8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94AAD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185"/>
              <w:rPr>
                <w:rFonts w:ascii="Times New Roman" w:eastAsia="Gill Sans MT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w w:val="105"/>
                <w:sz w:val="24"/>
                <w:szCs w:val="24"/>
              </w:rPr>
              <w:t>Neuromuscular disorders</w:t>
            </w:r>
          </w:p>
        </w:tc>
        <w:tc>
          <w:tcPr>
            <w:tcW w:w="2880" w:type="dxa"/>
            <w:gridSpan w:val="2"/>
            <w:tcBorders>
              <w:top w:val="single" w:sz="8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A6BC" w14:textId="77777777" w:rsidR="00216071" w:rsidRPr="00BE4987" w:rsidRDefault="00216071" w:rsidP="00B83252">
            <w:pPr>
              <w:widowControl w:val="0"/>
              <w:autoSpaceDE w:val="0"/>
              <w:autoSpaceDN w:val="0"/>
              <w:spacing w:after="0" w:line="240" w:lineRule="auto"/>
              <w:ind w:left="25" w:right="133"/>
              <w:jc w:val="center"/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</w:pPr>
            <w:r w:rsidRPr="00BE4987">
              <w:rPr>
                <w:rFonts w:ascii="Times New Roman" w:eastAsia="Gill Sans MT" w:hAnsi="Times New Roman" w:cs="Times New Roman"/>
                <w:i/>
                <w:sz w:val="24"/>
                <w:szCs w:val="24"/>
              </w:rPr>
              <w:t>RYR1, CACNA1A, CACNA1S</w:t>
            </w:r>
          </w:p>
        </w:tc>
      </w:tr>
      <w:tr w:rsidR="007F1944" w:rsidRPr="00BE4987" w14:paraId="2423E1C5" w14:textId="77777777" w:rsidTr="007F19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20" w:firstRow="1" w:lastRow="0" w:firstColumn="0" w:lastColumn="0" w:noHBand="0" w:noVBand="1"/>
        </w:tblPrEx>
        <w:trPr>
          <w:gridAfter w:val="1"/>
          <w:wAfter w:w="270" w:type="dxa"/>
          <w:trHeight w:val="53"/>
        </w:trPr>
        <w:tc>
          <w:tcPr>
            <w:tcW w:w="9090" w:type="dxa"/>
            <w:gridSpan w:val="7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AE2DE8" w14:textId="77777777" w:rsidR="007F1944" w:rsidRPr="00BE4987" w:rsidRDefault="007F1944" w:rsidP="00B83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Supplemental Table 2.</w:t>
            </w:r>
            <w:r w:rsidRPr="00BE49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Consensus list of actionable single nucleotide variants </w:t>
            </w:r>
          </w:p>
        </w:tc>
      </w:tr>
      <w:tr w:rsidR="007F1944" w:rsidRPr="00BE4987" w14:paraId="785EE43C" w14:textId="77777777" w:rsidTr="007F19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20" w:firstRow="1" w:lastRow="0" w:firstColumn="0" w:lastColumn="0" w:noHBand="0" w:noVBand="1"/>
        </w:tblPrEx>
        <w:trPr>
          <w:gridAfter w:val="1"/>
          <w:wAfter w:w="270" w:type="dxa"/>
          <w:trHeight w:val="39"/>
        </w:trPr>
        <w:tc>
          <w:tcPr>
            <w:tcW w:w="1530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98F6CB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rs#</w:t>
            </w:r>
          </w:p>
        </w:tc>
        <w:tc>
          <w:tcPr>
            <w:tcW w:w="1260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40945F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iCs/>
                <w:kern w:val="24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b/>
                <w:iCs/>
                <w:kern w:val="24"/>
                <w:sz w:val="24"/>
                <w:szCs w:val="24"/>
              </w:rPr>
              <w:t>Gene</w:t>
            </w:r>
          </w:p>
        </w:tc>
        <w:tc>
          <w:tcPr>
            <w:tcW w:w="33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88FD6B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Associated Disease</w:t>
            </w:r>
          </w:p>
        </w:tc>
        <w:tc>
          <w:tcPr>
            <w:tcW w:w="2970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6EC3EC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Disease Category</w:t>
            </w:r>
          </w:p>
        </w:tc>
      </w:tr>
      <w:tr w:rsidR="007F1944" w:rsidRPr="00BE4987" w14:paraId="7EDB770C" w14:textId="77777777" w:rsidTr="007F19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20" w:firstRow="1" w:lastRow="0" w:firstColumn="0" w:lastColumn="0" w:noHBand="0" w:noVBand="1"/>
        </w:tblPrEx>
        <w:trPr>
          <w:gridAfter w:val="1"/>
          <w:wAfter w:w="270" w:type="dxa"/>
          <w:trHeight w:val="39"/>
        </w:trPr>
        <w:tc>
          <w:tcPr>
            <w:tcW w:w="1530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66D824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rs77931234</w:t>
            </w:r>
          </w:p>
        </w:tc>
        <w:tc>
          <w:tcPr>
            <w:tcW w:w="1260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7ED124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ACADM</w:t>
            </w:r>
          </w:p>
        </w:tc>
        <w:tc>
          <w:tcPr>
            <w:tcW w:w="33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2A39DB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Medium-chain acyl-CoA dehydrogenase (MCAD) deficiency</w:t>
            </w:r>
          </w:p>
        </w:tc>
        <w:tc>
          <w:tcPr>
            <w:tcW w:w="2970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FA4FFD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Inborn error of metabolism</w:t>
            </w:r>
          </w:p>
        </w:tc>
      </w:tr>
      <w:tr w:rsidR="007F1944" w:rsidRPr="00BE4987" w14:paraId="186F90CA" w14:textId="77777777" w:rsidTr="007F19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20" w:firstRow="1" w:lastRow="0" w:firstColumn="0" w:lastColumn="0" w:noHBand="0" w:noVBand="1"/>
        </w:tblPrEx>
        <w:trPr>
          <w:gridAfter w:val="1"/>
          <w:wAfter w:w="270" w:type="dxa"/>
          <w:trHeight w:val="109"/>
        </w:trPr>
        <w:tc>
          <w:tcPr>
            <w:tcW w:w="1530" w:type="dxa"/>
            <w:gridSpan w:val="2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72F4E8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rs387906225</w:t>
            </w:r>
          </w:p>
        </w:tc>
        <w:tc>
          <w:tcPr>
            <w:tcW w:w="1260" w:type="dxa"/>
            <w:gridSpan w:val="2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2A3157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ALDOB</w:t>
            </w:r>
          </w:p>
        </w:tc>
        <w:tc>
          <w:tcPr>
            <w:tcW w:w="333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B38DE7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Hereditary fructose intolerance</w:t>
            </w:r>
          </w:p>
        </w:tc>
        <w:tc>
          <w:tcPr>
            <w:tcW w:w="2970" w:type="dxa"/>
            <w:gridSpan w:val="2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57B2B5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Inborn error of metabolism</w:t>
            </w:r>
          </w:p>
        </w:tc>
      </w:tr>
      <w:tr w:rsidR="007F1944" w:rsidRPr="00BE4987" w14:paraId="45E66F35" w14:textId="77777777" w:rsidTr="007F19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20" w:firstRow="1" w:lastRow="0" w:firstColumn="0" w:lastColumn="0" w:noHBand="0" w:noVBand="1"/>
        </w:tblPrEx>
        <w:trPr>
          <w:gridAfter w:val="1"/>
          <w:wAfter w:w="270" w:type="dxa"/>
          <w:trHeight w:val="39"/>
        </w:trPr>
        <w:tc>
          <w:tcPr>
            <w:tcW w:w="1530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12505B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rs386834233</w:t>
            </w:r>
          </w:p>
        </w:tc>
        <w:tc>
          <w:tcPr>
            <w:tcW w:w="1260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A164A9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BCKDHB</w:t>
            </w:r>
          </w:p>
        </w:tc>
        <w:tc>
          <w:tcPr>
            <w:tcW w:w="33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9F8AAD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Maple syrup urine disease</w:t>
            </w:r>
          </w:p>
        </w:tc>
        <w:tc>
          <w:tcPr>
            <w:tcW w:w="2970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97DC2C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Inborn error of metabolism</w:t>
            </w:r>
          </w:p>
        </w:tc>
      </w:tr>
      <w:tr w:rsidR="007F1944" w:rsidRPr="00BE4987" w14:paraId="3C3F3F02" w14:textId="77777777" w:rsidTr="007F19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20" w:firstRow="1" w:lastRow="0" w:firstColumn="0" w:lastColumn="0" w:noHBand="0" w:noVBand="1"/>
        </w:tblPrEx>
        <w:trPr>
          <w:gridAfter w:val="1"/>
          <w:wAfter w:w="270" w:type="dxa"/>
          <w:trHeight w:val="39"/>
        </w:trPr>
        <w:tc>
          <w:tcPr>
            <w:tcW w:w="1530" w:type="dxa"/>
            <w:gridSpan w:val="2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451B66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rs79761867</w:t>
            </w:r>
          </w:p>
        </w:tc>
        <w:tc>
          <w:tcPr>
            <w:tcW w:w="1260" w:type="dxa"/>
            <w:gridSpan w:val="2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38D50C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BCKDHB</w:t>
            </w:r>
          </w:p>
        </w:tc>
        <w:tc>
          <w:tcPr>
            <w:tcW w:w="333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5201A7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Maple syrup urine disease</w:t>
            </w:r>
          </w:p>
        </w:tc>
        <w:tc>
          <w:tcPr>
            <w:tcW w:w="2970" w:type="dxa"/>
            <w:gridSpan w:val="2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164AC5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Inborn error of metabolism</w:t>
            </w:r>
          </w:p>
        </w:tc>
      </w:tr>
      <w:tr w:rsidR="007F1944" w:rsidRPr="00BE4987" w14:paraId="67DB8547" w14:textId="77777777" w:rsidTr="007F19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20" w:firstRow="1" w:lastRow="0" w:firstColumn="0" w:lastColumn="0" w:noHBand="0" w:noVBand="1"/>
        </w:tblPrEx>
        <w:trPr>
          <w:gridAfter w:val="1"/>
          <w:wAfter w:w="270" w:type="dxa"/>
          <w:trHeight w:val="39"/>
        </w:trPr>
        <w:tc>
          <w:tcPr>
            <w:tcW w:w="1530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610897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rs80338898</w:t>
            </w:r>
          </w:p>
        </w:tc>
        <w:tc>
          <w:tcPr>
            <w:tcW w:w="1260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937307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FAH</w:t>
            </w:r>
          </w:p>
        </w:tc>
        <w:tc>
          <w:tcPr>
            <w:tcW w:w="33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B0BC24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Tyrosinemia type I</w:t>
            </w:r>
          </w:p>
        </w:tc>
        <w:tc>
          <w:tcPr>
            <w:tcW w:w="2970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2EA0CD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Inborn error of metabolism</w:t>
            </w:r>
          </w:p>
        </w:tc>
      </w:tr>
      <w:tr w:rsidR="007F1944" w:rsidRPr="00BE4987" w14:paraId="64FFB672" w14:textId="77777777" w:rsidTr="007F19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20" w:firstRow="1" w:lastRow="0" w:firstColumn="0" w:lastColumn="0" w:noHBand="0" w:noVBand="1"/>
        </w:tblPrEx>
        <w:trPr>
          <w:gridAfter w:val="1"/>
          <w:wAfter w:w="270" w:type="dxa"/>
          <w:trHeight w:val="39"/>
        </w:trPr>
        <w:tc>
          <w:tcPr>
            <w:tcW w:w="1530" w:type="dxa"/>
            <w:gridSpan w:val="2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94E675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rs1801175</w:t>
            </w:r>
          </w:p>
        </w:tc>
        <w:tc>
          <w:tcPr>
            <w:tcW w:w="1260" w:type="dxa"/>
            <w:gridSpan w:val="2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5A0566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G6PC</w:t>
            </w:r>
          </w:p>
        </w:tc>
        <w:tc>
          <w:tcPr>
            <w:tcW w:w="333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8DED4C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Glycogen storage disease type I</w:t>
            </w:r>
          </w:p>
        </w:tc>
        <w:tc>
          <w:tcPr>
            <w:tcW w:w="2970" w:type="dxa"/>
            <w:gridSpan w:val="2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D5753F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Inborn error of metabolism</w:t>
            </w:r>
          </w:p>
        </w:tc>
      </w:tr>
      <w:tr w:rsidR="007F1944" w:rsidRPr="00BE4987" w14:paraId="18C1EEC6" w14:textId="77777777" w:rsidTr="007F19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20" w:firstRow="1" w:lastRow="0" w:firstColumn="0" w:lastColumn="0" w:noHBand="0" w:noVBand="1"/>
        </w:tblPrEx>
        <w:trPr>
          <w:gridAfter w:val="1"/>
          <w:wAfter w:w="270" w:type="dxa"/>
          <w:trHeight w:val="39"/>
        </w:trPr>
        <w:tc>
          <w:tcPr>
            <w:tcW w:w="1530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0714F9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rs397509431</w:t>
            </w:r>
          </w:p>
        </w:tc>
        <w:tc>
          <w:tcPr>
            <w:tcW w:w="1260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BC5AF7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CPT2</w:t>
            </w:r>
          </w:p>
        </w:tc>
        <w:tc>
          <w:tcPr>
            <w:tcW w:w="33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FA8CA6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Carnitine palmitoyltransferase II (CPT II) deficiency</w:t>
            </w:r>
          </w:p>
        </w:tc>
        <w:tc>
          <w:tcPr>
            <w:tcW w:w="2970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F28AC1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Inborn error of metabolism</w:t>
            </w:r>
          </w:p>
        </w:tc>
      </w:tr>
      <w:tr w:rsidR="007F1944" w:rsidRPr="00BE4987" w14:paraId="076B8A41" w14:textId="77777777" w:rsidTr="007F19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20" w:firstRow="1" w:lastRow="0" w:firstColumn="0" w:lastColumn="0" w:noHBand="0" w:noVBand="1"/>
        </w:tblPrEx>
        <w:trPr>
          <w:gridAfter w:val="1"/>
          <w:wAfter w:w="270" w:type="dxa"/>
          <w:trHeight w:val="39"/>
        </w:trPr>
        <w:tc>
          <w:tcPr>
            <w:tcW w:w="1530" w:type="dxa"/>
            <w:gridSpan w:val="2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F1E18B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rs113993962</w:t>
            </w:r>
          </w:p>
        </w:tc>
        <w:tc>
          <w:tcPr>
            <w:tcW w:w="1260" w:type="dxa"/>
            <w:gridSpan w:val="2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667380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BLM</w:t>
            </w:r>
          </w:p>
        </w:tc>
        <w:tc>
          <w:tcPr>
            <w:tcW w:w="333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69E5D2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Bloom Syndrome</w:t>
            </w:r>
          </w:p>
        </w:tc>
        <w:tc>
          <w:tcPr>
            <w:tcW w:w="2970" w:type="dxa"/>
            <w:gridSpan w:val="2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A2678F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Cancer susceptibility</w:t>
            </w:r>
          </w:p>
        </w:tc>
      </w:tr>
      <w:tr w:rsidR="007F1944" w:rsidRPr="00BE4987" w14:paraId="22904D93" w14:textId="77777777" w:rsidTr="007F19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20" w:firstRow="1" w:lastRow="0" w:firstColumn="0" w:lastColumn="0" w:noHBand="0" w:noVBand="1"/>
        </w:tblPrEx>
        <w:trPr>
          <w:gridAfter w:val="1"/>
          <w:wAfter w:w="270" w:type="dxa"/>
          <w:trHeight w:val="39"/>
        </w:trPr>
        <w:tc>
          <w:tcPr>
            <w:tcW w:w="1530" w:type="dxa"/>
            <w:gridSpan w:val="2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A3A705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rs193922376</w:t>
            </w:r>
          </w:p>
        </w:tc>
        <w:tc>
          <w:tcPr>
            <w:tcW w:w="1260" w:type="dxa"/>
            <w:gridSpan w:val="2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4B48A0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MSH2</w:t>
            </w:r>
          </w:p>
        </w:tc>
        <w:tc>
          <w:tcPr>
            <w:tcW w:w="333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2E0BD8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Lynch syndrome</w:t>
            </w: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vertAlign w:val="superscript"/>
              </w:rPr>
              <w:t>#</w:t>
            </w:r>
          </w:p>
        </w:tc>
        <w:tc>
          <w:tcPr>
            <w:tcW w:w="2970" w:type="dxa"/>
            <w:gridSpan w:val="2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896910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Cancer susceptibility</w:t>
            </w:r>
          </w:p>
        </w:tc>
      </w:tr>
      <w:tr w:rsidR="007F1944" w:rsidRPr="00BE4987" w14:paraId="1C6D486E" w14:textId="77777777" w:rsidTr="007F19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20" w:firstRow="1" w:lastRow="0" w:firstColumn="0" w:lastColumn="0" w:noHBand="0" w:noVBand="1"/>
        </w:tblPrEx>
        <w:trPr>
          <w:gridAfter w:val="1"/>
          <w:wAfter w:w="270" w:type="dxa"/>
          <w:trHeight w:val="39"/>
        </w:trPr>
        <w:tc>
          <w:tcPr>
            <w:tcW w:w="1530" w:type="dxa"/>
            <w:gridSpan w:val="2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FCD42D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rs6467</w:t>
            </w:r>
          </w:p>
        </w:tc>
        <w:tc>
          <w:tcPr>
            <w:tcW w:w="1260" w:type="dxa"/>
            <w:gridSpan w:val="2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6478AC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CYP21A2</w:t>
            </w:r>
          </w:p>
        </w:tc>
        <w:tc>
          <w:tcPr>
            <w:tcW w:w="333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762C69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21-hydroxylase deficiency</w:t>
            </w:r>
          </w:p>
        </w:tc>
        <w:tc>
          <w:tcPr>
            <w:tcW w:w="2970" w:type="dxa"/>
            <w:gridSpan w:val="2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928E64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Endocrinology</w:t>
            </w:r>
          </w:p>
        </w:tc>
      </w:tr>
      <w:tr w:rsidR="007F1944" w:rsidRPr="00BE4987" w14:paraId="13C81972" w14:textId="77777777" w:rsidTr="007F19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20" w:firstRow="1" w:lastRow="0" w:firstColumn="0" w:lastColumn="0" w:noHBand="0" w:noVBand="1"/>
        </w:tblPrEx>
        <w:trPr>
          <w:gridAfter w:val="1"/>
          <w:wAfter w:w="270" w:type="dxa"/>
          <w:trHeight w:val="39"/>
        </w:trPr>
        <w:tc>
          <w:tcPr>
            <w:tcW w:w="1530" w:type="dxa"/>
            <w:gridSpan w:val="2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805CFC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rs6025</w:t>
            </w:r>
          </w:p>
        </w:tc>
        <w:tc>
          <w:tcPr>
            <w:tcW w:w="1260" w:type="dxa"/>
            <w:gridSpan w:val="2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7BEBCB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F5</w:t>
            </w:r>
          </w:p>
        </w:tc>
        <w:tc>
          <w:tcPr>
            <w:tcW w:w="333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117FB8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factor V Leiden thrombophilia</w:t>
            </w: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970" w:type="dxa"/>
            <w:gridSpan w:val="2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5D9FCC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Thrombophilia</w:t>
            </w:r>
          </w:p>
        </w:tc>
      </w:tr>
      <w:tr w:rsidR="007F1944" w:rsidRPr="00BE4987" w14:paraId="7E3BB19A" w14:textId="77777777" w:rsidTr="007F19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20" w:firstRow="1" w:lastRow="0" w:firstColumn="0" w:lastColumn="0" w:noHBand="0" w:noVBand="1"/>
        </w:tblPrEx>
        <w:trPr>
          <w:gridAfter w:val="1"/>
          <w:wAfter w:w="270" w:type="dxa"/>
          <w:trHeight w:val="39"/>
        </w:trPr>
        <w:tc>
          <w:tcPr>
            <w:tcW w:w="1530" w:type="dxa"/>
            <w:gridSpan w:val="2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84F710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rs1800562</w:t>
            </w:r>
          </w:p>
        </w:tc>
        <w:tc>
          <w:tcPr>
            <w:tcW w:w="1260" w:type="dxa"/>
            <w:gridSpan w:val="2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071A0C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HFE</w:t>
            </w:r>
          </w:p>
        </w:tc>
        <w:tc>
          <w:tcPr>
            <w:tcW w:w="333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7F144E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Hereditary hemochromatosis</w:t>
            </w:r>
          </w:p>
        </w:tc>
        <w:tc>
          <w:tcPr>
            <w:tcW w:w="2970" w:type="dxa"/>
            <w:gridSpan w:val="2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3AB4EE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Iron storage</w:t>
            </w:r>
          </w:p>
        </w:tc>
      </w:tr>
      <w:tr w:rsidR="007F1944" w:rsidRPr="00BE4987" w14:paraId="010533CA" w14:textId="77777777" w:rsidTr="007F19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20" w:firstRow="1" w:lastRow="0" w:firstColumn="0" w:lastColumn="0" w:noHBand="0" w:noVBand="1"/>
        </w:tblPrEx>
        <w:trPr>
          <w:gridAfter w:val="1"/>
          <w:wAfter w:w="270" w:type="dxa"/>
          <w:trHeight w:val="39"/>
        </w:trPr>
        <w:tc>
          <w:tcPr>
            <w:tcW w:w="1530" w:type="dxa"/>
            <w:gridSpan w:val="2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194D8D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rs28940579</w:t>
            </w:r>
          </w:p>
        </w:tc>
        <w:tc>
          <w:tcPr>
            <w:tcW w:w="1260" w:type="dxa"/>
            <w:gridSpan w:val="2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C0FB68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MEFV</w:t>
            </w:r>
          </w:p>
        </w:tc>
        <w:tc>
          <w:tcPr>
            <w:tcW w:w="333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798ECF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Familial Mediterranean fever</w:t>
            </w:r>
          </w:p>
        </w:tc>
        <w:tc>
          <w:tcPr>
            <w:tcW w:w="2970" w:type="dxa"/>
            <w:gridSpan w:val="2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6886B8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Inflammatory</w:t>
            </w:r>
          </w:p>
        </w:tc>
      </w:tr>
      <w:tr w:rsidR="007F1944" w:rsidRPr="00BE4987" w14:paraId="53C8B2AF" w14:textId="77777777" w:rsidTr="007F19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20" w:firstRow="1" w:lastRow="0" w:firstColumn="0" w:lastColumn="0" w:noHBand="0" w:noVBand="1"/>
        </w:tblPrEx>
        <w:trPr>
          <w:gridAfter w:val="1"/>
          <w:wAfter w:w="270" w:type="dxa"/>
          <w:trHeight w:val="39"/>
        </w:trPr>
        <w:tc>
          <w:tcPr>
            <w:tcW w:w="1530" w:type="dxa"/>
            <w:gridSpan w:val="2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A07212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rs61752717</w:t>
            </w:r>
          </w:p>
        </w:tc>
        <w:tc>
          <w:tcPr>
            <w:tcW w:w="1260" w:type="dxa"/>
            <w:gridSpan w:val="2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450465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i/>
                <w:iCs/>
                <w:kern w:val="24"/>
                <w:sz w:val="24"/>
                <w:szCs w:val="24"/>
              </w:rPr>
              <w:t>MEFV</w:t>
            </w:r>
          </w:p>
        </w:tc>
        <w:tc>
          <w:tcPr>
            <w:tcW w:w="3330" w:type="dxa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C64C31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Familial Mediterranean fever</w:t>
            </w:r>
          </w:p>
        </w:tc>
        <w:tc>
          <w:tcPr>
            <w:tcW w:w="2970" w:type="dxa"/>
            <w:gridSpan w:val="2"/>
            <w:shd w:val="clear" w:color="auto" w:fill="E7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65C1CD" w14:textId="77777777" w:rsidR="007F1944" w:rsidRPr="00BE4987" w:rsidRDefault="007F1944" w:rsidP="00B83252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98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</w:rPr>
              <w:t>Inflammatory</w:t>
            </w:r>
          </w:p>
        </w:tc>
      </w:tr>
    </w:tbl>
    <w:p w14:paraId="557BBBEA" w14:textId="77777777" w:rsidR="007F1944" w:rsidRPr="00BE4987" w:rsidRDefault="007F1944" w:rsidP="007F19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E4DFC5" w14:textId="77777777" w:rsidR="007F1944" w:rsidRDefault="007F1944" w:rsidP="007F194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E4987">
        <w:rPr>
          <w:rFonts w:ascii="Times New Roman" w:hAnsi="Times New Roman" w:cs="Times New Roman"/>
          <w:bCs/>
          <w:sz w:val="24"/>
          <w:szCs w:val="24"/>
        </w:rPr>
        <w:t xml:space="preserve">Only bi-allelic (homozygous, or if applicable compound heterozygous) variants will be returned. </w:t>
      </w:r>
    </w:p>
    <w:p w14:paraId="1569414A" w14:textId="77777777" w:rsidR="007F1944" w:rsidRPr="0084149C" w:rsidRDefault="007F1944" w:rsidP="007F194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E4987">
        <w:rPr>
          <w:rFonts w:ascii="Times New Roman" w:hAnsi="Times New Roman" w:cs="Times New Roman"/>
          <w:bCs/>
          <w:sz w:val="24"/>
          <w:szCs w:val="24"/>
        </w:rPr>
        <w:t>Mode of inheritance is autosomal recessive except #=autosomal dominant and *=risk increased.</w:t>
      </w:r>
    </w:p>
    <w:p w14:paraId="01FA7A9F" w14:textId="77777777" w:rsidR="00B249C1" w:rsidRDefault="00B249C1"/>
    <w:sectPr w:rsidR="00B249C1" w:rsidSect="00216071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6071"/>
    <w:rsid w:val="00216071"/>
    <w:rsid w:val="0032591A"/>
    <w:rsid w:val="003D1D1E"/>
    <w:rsid w:val="006A30DC"/>
    <w:rsid w:val="007F1944"/>
    <w:rsid w:val="00B2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012EE02"/>
  <w14:defaultImageDpi w14:val="300"/>
  <w15:docId w15:val="{5C2C6ED9-5CFC-44C4-BBEB-B56FBBDAA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16071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2502</Characters>
  <Application>Microsoft Office Word</Application>
  <DocSecurity>0</DocSecurity>
  <Lines>20</Lines>
  <Paragraphs>5</Paragraphs>
  <ScaleCrop>false</ScaleCrop>
  <Company>ASU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Gabe</dc:creator>
  <cp:keywords/>
  <dc:description/>
  <cp:lastModifiedBy>Vera Warren</cp:lastModifiedBy>
  <cp:revision>5</cp:revision>
  <dcterms:created xsi:type="dcterms:W3CDTF">2018-03-02T19:35:00Z</dcterms:created>
  <dcterms:modified xsi:type="dcterms:W3CDTF">2018-11-20T08:19:00Z</dcterms:modified>
</cp:coreProperties>
</file>