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26" w:rsidRPr="00554171" w:rsidRDefault="00026226" w:rsidP="00026226">
      <w:pPr>
        <w:spacing w:line="480" w:lineRule="auto"/>
        <w:rPr>
          <w:rFonts w:ascii="Times New Roman" w:eastAsia="Meiryo" w:hAnsi="Times New Roman" w:cs="Times New Roman"/>
          <w:i/>
          <w:sz w:val="24"/>
          <w:szCs w:val="24"/>
        </w:rPr>
      </w:pPr>
      <w:r w:rsidRPr="00554171">
        <w:rPr>
          <w:rFonts w:ascii="Times New Roman" w:eastAsia="Meiryo" w:hAnsi="Times New Roman" w:cs="Times New Roman"/>
          <w:i/>
          <w:sz w:val="24"/>
          <w:szCs w:val="24"/>
        </w:rPr>
        <w:t>Selection of potential candidates for new CLM biomarkers</w:t>
      </w:r>
    </w:p>
    <w:p w:rsidR="00026226" w:rsidRDefault="00026226" w:rsidP="00026226">
      <w:pPr>
        <w:spacing w:line="480" w:lineRule="auto"/>
        <w:ind w:firstLineChars="100" w:firstLine="240"/>
        <w:rPr>
          <w:rFonts w:ascii="Times New Roman" w:eastAsia="Meiryo" w:hAnsi="Times New Roman" w:cs="Times New Roman"/>
          <w:sz w:val="24"/>
          <w:szCs w:val="24"/>
        </w:rPr>
      </w:pPr>
      <w:r w:rsidRPr="00554171">
        <w:rPr>
          <w:rFonts w:ascii="Times New Roman" w:hAnsi="Times New Roman" w:cs="Times New Roman"/>
          <w:sz w:val="24"/>
          <w:szCs w:val="24"/>
        </w:rPr>
        <w:t xml:space="preserve">Among the genetic variants in 2010 SNPs detected in the genome wide sequencing analyses for the 10 patients, </w:t>
      </w:r>
      <w:r w:rsidRPr="00554171">
        <w:rPr>
          <w:rFonts w:ascii="Times New Roman" w:eastAsia="Meiryo" w:hAnsi="Times New Roman" w:cs="Times New Roman"/>
          <w:color w:val="000000" w:themeColor="text1"/>
          <w:sz w:val="24"/>
          <w:szCs w:val="24"/>
        </w:rPr>
        <w:t xml:space="preserve">75 genes for which the difference in the prevalence of the variants between the Group G and Group P had a P value of &lt;0.2 were selected as preliminary candidates for new biomarkers (initial selection). Then, considering the incidence of mutations and the reported function of these 75 genes, the candidates for new biomarkers were narrowed down to the following 3 genes: </w:t>
      </w:r>
      <w:r w:rsidRPr="00554171">
        <w:rPr>
          <w:rFonts w:ascii="Times New Roman" w:eastAsia="Meiryo" w:hAnsi="Times New Roman" w:cs="Times New Roman"/>
          <w:i/>
          <w:color w:val="000000" w:themeColor="text1"/>
          <w:sz w:val="24"/>
          <w:szCs w:val="24"/>
        </w:rPr>
        <w:t>MICA, ARID 2</w:t>
      </w:r>
      <w:r w:rsidRPr="00554171">
        <w:rPr>
          <w:rFonts w:ascii="Times New Roman" w:eastAsia="Meiryo" w:hAnsi="Times New Roman" w:cs="Times New Roman"/>
          <w:color w:val="000000" w:themeColor="text1"/>
          <w:sz w:val="24"/>
          <w:szCs w:val="24"/>
        </w:rPr>
        <w:t xml:space="preserve"> and </w:t>
      </w:r>
      <w:r w:rsidRPr="00554171">
        <w:rPr>
          <w:rFonts w:ascii="Times New Roman" w:eastAsia="Meiryo" w:hAnsi="Times New Roman" w:cs="Times New Roman"/>
          <w:i/>
          <w:color w:val="000000" w:themeColor="text1"/>
          <w:sz w:val="24"/>
          <w:szCs w:val="24"/>
        </w:rPr>
        <w:t>ZFHX3</w:t>
      </w:r>
      <w:r w:rsidRPr="00554171">
        <w:rPr>
          <w:rFonts w:ascii="Times New Roman" w:eastAsia="Meiryo" w:hAnsi="Times New Roman" w:cs="Times New Roman"/>
          <w:color w:val="000000" w:themeColor="text1"/>
          <w:sz w:val="24"/>
          <w:szCs w:val="24"/>
        </w:rPr>
        <w:t xml:space="preserve"> (secondary selection) (</w:t>
      </w:r>
      <w:r w:rsidRPr="00554171">
        <w:rPr>
          <w:rFonts w:ascii="Times New Roman" w:eastAsia="Meiryo" w:hAnsi="Times New Roman" w:cs="Times New Roman"/>
          <w:b/>
          <w:color w:val="000000" w:themeColor="text1"/>
          <w:sz w:val="24"/>
          <w:szCs w:val="24"/>
        </w:rPr>
        <w:t>Supplemental Table 1</w:t>
      </w:r>
      <w:r w:rsidRPr="00554171">
        <w:rPr>
          <w:rFonts w:ascii="Times New Roman" w:eastAsia="Meiryo" w:hAnsi="Times New Roman" w:cs="Times New Roman"/>
          <w:color w:val="000000" w:themeColor="text1"/>
          <w:sz w:val="24"/>
          <w:szCs w:val="24"/>
        </w:rPr>
        <w:t xml:space="preserve">). Among these, </w:t>
      </w:r>
      <w:r w:rsidRPr="00554171">
        <w:rPr>
          <w:rFonts w:ascii="Times New Roman" w:eastAsia="Meiryo" w:hAnsi="Times New Roman" w:cs="Times New Roman"/>
          <w:i/>
          <w:color w:val="000000" w:themeColor="text1"/>
          <w:sz w:val="24"/>
          <w:szCs w:val="24"/>
        </w:rPr>
        <w:t xml:space="preserve">MICA </w:t>
      </w:r>
      <w:r w:rsidRPr="00554171">
        <w:rPr>
          <w:rFonts w:ascii="Times New Roman" w:eastAsia="Meiryo" w:hAnsi="Times New Roman" w:cs="Times New Roman"/>
          <w:color w:val="000000" w:themeColor="text1"/>
          <w:sz w:val="24"/>
          <w:szCs w:val="24"/>
        </w:rPr>
        <w:t>showed constant variants in a specific SNP (rs147557828), while the others showed indeterminate mutations or heterogeneous variants within the same gene (</w:t>
      </w:r>
      <w:r w:rsidRPr="00554171">
        <w:rPr>
          <w:rFonts w:ascii="Times New Roman" w:eastAsia="Meiryo" w:hAnsi="Times New Roman" w:cs="Times New Roman"/>
          <w:b/>
          <w:color w:val="000000" w:themeColor="text1"/>
          <w:sz w:val="24"/>
          <w:szCs w:val="24"/>
        </w:rPr>
        <w:t>Supplemental Table 2</w:t>
      </w:r>
      <w:r w:rsidRPr="00554171">
        <w:rPr>
          <w:rFonts w:ascii="Times New Roman" w:eastAsia="Meiryo" w:hAnsi="Times New Roman" w:cs="Times New Roman"/>
          <w:color w:val="000000" w:themeColor="text1"/>
          <w:sz w:val="24"/>
          <w:szCs w:val="24"/>
        </w:rPr>
        <w:t xml:space="preserve">). Therefore, </w:t>
      </w:r>
      <w:r w:rsidRPr="00554171">
        <w:rPr>
          <w:rFonts w:ascii="Times New Roman" w:eastAsia="Meiryo" w:hAnsi="Times New Roman" w:cs="Times New Roman"/>
          <w:i/>
          <w:color w:val="000000" w:themeColor="text1"/>
          <w:sz w:val="24"/>
          <w:szCs w:val="24"/>
        </w:rPr>
        <w:t>MICA</w:t>
      </w:r>
      <w:r w:rsidRPr="00554171">
        <w:rPr>
          <w:rFonts w:ascii="Times New Roman" w:eastAsia="Meiryo" w:hAnsi="Times New Roman" w:cs="Times New Roman"/>
          <w:color w:val="000000" w:themeColor="text1"/>
          <w:sz w:val="24"/>
          <w:szCs w:val="24"/>
        </w:rPr>
        <w:t xml:space="preserve">, the major histocompatibility complex (MHC) class I polypeptide-related sequence A, </w:t>
      </w:r>
      <w:r w:rsidRPr="00554171">
        <w:rPr>
          <w:rFonts w:ascii="Times New Roman" w:eastAsia="Meiryo" w:hAnsi="Times New Roman" w:cs="Times New Roman"/>
          <w:sz w:val="24"/>
          <w:szCs w:val="24"/>
        </w:rPr>
        <w:t xml:space="preserve">was selected for further study as a potential new biomarker for CLM. </w:t>
      </w: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bookmarkStart w:id="0" w:name="_GoBack"/>
      <w:bookmarkEnd w:id="0"/>
    </w:p>
    <w:p w:rsidR="00026226" w:rsidRDefault="00026226" w:rsidP="00026226">
      <w:pPr>
        <w:spacing w:line="480" w:lineRule="auto"/>
        <w:ind w:firstLineChars="100" w:firstLine="240"/>
        <w:rPr>
          <w:rFonts w:ascii="Times New Roman" w:eastAsia="Meiryo" w:hAnsi="Times New Roman" w:cs="Times New Roman"/>
          <w:sz w:val="24"/>
          <w:szCs w:val="24"/>
        </w:rPr>
      </w:pPr>
    </w:p>
    <w:p w:rsidR="00026226" w:rsidRDefault="00026226" w:rsidP="00026226">
      <w:pPr>
        <w:spacing w:line="480" w:lineRule="auto"/>
        <w:ind w:firstLineChars="100" w:firstLine="240"/>
        <w:rPr>
          <w:rFonts w:ascii="Times New Roman" w:eastAsia="Meiryo" w:hAnsi="Times New Roman" w:cs="Times New Roman"/>
          <w:sz w:val="24"/>
          <w:szCs w:val="24"/>
        </w:rPr>
      </w:pPr>
    </w:p>
    <w:tbl>
      <w:tblPr>
        <w:tblW w:w="8801" w:type="dxa"/>
        <w:tblInd w:w="99" w:type="dxa"/>
        <w:tblCellMar>
          <w:top w:w="15" w:type="dxa"/>
          <w:left w:w="99" w:type="dxa"/>
          <w:bottom w:w="15" w:type="dxa"/>
          <w:right w:w="99" w:type="dxa"/>
        </w:tblCellMar>
        <w:tblLook w:val="04A0" w:firstRow="1" w:lastRow="0" w:firstColumn="1" w:lastColumn="0" w:noHBand="0" w:noVBand="1"/>
      </w:tblPr>
      <w:tblGrid>
        <w:gridCol w:w="1427"/>
        <w:gridCol w:w="1364"/>
        <w:gridCol w:w="1364"/>
        <w:gridCol w:w="4646"/>
      </w:tblGrid>
      <w:tr w:rsidR="00026226" w:rsidRPr="00D81F41" w:rsidTr="00654A5F">
        <w:trPr>
          <w:trHeight w:val="360"/>
        </w:trPr>
        <w:tc>
          <w:tcPr>
            <w:tcW w:w="8801" w:type="dxa"/>
            <w:gridSpan w:val="4"/>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lastRenderedPageBreak/>
              <w:t>Supplemental Table 1. Candidates for new biomarkers</w:t>
            </w:r>
          </w:p>
        </w:tc>
      </w:tr>
      <w:tr w:rsidR="00026226" w:rsidRPr="00D81F41" w:rsidTr="00654A5F">
        <w:trPr>
          <w:trHeight w:val="1080"/>
        </w:trPr>
        <w:tc>
          <w:tcPr>
            <w:tcW w:w="1427" w:type="dxa"/>
            <w:tcBorders>
              <w:top w:val="single" w:sz="4" w:space="0" w:color="auto"/>
              <w:left w:val="nil"/>
              <w:bottom w:val="single" w:sz="4" w:space="0" w:color="auto"/>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Gene</w:t>
            </w:r>
            <w:r>
              <w:rPr>
                <w:rFonts w:ascii="Times New Roman" w:eastAsia="Yu Gothic" w:hAnsi="Times New Roman" w:cs="Times New Roman"/>
                <w:color w:val="000000"/>
                <w:kern w:val="0"/>
                <w:sz w:val="22"/>
              </w:rPr>
              <w:t>s</w:t>
            </w:r>
          </w:p>
        </w:tc>
        <w:tc>
          <w:tcPr>
            <w:tcW w:w="1364" w:type="dxa"/>
            <w:tcBorders>
              <w:top w:val="single" w:sz="4" w:space="0" w:color="auto"/>
              <w:left w:val="nil"/>
              <w:bottom w:val="single" w:sz="4" w:space="0" w:color="auto"/>
              <w:right w:val="nil"/>
            </w:tcBorders>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Mutation in Group G (n=6)</w:t>
            </w:r>
          </w:p>
        </w:tc>
        <w:tc>
          <w:tcPr>
            <w:tcW w:w="1364" w:type="dxa"/>
            <w:tcBorders>
              <w:top w:val="single" w:sz="4" w:space="0" w:color="auto"/>
              <w:left w:val="nil"/>
              <w:bottom w:val="single" w:sz="4" w:space="0" w:color="auto"/>
              <w:right w:val="nil"/>
            </w:tcBorders>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Mutation in Group P (n=4)</w:t>
            </w:r>
          </w:p>
        </w:tc>
        <w:tc>
          <w:tcPr>
            <w:tcW w:w="4646" w:type="dxa"/>
            <w:tcBorders>
              <w:top w:val="single" w:sz="4" w:space="0" w:color="auto"/>
              <w:left w:val="nil"/>
              <w:bottom w:val="single" w:sz="4" w:space="0" w:color="auto"/>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Function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NUMA1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4</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nuclear matrix</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NSD1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4</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androgen receptor transactivation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BYSL</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4</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proofErr w:type="spellStart"/>
            <w:r w:rsidRPr="00D81F41">
              <w:rPr>
                <w:rFonts w:ascii="Times New Roman" w:eastAsia="Yu Gothic" w:hAnsi="Times New Roman" w:cs="Times New Roman"/>
                <w:color w:val="000000"/>
                <w:kern w:val="0"/>
                <w:sz w:val="22"/>
              </w:rPr>
              <w:t>rRNA</w:t>
            </w:r>
            <w:proofErr w:type="spellEnd"/>
            <w:r w:rsidRPr="00D81F41">
              <w:rPr>
                <w:rFonts w:ascii="Times New Roman" w:eastAsia="Yu Gothic" w:hAnsi="Times New Roman" w:cs="Times New Roman"/>
                <w:color w:val="000000"/>
                <w:kern w:val="0"/>
                <w:sz w:val="22"/>
              </w:rPr>
              <w:t xml:space="preserve"> processing</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NUMBL</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proofErr w:type="spellStart"/>
            <w:r w:rsidRPr="00D81F41">
              <w:rPr>
                <w:rFonts w:ascii="Times New Roman" w:eastAsia="Yu Gothic" w:hAnsi="Times New Roman" w:cs="Times New Roman"/>
                <w:color w:val="000000"/>
                <w:kern w:val="0"/>
                <w:sz w:val="22"/>
              </w:rPr>
              <w:t>NFkB</w:t>
            </w:r>
            <w:proofErr w:type="spellEnd"/>
            <w:r w:rsidRPr="00D81F41">
              <w:rPr>
                <w:rFonts w:ascii="Times New Roman" w:eastAsia="Yu Gothic" w:hAnsi="Times New Roman" w:cs="Times New Roman"/>
                <w:color w:val="000000"/>
                <w:kern w:val="0"/>
                <w:sz w:val="22"/>
              </w:rPr>
              <w:t xml:space="preserve"> signaling</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MUC22</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FOXO1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transcription factor</w:t>
            </w:r>
          </w:p>
        </w:tc>
      </w:tr>
      <w:tr w:rsidR="00026226" w:rsidRPr="00D81F41" w:rsidTr="00654A5F">
        <w:trPr>
          <w:trHeight w:val="360"/>
        </w:trPr>
        <w:tc>
          <w:tcPr>
            <w:tcW w:w="1427" w:type="dxa"/>
            <w:tcBorders>
              <w:top w:val="nil"/>
              <w:left w:val="nil"/>
              <w:bottom w:val="nil"/>
              <w:right w:val="nil"/>
            </w:tcBorders>
            <w:shd w:val="clear" w:color="000000" w:fill="F2F2F2"/>
            <w:noWrap/>
            <w:vAlign w:val="center"/>
            <w:hideMark/>
          </w:tcPr>
          <w:p w:rsidR="00026226" w:rsidRPr="00D81F41" w:rsidRDefault="00026226" w:rsidP="00654A5F">
            <w:pPr>
              <w:widowControl/>
              <w:jc w:val="left"/>
              <w:rPr>
                <w:rFonts w:ascii="Times New Roman" w:eastAsia="Yu Gothic" w:hAnsi="Times New Roman" w:cs="Times New Roman"/>
                <w:b/>
                <w:bCs/>
                <w:i/>
                <w:iCs/>
                <w:color w:val="000000"/>
                <w:kern w:val="0"/>
                <w:sz w:val="22"/>
              </w:rPr>
            </w:pPr>
            <w:r w:rsidRPr="00D81F41">
              <w:rPr>
                <w:rFonts w:ascii="Times New Roman" w:eastAsia="Yu Gothic" w:hAnsi="Times New Roman" w:cs="Times New Roman"/>
                <w:b/>
                <w:bCs/>
                <w:i/>
                <w:iCs/>
                <w:color w:val="000000"/>
                <w:kern w:val="0"/>
                <w:sz w:val="22"/>
              </w:rPr>
              <w:t>MICA</w:t>
            </w:r>
          </w:p>
        </w:tc>
        <w:tc>
          <w:tcPr>
            <w:tcW w:w="1364" w:type="dxa"/>
            <w:tcBorders>
              <w:top w:val="nil"/>
              <w:left w:val="nil"/>
              <w:bottom w:val="nil"/>
              <w:right w:val="nil"/>
            </w:tcBorders>
            <w:shd w:val="clear" w:color="000000" w:fill="F2F2F2"/>
            <w:noWrap/>
            <w:vAlign w:val="center"/>
            <w:hideMark/>
          </w:tcPr>
          <w:p w:rsidR="00026226" w:rsidRPr="00D81F41" w:rsidRDefault="00026226" w:rsidP="00654A5F">
            <w:pPr>
              <w:widowControl/>
              <w:jc w:val="righ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t>1</w:t>
            </w:r>
          </w:p>
        </w:tc>
        <w:tc>
          <w:tcPr>
            <w:tcW w:w="1364" w:type="dxa"/>
            <w:tcBorders>
              <w:top w:val="nil"/>
              <w:left w:val="nil"/>
              <w:bottom w:val="nil"/>
              <w:right w:val="nil"/>
            </w:tcBorders>
            <w:shd w:val="clear" w:color="000000" w:fill="F2F2F2"/>
            <w:noWrap/>
            <w:vAlign w:val="center"/>
            <w:hideMark/>
          </w:tcPr>
          <w:p w:rsidR="00026226" w:rsidRPr="00D81F41" w:rsidRDefault="00026226" w:rsidP="00654A5F">
            <w:pPr>
              <w:widowControl/>
              <w:jc w:val="righ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t>3</w:t>
            </w:r>
          </w:p>
        </w:tc>
        <w:tc>
          <w:tcPr>
            <w:tcW w:w="4646" w:type="dxa"/>
            <w:tcBorders>
              <w:top w:val="nil"/>
              <w:left w:val="nil"/>
              <w:bottom w:val="nil"/>
              <w:right w:val="nil"/>
            </w:tcBorders>
            <w:shd w:val="clear" w:color="000000" w:fill="F2F2F2"/>
            <w:noWrap/>
            <w:vAlign w:val="center"/>
            <w:hideMark/>
          </w:tcPr>
          <w:p w:rsidR="00026226" w:rsidRPr="00D81F41" w:rsidRDefault="00026226" w:rsidP="00654A5F">
            <w:pPr>
              <w:widowControl/>
              <w:jc w:val="lef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t>immune respo</w:t>
            </w:r>
            <w:r>
              <w:rPr>
                <w:rFonts w:ascii="Times New Roman" w:eastAsia="Yu Gothic" w:hAnsi="Times New Roman" w:cs="Times New Roman"/>
                <w:b/>
                <w:bCs/>
                <w:color w:val="000000"/>
                <w:kern w:val="0"/>
                <w:sz w:val="22"/>
              </w:rPr>
              <w:t>n</w:t>
            </w:r>
            <w:r w:rsidRPr="00D81F41">
              <w:rPr>
                <w:rFonts w:ascii="Times New Roman" w:eastAsia="Yu Gothic" w:hAnsi="Times New Roman" w:cs="Times New Roman"/>
                <w:b/>
                <w:bCs/>
                <w:color w:val="000000"/>
                <w:kern w:val="0"/>
                <w:sz w:val="22"/>
              </w:rPr>
              <w:t>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LOC114110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shd w:val="clear" w:color="000000" w:fill="F2F2F2"/>
            <w:noWrap/>
            <w:vAlign w:val="center"/>
            <w:hideMark/>
          </w:tcPr>
          <w:p w:rsidR="00026226" w:rsidRPr="00D81F41" w:rsidRDefault="00026226" w:rsidP="00654A5F">
            <w:pPr>
              <w:widowControl/>
              <w:jc w:val="left"/>
              <w:rPr>
                <w:rFonts w:ascii="Times New Roman" w:eastAsia="Yu Gothic" w:hAnsi="Times New Roman" w:cs="Times New Roman"/>
                <w:b/>
                <w:bCs/>
                <w:i/>
                <w:iCs/>
                <w:color w:val="000000"/>
                <w:kern w:val="0"/>
                <w:sz w:val="22"/>
              </w:rPr>
            </w:pPr>
            <w:r w:rsidRPr="00D81F41">
              <w:rPr>
                <w:rFonts w:ascii="Times New Roman" w:eastAsia="Yu Gothic" w:hAnsi="Times New Roman" w:cs="Times New Roman"/>
                <w:b/>
                <w:bCs/>
                <w:i/>
                <w:iCs/>
                <w:color w:val="000000"/>
                <w:kern w:val="0"/>
                <w:sz w:val="22"/>
              </w:rPr>
              <w:t>ARID2</w:t>
            </w:r>
          </w:p>
        </w:tc>
        <w:tc>
          <w:tcPr>
            <w:tcW w:w="1364" w:type="dxa"/>
            <w:tcBorders>
              <w:top w:val="nil"/>
              <w:left w:val="nil"/>
              <w:bottom w:val="nil"/>
              <w:right w:val="nil"/>
            </w:tcBorders>
            <w:shd w:val="clear" w:color="000000" w:fill="F2F2F2"/>
            <w:noWrap/>
            <w:vAlign w:val="center"/>
            <w:hideMark/>
          </w:tcPr>
          <w:p w:rsidR="00026226" w:rsidRPr="00D81F41" w:rsidRDefault="00026226" w:rsidP="00654A5F">
            <w:pPr>
              <w:widowControl/>
              <w:jc w:val="righ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t>1</w:t>
            </w:r>
          </w:p>
        </w:tc>
        <w:tc>
          <w:tcPr>
            <w:tcW w:w="1364" w:type="dxa"/>
            <w:tcBorders>
              <w:top w:val="nil"/>
              <w:left w:val="nil"/>
              <w:bottom w:val="nil"/>
              <w:right w:val="nil"/>
            </w:tcBorders>
            <w:shd w:val="clear" w:color="000000" w:fill="F2F2F2"/>
            <w:noWrap/>
            <w:vAlign w:val="center"/>
            <w:hideMark/>
          </w:tcPr>
          <w:p w:rsidR="00026226" w:rsidRPr="00D81F41" w:rsidRDefault="00026226" w:rsidP="00654A5F">
            <w:pPr>
              <w:widowControl/>
              <w:jc w:val="righ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t>3</w:t>
            </w:r>
          </w:p>
        </w:tc>
        <w:tc>
          <w:tcPr>
            <w:tcW w:w="4646" w:type="dxa"/>
            <w:tcBorders>
              <w:top w:val="nil"/>
              <w:left w:val="nil"/>
              <w:bottom w:val="nil"/>
              <w:right w:val="nil"/>
            </w:tcBorders>
            <w:shd w:val="clear" w:color="000000" w:fill="F2F2F2"/>
            <w:noWrap/>
            <w:vAlign w:val="center"/>
            <w:hideMark/>
          </w:tcPr>
          <w:p w:rsidR="00026226" w:rsidRPr="00D81F41" w:rsidRDefault="00026226" w:rsidP="00654A5F">
            <w:pPr>
              <w:widowControl/>
              <w:jc w:val="lef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t>chromatin organization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CCDC168</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AGUSBP11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4646" w:type="dxa"/>
            <w:tcBorders>
              <w:top w:val="nil"/>
              <w:left w:val="nil"/>
              <w:bottom w:val="nil"/>
              <w:right w:val="nil"/>
            </w:tcBorders>
            <w:shd w:val="clear" w:color="000000" w:fill="FFFFFF"/>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shd w:val="clear" w:color="000000" w:fill="F2F2F2"/>
            <w:noWrap/>
            <w:vAlign w:val="center"/>
            <w:hideMark/>
          </w:tcPr>
          <w:p w:rsidR="00026226" w:rsidRPr="00D81F41" w:rsidRDefault="00026226" w:rsidP="00654A5F">
            <w:pPr>
              <w:widowControl/>
              <w:jc w:val="left"/>
              <w:rPr>
                <w:rFonts w:ascii="Times New Roman" w:eastAsia="Yu Gothic" w:hAnsi="Times New Roman" w:cs="Times New Roman"/>
                <w:b/>
                <w:bCs/>
                <w:i/>
                <w:iCs/>
                <w:color w:val="000000"/>
                <w:kern w:val="0"/>
                <w:sz w:val="22"/>
              </w:rPr>
            </w:pPr>
            <w:r w:rsidRPr="00D81F41">
              <w:rPr>
                <w:rFonts w:ascii="Times New Roman" w:eastAsia="Yu Gothic" w:hAnsi="Times New Roman" w:cs="Times New Roman"/>
                <w:b/>
                <w:bCs/>
                <w:i/>
                <w:iCs/>
                <w:color w:val="000000"/>
                <w:kern w:val="0"/>
                <w:sz w:val="22"/>
              </w:rPr>
              <w:t>ZFHX3</w:t>
            </w:r>
          </w:p>
        </w:tc>
        <w:tc>
          <w:tcPr>
            <w:tcW w:w="1364" w:type="dxa"/>
            <w:tcBorders>
              <w:top w:val="nil"/>
              <w:left w:val="nil"/>
              <w:bottom w:val="nil"/>
              <w:right w:val="nil"/>
            </w:tcBorders>
            <w:shd w:val="clear" w:color="000000" w:fill="F2F2F2"/>
            <w:noWrap/>
            <w:vAlign w:val="center"/>
            <w:hideMark/>
          </w:tcPr>
          <w:p w:rsidR="00026226" w:rsidRPr="00D81F41" w:rsidRDefault="00026226" w:rsidP="00654A5F">
            <w:pPr>
              <w:widowControl/>
              <w:jc w:val="righ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t>1</w:t>
            </w:r>
          </w:p>
        </w:tc>
        <w:tc>
          <w:tcPr>
            <w:tcW w:w="1364" w:type="dxa"/>
            <w:tcBorders>
              <w:top w:val="nil"/>
              <w:left w:val="nil"/>
              <w:bottom w:val="nil"/>
              <w:right w:val="nil"/>
            </w:tcBorders>
            <w:shd w:val="clear" w:color="000000" w:fill="F2F2F2"/>
            <w:noWrap/>
            <w:vAlign w:val="center"/>
            <w:hideMark/>
          </w:tcPr>
          <w:p w:rsidR="00026226" w:rsidRPr="00D81F41" w:rsidRDefault="00026226" w:rsidP="00654A5F">
            <w:pPr>
              <w:widowControl/>
              <w:jc w:val="righ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t>3</w:t>
            </w:r>
          </w:p>
        </w:tc>
        <w:tc>
          <w:tcPr>
            <w:tcW w:w="4646" w:type="dxa"/>
            <w:tcBorders>
              <w:top w:val="nil"/>
              <w:left w:val="nil"/>
              <w:bottom w:val="nil"/>
              <w:right w:val="nil"/>
            </w:tcBorders>
            <w:shd w:val="clear" w:color="000000" w:fill="F2F2F2"/>
            <w:noWrap/>
            <w:vAlign w:val="center"/>
            <w:hideMark/>
          </w:tcPr>
          <w:p w:rsidR="00026226" w:rsidRPr="00D81F41" w:rsidRDefault="00026226" w:rsidP="00654A5F">
            <w:pPr>
              <w:widowControl/>
              <w:jc w:val="left"/>
              <w:rPr>
                <w:rFonts w:ascii="Times New Roman" w:eastAsia="Yu Gothic" w:hAnsi="Times New Roman" w:cs="Times New Roman"/>
                <w:b/>
                <w:bCs/>
                <w:color w:val="000000"/>
                <w:kern w:val="0"/>
                <w:sz w:val="22"/>
              </w:rPr>
            </w:pPr>
            <w:r w:rsidRPr="00D81F41">
              <w:rPr>
                <w:rFonts w:ascii="Times New Roman" w:eastAsia="Yu Gothic" w:hAnsi="Times New Roman" w:cs="Times New Roman"/>
                <w:b/>
                <w:bCs/>
                <w:color w:val="000000"/>
                <w:kern w:val="0"/>
                <w:sz w:val="22"/>
              </w:rPr>
              <w:t>tumor suppressor</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A1BG</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BRDT</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transcription regulation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WDR60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formation of cilia</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CENPP</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mitosis</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ATP10A</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cation transport ATPase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LOC152217</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CGNL1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cell-cell junction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ADAMTS2</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proteinase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CLASRP</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CA10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hydration of CO2</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OC90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CNDP2</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nonspecific dipeptidase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ARID1A</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transcriptional activation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CRIPAK</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negative regulator of PAK1</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cELA3B</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elastase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TBCC</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beta tubulin folding</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EIF2AK3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proofErr w:type="spellStart"/>
            <w:r w:rsidRPr="00D81F41">
              <w:rPr>
                <w:rFonts w:ascii="Times New Roman" w:eastAsia="Yu Gothic" w:hAnsi="Times New Roman" w:cs="Times New Roman"/>
                <w:color w:val="000000"/>
                <w:kern w:val="0"/>
                <w:sz w:val="22"/>
              </w:rPr>
              <w:t>mitochondorial</w:t>
            </w:r>
            <w:proofErr w:type="spellEnd"/>
            <w:r w:rsidRPr="00D81F41">
              <w:rPr>
                <w:rFonts w:ascii="Times New Roman" w:eastAsia="Yu Gothic" w:hAnsi="Times New Roman" w:cs="Times New Roman"/>
                <w:color w:val="000000"/>
                <w:kern w:val="0"/>
                <w:sz w:val="22"/>
              </w:rPr>
              <w:t xml:space="preserve"> function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ERBB3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EGFR family</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DNAH14</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motor protein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HIVEP3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lastRenderedPageBreak/>
              <w:t>THBD</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activation of protein C</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KIAA0947</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FOXD1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LIAA0284</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IGFN1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ALDH3B1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aldehyde dehydrogenase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KIAA1377</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HMCN1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PELO</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spermatogenesis</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MXRA5</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matrix remodeling</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CEP164</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assembly of primary cilia</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MYH7B</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heavy chain of myosin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MREG</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PRRC2B</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SHISA9</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FLJ43860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NES</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NCAM1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cell adhesion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SLC13A1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SZT2</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superoxide dismutase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GLB1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galactosidase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PLCD3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phospholipase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OPN4</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photoreceptive opsin protein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TPTE</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signal transduction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TRIM58</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MUC16</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TNN</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CDH23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cell adhesion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TTBK1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neuron-specific kinase</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TSC1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2</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stabilization of tuberin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HLA-C</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HLA C</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FGFR1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FGFR family</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KCNN3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calcium channel</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PLAG1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associated with pleomorphic adenoma</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BCL9</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associated with B cell lymphoma</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FAM104B</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lastRenderedPageBreak/>
              <w:t>TCL1A</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associated with T cell leukemia</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ZNF568</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DNAH1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3</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structural support of cilia</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PRDM1</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4</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r w:rsidR="00026226" w:rsidRPr="00D81F41" w:rsidTr="00654A5F">
        <w:trPr>
          <w:trHeight w:val="360"/>
        </w:trPr>
        <w:tc>
          <w:tcPr>
            <w:tcW w:w="1427"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ATIC</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4</w:t>
            </w:r>
          </w:p>
        </w:tc>
        <w:tc>
          <w:tcPr>
            <w:tcW w:w="1364" w:type="dxa"/>
            <w:tcBorders>
              <w:top w:val="nil"/>
              <w:left w:val="nil"/>
              <w:bottom w:val="nil"/>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nil"/>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purine biosynthesis</w:t>
            </w:r>
          </w:p>
        </w:tc>
      </w:tr>
      <w:tr w:rsidR="00026226" w:rsidRPr="00D81F41" w:rsidTr="00654A5F">
        <w:trPr>
          <w:trHeight w:val="360"/>
        </w:trPr>
        <w:tc>
          <w:tcPr>
            <w:tcW w:w="1427" w:type="dxa"/>
            <w:tcBorders>
              <w:top w:val="nil"/>
              <w:left w:val="nil"/>
              <w:bottom w:val="single" w:sz="4" w:space="0" w:color="auto"/>
              <w:right w:val="nil"/>
            </w:tcBorders>
            <w:noWrap/>
            <w:vAlign w:val="center"/>
            <w:hideMark/>
          </w:tcPr>
          <w:p w:rsidR="00026226" w:rsidRPr="00D81F41" w:rsidRDefault="00026226" w:rsidP="00654A5F">
            <w:pPr>
              <w:widowControl/>
              <w:jc w:val="left"/>
              <w:rPr>
                <w:rFonts w:ascii="Times New Roman" w:eastAsia="Yu Gothic" w:hAnsi="Times New Roman" w:cs="Times New Roman"/>
                <w:i/>
                <w:iCs/>
                <w:color w:val="000000"/>
                <w:kern w:val="0"/>
                <w:sz w:val="22"/>
              </w:rPr>
            </w:pPr>
            <w:r w:rsidRPr="00D81F41">
              <w:rPr>
                <w:rFonts w:ascii="Times New Roman" w:eastAsia="Yu Gothic" w:hAnsi="Times New Roman" w:cs="Times New Roman"/>
                <w:i/>
                <w:iCs/>
                <w:color w:val="000000"/>
                <w:kern w:val="0"/>
                <w:sz w:val="22"/>
              </w:rPr>
              <w:t>KIAA1549</w:t>
            </w:r>
          </w:p>
        </w:tc>
        <w:tc>
          <w:tcPr>
            <w:tcW w:w="1364" w:type="dxa"/>
            <w:tcBorders>
              <w:top w:val="nil"/>
              <w:left w:val="nil"/>
              <w:bottom w:val="single" w:sz="4" w:space="0" w:color="auto"/>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5</w:t>
            </w:r>
          </w:p>
        </w:tc>
        <w:tc>
          <w:tcPr>
            <w:tcW w:w="1364" w:type="dxa"/>
            <w:tcBorders>
              <w:top w:val="nil"/>
              <w:left w:val="nil"/>
              <w:bottom w:val="single" w:sz="4" w:space="0" w:color="auto"/>
              <w:right w:val="nil"/>
            </w:tcBorders>
            <w:noWrap/>
            <w:vAlign w:val="center"/>
            <w:hideMark/>
          </w:tcPr>
          <w:p w:rsidR="00026226" w:rsidRPr="00D81F41" w:rsidRDefault="00026226" w:rsidP="00654A5F">
            <w:pPr>
              <w:widowControl/>
              <w:jc w:val="righ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0</w:t>
            </w:r>
          </w:p>
        </w:tc>
        <w:tc>
          <w:tcPr>
            <w:tcW w:w="4646" w:type="dxa"/>
            <w:tcBorders>
              <w:top w:val="nil"/>
              <w:left w:val="nil"/>
              <w:bottom w:val="single" w:sz="4" w:space="0" w:color="auto"/>
              <w:right w:val="nil"/>
            </w:tcBorders>
            <w:noWrap/>
            <w:vAlign w:val="center"/>
            <w:hideMark/>
          </w:tcPr>
          <w:p w:rsidR="00026226" w:rsidRPr="00D81F41" w:rsidRDefault="00026226" w:rsidP="00654A5F">
            <w:pPr>
              <w:widowControl/>
              <w:jc w:val="left"/>
              <w:rPr>
                <w:rFonts w:ascii="Times New Roman" w:eastAsia="Yu Gothic" w:hAnsi="Times New Roman" w:cs="Times New Roman"/>
                <w:color w:val="000000"/>
                <w:kern w:val="0"/>
                <w:sz w:val="22"/>
              </w:rPr>
            </w:pPr>
            <w:r w:rsidRPr="00D81F41">
              <w:rPr>
                <w:rFonts w:ascii="Times New Roman" w:eastAsia="Yu Gothic" w:hAnsi="Times New Roman" w:cs="Times New Roman"/>
                <w:color w:val="000000"/>
                <w:kern w:val="0"/>
                <w:sz w:val="22"/>
              </w:rPr>
              <w:t>unknown</w:t>
            </w:r>
          </w:p>
        </w:tc>
      </w:tr>
    </w:tbl>
    <w:p w:rsidR="00026226" w:rsidRDefault="00026226" w:rsidP="00026226">
      <w:pPr>
        <w:rPr>
          <w:rFonts w:ascii="Times New Roman" w:hAnsi="Times New Roman" w:cs="Times New Roman"/>
          <w:color w:val="FF0000"/>
          <w:sz w:val="24"/>
          <w:szCs w:val="24"/>
        </w:rPr>
      </w:pPr>
    </w:p>
    <w:p w:rsidR="00026226" w:rsidRDefault="00026226" w:rsidP="00026226">
      <w:pPr>
        <w:rPr>
          <w:rFonts w:ascii="Times New Roman" w:hAnsi="Times New Roman" w:cs="Times New Roman"/>
          <w:color w:val="FF0000"/>
          <w:sz w:val="24"/>
          <w:szCs w:val="24"/>
        </w:rPr>
      </w:pPr>
    </w:p>
    <w:p w:rsidR="00026226" w:rsidRDefault="00026226" w:rsidP="00026226">
      <w:pPr>
        <w:rPr>
          <w:rFonts w:ascii="Times New Roman" w:hAnsi="Times New Roman" w:cs="Times New Roman"/>
          <w:color w:val="FF0000"/>
          <w:sz w:val="24"/>
          <w:szCs w:val="24"/>
        </w:rPr>
      </w:pPr>
    </w:p>
    <w:p w:rsidR="00026226" w:rsidRDefault="00026226" w:rsidP="00026226">
      <w:pPr>
        <w:rPr>
          <w:rFonts w:ascii="Times New Roman" w:hAnsi="Times New Roman" w:cs="Times New Roman"/>
          <w:color w:val="FF0000"/>
          <w:sz w:val="24"/>
          <w:szCs w:val="24"/>
        </w:rPr>
      </w:pPr>
    </w:p>
    <w:p w:rsidR="00026226" w:rsidRDefault="00026226" w:rsidP="00026226">
      <w:pPr>
        <w:rPr>
          <w:rFonts w:ascii="Times New Roman" w:hAnsi="Times New Roman" w:cs="Times New Roman"/>
          <w:color w:val="FF0000"/>
          <w:sz w:val="24"/>
          <w:szCs w:val="24"/>
        </w:rPr>
      </w:pPr>
    </w:p>
    <w:p w:rsidR="00026226" w:rsidRDefault="00026226" w:rsidP="00026226">
      <w:pPr>
        <w:rPr>
          <w:rFonts w:ascii="Times New Roman" w:hAnsi="Times New Roman" w:cs="Times New Roman"/>
          <w:color w:val="FF0000"/>
          <w:sz w:val="24"/>
          <w:szCs w:val="24"/>
        </w:rPr>
      </w:pPr>
    </w:p>
    <w:p w:rsidR="00D13A83" w:rsidRDefault="00D13A83"/>
    <w:sectPr w:rsidR="00D13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26"/>
    <w:rsid w:val="00026226"/>
    <w:rsid w:val="00D13A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527D"/>
  <w15:chartTrackingRefBased/>
  <w15:docId w15:val="{0F8ECE8C-5911-44E9-874B-A71A30F7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6226"/>
    <w:pPr>
      <w:widowControl w:val="0"/>
      <w:spacing w:after="0" w:line="240" w:lineRule="auto"/>
      <w:jc w:val="both"/>
    </w:pPr>
    <w:rPr>
      <w:rFonts w:eastAsiaTheme="minorEastAsia"/>
      <w:kern w:val="2"/>
      <w:sz w:val="21"/>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 Isabelle</dc:creator>
  <cp:keywords/>
  <dc:description/>
  <cp:lastModifiedBy>Strub, Isabelle</cp:lastModifiedBy>
  <cp:revision>1</cp:revision>
  <dcterms:created xsi:type="dcterms:W3CDTF">2018-06-04T09:14:00Z</dcterms:created>
  <dcterms:modified xsi:type="dcterms:W3CDTF">2018-06-04T09:14:00Z</dcterms:modified>
</cp:coreProperties>
</file>