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9B55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53C8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E853C8">
        <w:rPr>
          <w:rFonts w:ascii="Times New Roman" w:hAnsi="Times New Roman" w:cs="Times New Roman" w:hint="eastAsia"/>
          <w:b/>
          <w:bCs/>
          <w:sz w:val="24"/>
          <w:szCs w:val="24"/>
        </w:rPr>
        <w:t>Figure Legends</w:t>
      </w:r>
      <w:r w:rsidRPr="00E853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FEEA24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3C8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1 </w:t>
      </w:r>
    </w:p>
    <w:p w14:paraId="40692DE3" w14:textId="77777777" w:rsidR="00066994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[Figure Name]</w:t>
      </w:r>
      <w:r w:rsidRPr="00E853C8">
        <w:rPr>
          <w:rFonts w:ascii="Times New Roman" w:hAnsi="Times New Roman" w:cs="Times New Roman"/>
          <w:sz w:val="24"/>
          <w:szCs w:val="24"/>
        </w:rPr>
        <w:t xml:space="preserve"> Association between estimated salt intake and cardiovascular death and all-cause mortality without cancer death </w:t>
      </w:r>
    </w:p>
    <w:p w14:paraId="1E1229E5" w14:textId="19652ED0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53C8"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Pr="00E853C8">
        <w:rPr>
          <w:rFonts w:ascii="Times New Roman" w:hAnsi="Times New Roman" w:cs="Times New Roman"/>
          <w:sz w:val="24"/>
          <w:szCs w:val="24"/>
        </w:rPr>
        <w:t xml:space="preserve">Figure 1(a) shows cubic splines between estimated salt intake and cardiovascular death (defined as death from cardiovascular causes, myocardial infarction, stroke, or heart failure). </w:t>
      </w:r>
      <w:r w:rsidRPr="00E853C8"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Pr="00E853C8">
        <w:rPr>
          <w:rFonts w:ascii="Times New Roman" w:hAnsi="Times New Roman" w:cs="Times New Roman"/>
          <w:sz w:val="24"/>
          <w:szCs w:val="24"/>
        </w:rPr>
        <w:t xml:space="preserve">Figure 1(b) shows cubic splines between estimated salt intake and all-cause mortality without cancer death. Both were adjusted for age, gender, body mass index,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E853C8">
        <w:rPr>
          <w:rFonts w:ascii="Times New Roman" w:hAnsi="Times New Roman" w:cs="Times New Roman"/>
          <w:sz w:val="24"/>
          <w:szCs w:val="24"/>
        </w:rPr>
        <w:t xml:space="preserve"> vintage, dialysis time per one dialysis session, </w:t>
      </w:r>
      <w:proofErr w:type="spellStart"/>
      <w:r w:rsidRPr="00E853C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53C8">
        <w:rPr>
          <w:rFonts w:ascii="Times New Roman" w:hAnsi="Times New Roman" w:cs="Times New Roman"/>
          <w:sz w:val="24"/>
          <w:szCs w:val="24"/>
        </w:rPr>
        <w:t>/V, protein catabolic rate normalized to body weight, comorbidity conditions</w:t>
      </w:r>
      <w:r w:rsidR="00CC52EB" w:rsidRPr="00CC52EB">
        <w:rPr>
          <w:rFonts w:ascii="Times New Roman" w:hAnsi="Times New Roman" w:cs="Times New Roman"/>
          <w:sz w:val="24"/>
          <w:szCs w:val="24"/>
          <w:lang w:val="en-GB"/>
        </w:rPr>
        <w:t>, cause of end stage renal disease</w:t>
      </w:r>
      <w:r w:rsidRPr="00E853C8">
        <w:rPr>
          <w:rFonts w:ascii="Times New Roman" w:hAnsi="Times New Roman" w:cs="Times New Roman"/>
          <w:sz w:val="24"/>
          <w:szCs w:val="24"/>
        </w:rPr>
        <w:t xml:space="preserve">, type of vascular access, serum potassium, phosphate, calcium, and CRP levels, and endotoxin level in dialysate. Solid blue line indicates point estimation. Grey zones indicate the 95% confidence interval. The reference was median estimated salt intake (6.4 g/day) indicated by the dashed line. To convert the values for estimated salt intake to sodium excretion in g per day, divide by 2.5. Histogram indicates distribution of patients at risk. </w:t>
      </w:r>
    </w:p>
    <w:p w14:paraId="39DDF428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3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AFA908" wp14:editId="02F44937">
            <wp:extent cx="5400040" cy="2025015"/>
            <wp:effectExtent l="0" t="0" r="0" b="0"/>
            <wp:docPr id="6" name="図 6" descr="C:\Users\tatsuyoshi ikenoue\Desktop\SALT_BMJ_fig_2_3_sup_1_5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yoshi ikenoue\Desktop\SALT_BMJ_fig_2_3_sup_1_5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C8">
        <w:rPr>
          <w:rFonts w:ascii="Times New Roman" w:hAnsi="Times New Roman" w:cs="Times New Roman"/>
          <w:sz w:val="24"/>
          <w:szCs w:val="24"/>
        </w:rPr>
        <w:br w:type="page"/>
      </w:r>
    </w:p>
    <w:p w14:paraId="12EC84B1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53C8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Supplementary Figure 2</w:t>
      </w:r>
      <w:r w:rsidRPr="00E853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6AB2BD5" w14:textId="77777777" w:rsidR="00066994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[Figure Name]</w:t>
      </w:r>
      <w:r w:rsidRPr="00E853C8">
        <w:rPr>
          <w:rFonts w:ascii="Times New Roman" w:hAnsi="Times New Roman" w:cs="Times New Roman"/>
          <w:sz w:val="24"/>
          <w:szCs w:val="24"/>
          <w:lang w:val="en-GB"/>
        </w:rPr>
        <w:t xml:space="preserve"> Association between estimated salt intake and cardiovascular death and all-cause mortality without cancer death (crude analysis) </w:t>
      </w:r>
    </w:p>
    <w:p w14:paraId="3FBD4054" w14:textId="77777777" w:rsidR="00066994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53C8">
        <w:rPr>
          <w:rFonts w:ascii="Times New Roman" w:hAnsi="Times New Roman" w:cs="Times New Roman"/>
          <w:sz w:val="24"/>
          <w:szCs w:val="24"/>
          <w:lang w:val="en-GB"/>
        </w:rPr>
        <w:t xml:space="preserve">Supplementary Figure 2(a) shows cubic splines between estimated salt intake and cardiovascular death on crude analysis. Supplementary Figure 2(b) shows cubic splines between estimated salt intake and all-cause mortality without cancer on crude analysis. Solid line indicates point estimation. Grey zones indicate the 95% confidence interval. The reference was median estimated salt intake (6.4 g/day) indicated by the dashed line. To convert the values for estimated salt intake to sodium excretion in g per day, divide by 2.5. Histogram indicates distribution of patients at risk. </w:t>
      </w:r>
    </w:p>
    <w:p w14:paraId="5A59A7F6" w14:textId="77777777" w:rsidR="00066994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8D7337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3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96405" wp14:editId="2D6F17FE">
            <wp:extent cx="5400040" cy="2025015"/>
            <wp:effectExtent l="0" t="0" r="0" b="0"/>
            <wp:docPr id="7" name="図 7" descr="C:\Users\tatsuyoshi ikenoue\Desktop\SALT_BMJ_fig_2_3_sup_1_5\Supplementary Figure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suyoshi ikenoue\Desktop\SALT_BMJ_fig_2_3_sup_1_5\Supplementary Figure 2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DF92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3C8">
        <w:rPr>
          <w:rFonts w:ascii="Times New Roman" w:hAnsi="Times New Roman" w:cs="Times New Roman"/>
          <w:sz w:val="24"/>
          <w:szCs w:val="24"/>
        </w:rPr>
        <w:br w:type="page"/>
      </w:r>
      <w:r w:rsidRPr="00E853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Figure 3 </w:t>
      </w:r>
    </w:p>
    <w:p w14:paraId="5952AEAB" w14:textId="77777777" w:rsidR="00066994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[Figure Name]</w:t>
      </w:r>
      <w:r w:rsidRPr="00E853C8">
        <w:rPr>
          <w:rFonts w:ascii="Times New Roman" w:hAnsi="Times New Roman" w:cs="Times New Roman"/>
          <w:sz w:val="24"/>
          <w:szCs w:val="24"/>
        </w:rPr>
        <w:t xml:space="preserve"> Association between estimated salt intake and all-cause mortality by inter-dialytic weight gain </w:t>
      </w:r>
    </w:p>
    <w:p w14:paraId="5403ACAA" w14:textId="6A7244C3" w:rsidR="00066994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53C8">
        <w:rPr>
          <w:rFonts w:ascii="Times New Roman" w:hAnsi="Times New Roman" w:cs="Times New Roman"/>
          <w:sz w:val="24"/>
          <w:szCs w:val="24"/>
        </w:rPr>
        <w:t xml:space="preserve">Supplementary Figure 3(a) shows cubic splines between estimated salt intake and all-cause mortality among patients with an inter-dialytic weight gain &lt;1.9 kg. Supplementary Figure 3(b) shows cubic splines between estimated salt intake and all-cause mortality among patients with an inter-dialytic weight gain 1.9−2.5 kg. Supplementary Figure 3(c) shows cubic splines between estimated salt intake and all-cause mortality among patients with an inter-dialytic weight gain 2.5−3.1 kg. All groups were adjusted for age, gender, body mass index,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E853C8">
        <w:rPr>
          <w:rFonts w:ascii="Times New Roman" w:hAnsi="Times New Roman" w:cs="Times New Roman"/>
          <w:sz w:val="24"/>
          <w:szCs w:val="24"/>
        </w:rPr>
        <w:t xml:space="preserve"> vintage, dialysis time per one dialysis session, </w:t>
      </w:r>
      <w:proofErr w:type="spellStart"/>
      <w:r w:rsidRPr="00E853C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53C8">
        <w:rPr>
          <w:rFonts w:ascii="Times New Roman" w:hAnsi="Times New Roman" w:cs="Times New Roman"/>
          <w:sz w:val="24"/>
          <w:szCs w:val="24"/>
        </w:rPr>
        <w:t>/V, protein catabolic rate normalized to body weight, comorbidity conditions</w:t>
      </w:r>
      <w:r w:rsidR="00CC52EB" w:rsidRPr="00CC52EB">
        <w:rPr>
          <w:rFonts w:ascii="Times New Roman" w:hAnsi="Times New Roman" w:cs="Times New Roman"/>
          <w:sz w:val="24"/>
          <w:szCs w:val="24"/>
          <w:lang w:val="en-GB"/>
        </w:rPr>
        <w:t>, cause of end stage renal disease</w:t>
      </w:r>
      <w:r w:rsidRPr="00E853C8">
        <w:rPr>
          <w:rFonts w:ascii="Times New Roman" w:hAnsi="Times New Roman" w:cs="Times New Roman"/>
          <w:sz w:val="24"/>
          <w:szCs w:val="24"/>
        </w:rPr>
        <w:t xml:space="preserve">, type of vascular access, serum potassium, phosphate, calcium, and C-reactive protein levels, and endotoxin level in dialysate. Solid blue line indicates point estimation. Grey zones indicate the 95% confidence interval. The reference was median estimated salt intake (6.4 g/day) among the total model indicated by the dashed line. To convert the values for estimated salt intake to sodium excretion in g per day, divide by 2.5. Histogram indicates distribution of patients at risk. </w:t>
      </w:r>
    </w:p>
    <w:p w14:paraId="2C03C7BB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121FD6" w14:textId="77777777" w:rsidR="00066994" w:rsidRDefault="00066994" w:rsidP="0006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F845B7" wp14:editId="64973A2C">
            <wp:extent cx="5400040" cy="40500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ur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5C127B" w14:textId="77777777" w:rsidR="00066994" w:rsidRDefault="00066994" w:rsidP="0006699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3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3DEC4D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[Figure Name] </w:t>
      </w:r>
      <w:r w:rsidRPr="00E853C8">
        <w:rPr>
          <w:rFonts w:ascii="Times New Roman" w:hAnsi="Times New Roman" w:cs="Times New Roman"/>
          <w:sz w:val="24"/>
          <w:szCs w:val="24"/>
        </w:rPr>
        <w:t xml:space="preserve">Association between estimated salt intake and mortality among patients with a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E853C8">
        <w:rPr>
          <w:rFonts w:ascii="Times New Roman" w:hAnsi="Times New Roman" w:cs="Times New Roman"/>
          <w:sz w:val="24"/>
          <w:szCs w:val="24"/>
        </w:rPr>
        <w:t xml:space="preserve"> vintage &gt;5 years</w:t>
      </w:r>
    </w:p>
    <w:p w14:paraId="779F03DC" w14:textId="4A745CA2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53C8">
        <w:rPr>
          <w:rFonts w:ascii="Times New Roman" w:hAnsi="Times New Roman" w:cs="Times New Roman"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3C8">
        <w:rPr>
          <w:rFonts w:ascii="Times New Roman" w:hAnsi="Times New Roman" w:cs="Times New Roman"/>
          <w:sz w:val="24"/>
          <w:szCs w:val="24"/>
        </w:rPr>
        <w:t xml:space="preserve">(a) shows cubic splines between estimated salt intake and all-cause mortality among patients with a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E853C8">
        <w:rPr>
          <w:rFonts w:ascii="Times New Roman" w:hAnsi="Times New Roman" w:cs="Times New Roman"/>
          <w:sz w:val="24"/>
          <w:szCs w:val="24"/>
        </w:rPr>
        <w:t xml:space="preserve"> vintage &gt;5 years. Supplementary Figure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3C8">
        <w:rPr>
          <w:rFonts w:ascii="Times New Roman" w:hAnsi="Times New Roman" w:cs="Times New Roman"/>
          <w:sz w:val="24"/>
          <w:szCs w:val="24"/>
        </w:rPr>
        <w:t xml:space="preserve">(b) shows cubic splines between estimated salt intake and cardiovascular death among the patients with a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E853C8">
        <w:rPr>
          <w:rFonts w:ascii="Times New Roman" w:hAnsi="Times New Roman" w:cs="Times New Roman"/>
          <w:sz w:val="24"/>
          <w:szCs w:val="24"/>
        </w:rPr>
        <w:t xml:space="preserve"> vintage &gt;5 years. Supplementary Figure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3C8">
        <w:rPr>
          <w:rFonts w:ascii="Times New Roman" w:hAnsi="Times New Roman" w:cs="Times New Roman"/>
          <w:sz w:val="24"/>
          <w:szCs w:val="24"/>
        </w:rPr>
        <w:t xml:space="preserve">(c) shows cubic splines between estimated salt intake and all-cause mortality without cancer death among patients with a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E853C8">
        <w:rPr>
          <w:rFonts w:ascii="Times New Roman" w:hAnsi="Times New Roman" w:cs="Times New Roman"/>
          <w:sz w:val="24"/>
          <w:szCs w:val="24"/>
        </w:rPr>
        <w:t xml:space="preserve"> vintage &gt;5 years. All groups were adjusted for age, gender, body mass index,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E853C8">
        <w:rPr>
          <w:rFonts w:ascii="Times New Roman" w:hAnsi="Times New Roman" w:cs="Times New Roman"/>
          <w:sz w:val="24"/>
          <w:szCs w:val="24"/>
        </w:rPr>
        <w:t xml:space="preserve"> vintage, dialysis time per one dialysis session, </w:t>
      </w:r>
      <w:proofErr w:type="spellStart"/>
      <w:r w:rsidRPr="00E853C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53C8">
        <w:rPr>
          <w:rFonts w:ascii="Times New Roman" w:hAnsi="Times New Roman" w:cs="Times New Roman"/>
          <w:sz w:val="24"/>
          <w:szCs w:val="24"/>
        </w:rPr>
        <w:t>/V, protein catabolic rate normalized to body weight, comorbidity conditions</w:t>
      </w:r>
      <w:r w:rsidR="00CC52EB" w:rsidRPr="00CC52EB">
        <w:rPr>
          <w:rFonts w:ascii="Times New Roman" w:hAnsi="Times New Roman" w:cs="Times New Roman"/>
          <w:sz w:val="24"/>
          <w:szCs w:val="24"/>
          <w:lang w:val="en-GB"/>
        </w:rPr>
        <w:t>, cause of end stage renal disease</w:t>
      </w:r>
      <w:r w:rsidRPr="00E853C8">
        <w:rPr>
          <w:rFonts w:ascii="Times New Roman" w:hAnsi="Times New Roman" w:cs="Times New Roman"/>
          <w:sz w:val="24"/>
          <w:szCs w:val="24"/>
        </w:rPr>
        <w:t xml:space="preserve">, type of vascular access, serum potassium, phosphate, calcium, and C-reactive protein levels, and endotoxin level in dialysate. Solid blue line indicates point estimation. Grey zones indicate the 95% confidence interval. The reference was median estimated salt intake (6.4 g/day). To convert the values for estimated salt intake to sodium excretion in g per day, divide by 2.5. Histogram indicates distribution of patients at risk. </w:t>
      </w:r>
    </w:p>
    <w:p w14:paraId="2A641079" w14:textId="77777777" w:rsidR="00066994" w:rsidRDefault="00066994" w:rsidP="0006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9F88C5" wp14:editId="3B4EBECA">
            <wp:extent cx="5400040" cy="1350010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D8CE0B" w14:textId="77777777" w:rsidR="00066994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6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55EE7" w14:textId="77777777" w:rsidR="00066994" w:rsidRPr="0053682A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[Figure Name] </w:t>
      </w:r>
      <w:r w:rsidRPr="0053682A">
        <w:rPr>
          <w:rFonts w:ascii="Times New Roman" w:hAnsi="Times New Roman" w:cs="Times New Roman"/>
          <w:sz w:val="24"/>
          <w:szCs w:val="24"/>
        </w:rPr>
        <w:t>Association between estimated salt intake and death during 6- to 12-month period</w:t>
      </w:r>
    </w:p>
    <w:p w14:paraId="76F694C3" w14:textId="1CDAE82D" w:rsidR="00066994" w:rsidRPr="0053682A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682A">
        <w:rPr>
          <w:rFonts w:ascii="Times New Roman" w:hAnsi="Times New Roman" w:cs="Times New Roman"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82A">
        <w:rPr>
          <w:rFonts w:ascii="Times New Roman" w:hAnsi="Times New Roman" w:cs="Times New Roman"/>
          <w:sz w:val="24"/>
          <w:szCs w:val="24"/>
        </w:rPr>
        <w:t xml:space="preserve">(a) shows cubic splines between estimated salt intake and all-cause mortality for 6−12 months. Supplementary Figure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82A">
        <w:rPr>
          <w:rFonts w:ascii="Times New Roman" w:hAnsi="Times New Roman" w:cs="Times New Roman"/>
          <w:sz w:val="24"/>
          <w:szCs w:val="24"/>
        </w:rPr>
        <w:t xml:space="preserve">(b) shows cubic splines between estimated salt intake and cardiovascular death for 6−12 months.  Supplementary Figure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82A">
        <w:rPr>
          <w:rFonts w:ascii="Times New Roman" w:hAnsi="Times New Roman" w:cs="Times New Roman"/>
          <w:sz w:val="24"/>
          <w:szCs w:val="24"/>
        </w:rPr>
        <w:t xml:space="preserve">(c) shows cubic splines between estimated salt intake and all-cause mortality without cancer death for 6−12 months. All groups were adjusted for age, gender, body mass index, </w:t>
      </w:r>
      <w:r>
        <w:rPr>
          <w:rFonts w:ascii="Times New Roman" w:hAnsi="Times New Roman" w:cs="Times New Roman"/>
          <w:sz w:val="24"/>
          <w:szCs w:val="24"/>
        </w:rPr>
        <w:t>hemodialysis</w:t>
      </w:r>
      <w:r w:rsidRPr="0053682A">
        <w:rPr>
          <w:rFonts w:ascii="Times New Roman" w:hAnsi="Times New Roman" w:cs="Times New Roman"/>
          <w:sz w:val="24"/>
          <w:szCs w:val="24"/>
        </w:rPr>
        <w:t xml:space="preserve"> vintage, dialysis time per one dialysis session, </w:t>
      </w:r>
      <w:proofErr w:type="spellStart"/>
      <w:r w:rsidRPr="0053682A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53682A">
        <w:rPr>
          <w:rFonts w:ascii="Times New Roman" w:hAnsi="Times New Roman" w:cs="Times New Roman"/>
          <w:sz w:val="24"/>
          <w:szCs w:val="24"/>
        </w:rPr>
        <w:t>/V, protein catabolic rate normalized to body weight, comorbidity conditions</w:t>
      </w:r>
      <w:r w:rsidR="00CC52EB" w:rsidRPr="00CC52EB">
        <w:rPr>
          <w:rFonts w:ascii="Times New Roman" w:hAnsi="Times New Roman" w:cs="Times New Roman"/>
          <w:sz w:val="24"/>
          <w:szCs w:val="24"/>
          <w:lang w:val="en-GB"/>
        </w:rPr>
        <w:t>, cause of end stage renal disease</w:t>
      </w:r>
      <w:r w:rsidRPr="0053682A">
        <w:rPr>
          <w:rFonts w:ascii="Times New Roman" w:hAnsi="Times New Roman" w:cs="Times New Roman"/>
          <w:sz w:val="24"/>
          <w:szCs w:val="24"/>
        </w:rPr>
        <w:t xml:space="preserve">, type of vascular access, serum potassium, phosphate, calcium, and C-reactive protein levels, and endotoxin level in dialysate. Solid blue line indicates point estimation. Grey zones indicate the 95% confidence interval. The reference was median estimated salt intake (6.4 g/day). To convert the values for estimated salt intake to sodium excretion in g per day, divide by 2.5. Histogram indicates distribution of patients at risk. </w:t>
      </w:r>
    </w:p>
    <w:p w14:paraId="6CB5FCAA" w14:textId="77777777" w:rsidR="00066994" w:rsidRPr="00E853C8" w:rsidRDefault="00066994" w:rsidP="00066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FA2153" wp14:editId="54DD541A">
            <wp:extent cx="5400040" cy="1350010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0178" w14:textId="77777777" w:rsidR="00066994" w:rsidRPr="002F1B31" w:rsidRDefault="00066994" w:rsidP="0006699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6407DF" w14:textId="18CCA576" w:rsidR="00CC52EB" w:rsidRDefault="00CC52EB">
      <w:r>
        <w:br w:type="page"/>
      </w:r>
    </w:p>
    <w:p w14:paraId="41E8E1A3" w14:textId="3B1CD2C0" w:rsidR="00CC52EB" w:rsidRDefault="00CC52EB" w:rsidP="00CC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Figure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6</w:t>
      </w:r>
      <w:r w:rsidRPr="00536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FCCA" w14:textId="77777777" w:rsidR="00CC52EB" w:rsidRPr="0053682A" w:rsidRDefault="00CC52EB" w:rsidP="00CC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[Figure Name] </w:t>
      </w:r>
      <w:r w:rsidRPr="0053682A">
        <w:rPr>
          <w:rFonts w:ascii="Times New Roman" w:hAnsi="Times New Roman" w:cs="Times New Roman"/>
          <w:sz w:val="24"/>
          <w:szCs w:val="24"/>
        </w:rPr>
        <w:t>Association between estimated salt intake and death during 6- to 12-month period</w:t>
      </w:r>
    </w:p>
    <w:p w14:paraId="1AA27CB0" w14:textId="042F162A" w:rsidR="00CC52EB" w:rsidRPr="00CC52EB" w:rsidRDefault="00CC52EB" w:rsidP="00CC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52EB">
        <w:rPr>
          <w:rFonts w:ascii="Times New Roman" w:hAnsi="Times New Roman" w:cs="Times New Roman"/>
          <w:sz w:val="24"/>
          <w:szCs w:val="24"/>
        </w:rPr>
        <w:t xml:space="preserve">Supplementary Figure 6 shows cubic splines between estimated salt intake and all-cause mortality among patients with no missing data (n=58 095). This was adjusted for age, gender, body mass index, haemodialysis vintage, dialysis time per one dialysis session, </w:t>
      </w:r>
      <w:proofErr w:type="spellStart"/>
      <w:r w:rsidRPr="00CC52E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CC52EB">
        <w:rPr>
          <w:rFonts w:ascii="Times New Roman" w:hAnsi="Times New Roman" w:cs="Times New Roman"/>
          <w:sz w:val="24"/>
          <w:szCs w:val="24"/>
        </w:rPr>
        <w:t xml:space="preserve">/V, protein catabolic rate </w:t>
      </w:r>
      <w:proofErr w:type="spellStart"/>
      <w:r w:rsidRPr="00CC52EB">
        <w:rPr>
          <w:rFonts w:ascii="Times New Roman" w:hAnsi="Times New Roman" w:cs="Times New Roman"/>
          <w:sz w:val="24"/>
          <w:szCs w:val="24"/>
        </w:rPr>
        <w:t>normalised</w:t>
      </w:r>
      <w:proofErr w:type="spellEnd"/>
      <w:r w:rsidRPr="00CC52EB">
        <w:rPr>
          <w:rFonts w:ascii="Times New Roman" w:hAnsi="Times New Roman" w:cs="Times New Roman"/>
          <w:sz w:val="24"/>
          <w:szCs w:val="24"/>
        </w:rPr>
        <w:t xml:space="preserve"> to body weight, comorbidity conditions</w:t>
      </w:r>
      <w:r w:rsidRPr="00CC52EB">
        <w:rPr>
          <w:rFonts w:ascii="Times New Roman" w:hAnsi="Times New Roman" w:cs="Times New Roman"/>
          <w:sz w:val="24"/>
          <w:szCs w:val="24"/>
          <w:lang w:val="en-GB"/>
        </w:rPr>
        <w:t>, cause of end stage renal disease</w:t>
      </w:r>
      <w:r w:rsidRPr="00CC52EB">
        <w:rPr>
          <w:rFonts w:ascii="Times New Roman" w:hAnsi="Times New Roman" w:cs="Times New Roman"/>
          <w:sz w:val="24"/>
          <w:szCs w:val="24"/>
        </w:rPr>
        <w:t xml:space="preserve">, type of vascular access, serum potassium, phosphate, calcium, and C-reactive protein levels, and endotoxin level in dialysate. Solid blue line indicates point estimation. Grey zones indicate the 95% confidence interval. The reference was median estimated salt intake (6.4 g/day) among the total model indicated by the dashed line. To convert the values for estimated salt intake to sodium excretion in g per day, divide by 2.5. Histogram indicates distribution of patients at risk. </w:t>
      </w:r>
    </w:p>
    <w:p w14:paraId="7DF45FC7" w14:textId="2064FF64" w:rsidR="00016C9D" w:rsidRDefault="00016C9D" w:rsidP="00CC52E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C634A4" w14:textId="6F022C81" w:rsidR="00CC52EB" w:rsidRDefault="00CC52EB" w:rsidP="00CC52EB">
      <w:pPr>
        <w:jc w:val="center"/>
      </w:pPr>
      <w:r w:rsidRPr="00CC52EB">
        <w:rPr>
          <w:noProof/>
        </w:rPr>
        <w:drawing>
          <wp:inline distT="0" distB="0" distL="0" distR="0" wp14:anchorId="267BFC49" wp14:editId="37DEF75D">
            <wp:extent cx="3362325" cy="232776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6229" cy="233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4B5F" w14:textId="77777777" w:rsidR="00CC52EB" w:rsidRDefault="00CC52EB">
      <w:r>
        <w:br w:type="page"/>
      </w:r>
    </w:p>
    <w:p w14:paraId="0BE613B4" w14:textId="4D2256A2" w:rsidR="00CC52EB" w:rsidRDefault="00CC52EB" w:rsidP="00CC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Figure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7</w:t>
      </w:r>
      <w:r w:rsidRPr="00536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1940F" w14:textId="148E8CD3" w:rsidR="00CC52EB" w:rsidRDefault="00CC52EB" w:rsidP="00CC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[Figure Name] </w:t>
      </w:r>
      <w:r w:rsidRPr="00E853C8">
        <w:rPr>
          <w:rFonts w:ascii="Times New Roman" w:hAnsi="Times New Roman" w:cs="Times New Roman"/>
          <w:sz w:val="24"/>
          <w:szCs w:val="24"/>
        </w:rPr>
        <w:t xml:space="preserve">Association between estimated salt intake and all-cause mortality by </w:t>
      </w:r>
      <w:r>
        <w:rPr>
          <w:rFonts w:ascii="Times New Roman" w:hAnsi="Times New Roman" w:cs="Times New Roman"/>
          <w:sz w:val="24"/>
          <w:szCs w:val="24"/>
        </w:rPr>
        <w:t>cause of end stage renal disease</w:t>
      </w:r>
      <w:r w:rsidRPr="00E85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251D8" w14:textId="29DB2B7F" w:rsidR="00CC52EB" w:rsidRPr="00CC52EB" w:rsidRDefault="00CC52EB" w:rsidP="00CC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Legend</w:t>
      </w:r>
      <w:r w:rsidRPr="0053682A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52EB">
        <w:rPr>
          <w:rFonts w:ascii="Times New Roman" w:hAnsi="Times New Roman" w:cs="Times New Roman"/>
          <w:sz w:val="24"/>
          <w:szCs w:val="24"/>
        </w:rPr>
        <w:t xml:space="preserve">Figure 7 (A) shows cubic splines between estimated salt intake and all-cause mortality among patients with chronic glomerulonephritis (n = 39 177). Figure 7 (B) shows cubic splines between estimated salt intake and all-cause mortality among patients with diabetic nephropathy (n = 27 642). Figure 7 (C) shows cubic splines between estimated salt intake and all-cause mortality among patients with </w:t>
      </w:r>
      <w:proofErr w:type="spellStart"/>
      <w:r w:rsidRPr="00CC52EB">
        <w:rPr>
          <w:rFonts w:ascii="Times New Roman" w:hAnsi="Times New Roman" w:cs="Times New Roman"/>
          <w:sz w:val="24"/>
          <w:szCs w:val="24"/>
        </w:rPr>
        <w:t>nephrosclerosis</w:t>
      </w:r>
      <w:proofErr w:type="spellEnd"/>
      <w:r w:rsidRPr="00CC52EB">
        <w:rPr>
          <w:rFonts w:ascii="Times New Roman" w:hAnsi="Times New Roman" w:cs="Times New Roman"/>
          <w:sz w:val="24"/>
          <w:szCs w:val="24"/>
        </w:rPr>
        <w:t xml:space="preserve"> (n = 5 215).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EB">
        <w:rPr>
          <w:rFonts w:ascii="Times New Roman" w:hAnsi="Times New Roman" w:cs="Times New Roman"/>
          <w:sz w:val="24"/>
          <w:szCs w:val="24"/>
        </w:rPr>
        <w:t xml:space="preserve">This was adjusted for age, gender, body mass index, haemodialysis vintage, dialysis time per one dialysis session, </w:t>
      </w:r>
      <w:proofErr w:type="spellStart"/>
      <w:r w:rsidRPr="00CC52E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CC52EB">
        <w:rPr>
          <w:rFonts w:ascii="Times New Roman" w:hAnsi="Times New Roman" w:cs="Times New Roman"/>
          <w:sz w:val="24"/>
          <w:szCs w:val="24"/>
        </w:rPr>
        <w:t xml:space="preserve">/V, protein catabolic rate </w:t>
      </w:r>
      <w:proofErr w:type="spellStart"/>
      <w:r w:rsidRPr="00CC52EB">
        <w:rPr>
          <w:rFonts w:ascii="Times New Roman" w:hAnsi="Times New Roman" w:cs="Times New Roman"/>
          <w:sz w:val="24"/>
          <w:szCs w:val="24"/>
        </w:rPr>
        <w:t>normalised</w:t>
      </w:r>
      <w:proofErr w:type="spellEnd"/>
      <w:r w:rsidRPr="00CC52EB">
        <w:rPr>
          <w:rFonts w:ascii="Times New Roman" w:hAnsi="Times New Roman" w:cs="Times New Roman"/>
          <w:sz w:val="24"/>
          <w:szCs w:val="24"/>
        </w:rPr>
        <w:t xml:space="preserve"> to body weight, comorbidity conditions, type of vascular access, serum potassium, phosphate, calcium, and C-reactive protein levels, and endotoxin level in dialysate. Solid blue line indicates point estimation. Grey zones indicate the 95% confidence interval. The reference was median estimated salt intake (6.4 g/day) among the total model indicated by the dashed line. To convert the values for estimated salt intake to sodium excretion in g per day, divide by 2.5. Histogram indicates distribution of patients at risk.</w:t>
      </w:r>
    </w:p>
    <w:p w14:paraId="43D8CB75" w14:textId="35A28DA5" w:rsidR="00CC52EB" w:rsidRPr="00CC52EB" w:rsidRDefault="00CC52EB" w:rsidP="00CC52EB">
      <w:r w:rsidRPr="00CC52EB">
        <w:rPr>
          <w:noProof/>
        </w:rPr>
        <w:lastRenderedPageBreak/>
        <w:drawing>
          <wp:inline distT="0" distB="0" distL="0" distR="0" wp14:anchorId="30686CCC" wp14:editId="4CDFBC46">
            <wp:extent cx="2903008" cy="20097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7848" cy="201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2EB">
        <w:rPr>
          <w:noProof/>
        </w:rPr>
        <w:drawing>
          <wp:inline distT="0" distB="0" distL="0" distR="0" wp14:anchorId="5E494981" wp14:editId="5780B60A">
            <wp:extent cx="2834217" cy="1962150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1859" cy="196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2EB">
        <w:rPr>
          <w:noProof/>
        </w:rPr>
        <w:drawing>
          <wp:inline distT="0" distB="0" distL="0" distR="0" wp14:anchorId="3820D300" wp14:editId="4D9AAA4C">
            <wp:extent cx="2944283" cy="2038350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551" cy="204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2EB" w:rsidRPr="00CC52EB" w:rsidSect="004D3665">
      <w:pgSz w:w="11906" w:h="16838" w:code="9"/>
      <w:pgMar w:top="1440" w:right="1077" w:bottom="1440" w:left="1077" w:header="851" w:footer="992" w:gutter="0"/>
      <w:lnNumType w:countBy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4"/>
    <w:rsid w:val="00016C9D"/>
    <w:rsid w:val="00066994"/>
    <w:rsid w:val="008B30CE"/>
    <w:rsid w:val="00C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AE20C"/>
  <w15:chartTrackingRefBased/>
  <w15:docId w15:val="{E66B7D45-73E1-4ED5-8BC6-1DEE6CF4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994"/>
    <w:rPr>
      <w:rFonts w:ascii="Courier New" w:eastAsia="Courier New" w:hAnsi="Courier New" w:cs="Courier New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66994"/>
  </w:style>
  <w:style w:type="paragraph" w:styleId="Web">
    <w:name w:val="Normal (Web)"/>
    <w:basedOn w:val="a"/>
    <w:uiPriority w:val="99"/>
    <w:semiHidden/>
    <w:unhideWhenUsed/>
    <w:rsid w:val="00CC52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2E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854A-DF4C-4230-91E8-C450C64E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池之上辰義</dc:creator>
  <cp:keywords/>
  <dc:description/>
  <cp:lastModifiedBy>池之上 辰義</cp:lastModifiedBy>
  <cp:revision>3</cp:revision>
  <dcterms:created xsi:type="dcterms:W3CDTF">2017-11-17T08:05:00Z</dcterms:created>
  <dcterms:modified xsi:type="dcterms:W3CDTF">2018-05-17T23:37:00Z</dcterms:modified>
</cp:coreProperties>
</file>