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54" w:rsidRPr="00272EEC" w:rsidRDefault="00367F54" w:rsidP="00367F54">
      <w:pPr>
        <w:pStyle w:val="Listenabsatz"/>
        <w:shd w:val="clear" w:color="auto" w:fill="FFFFFF"/>
        <w:tabs>
          <w:tab w:val="left" w:pos="850"/>
          <w:tab w:val="left" w:pos="1702"/>
          <w:tab w:val="left" w:pos="2554"/>
          <w:tab w:val="left" w:pos="3404"/>
          <w:tab w:val="left" w:pos="4256"/>
          <w:tab w:val="left" w:pos="5108"/>
          <w:tab w:val="left" w:pos="5958"/>
          <w:tab w:val="left" w:pos="6810"/>
          <w:tab w:val="left" w:pos="7660"/>
        </w:tabs>
        <w:autoSpaceDE w:val="0"/>
        <w:autoSpaceDN w:val="0"/>
        <w:spacing w:line="480" w:lineRule="auto"/>
        <w:ind w:leftChars="0" w:left="0"/>
        <w:textAlignment w:val="baseline"/>
        <w:rPr>
          <w:b/>
          <w:sz w:val="24"/>
          <w:szCs w:val="24"/>
        </w:rPr>
      </w:pPr>
      <w:r w:rsidRPr="00272EEC">
        <w:rPr>
          <w:b/>
          <w:sz w:val="24"/>
          <w:szCs w:val="24"/>
        </w:rPr>
        <w:t>Supplementary data</w:t>
      </w:r>
    </w:p>
    <w:p w:rsidR="00367F54" w:rsidRPr="00272EEC" w:rsidRDefault="00367F54" w:rsidP="00367F54">
      <w:pPr>
        <w:pStyle w:val="Textkrper2"/>
        <w:rPr>
          <w:sz w:val="24"/>
          <w:szCs w:val="24"/>
          <w:lang w:eastAsia="ko-KR"/>
        </w:rPr>
      </w:pPr>
    </w:p>
    <w:p w:rsidR="00367F54" w:rsidRPr="008E48FA" w:rsidRDefault="00367F54" w:rsidP="00367F54">
      <w:pPr>
        <w:spacing w:line="480" w:lineRule="auto"/>
        <w:outlineLvl w:val="0"/>
        <w:rPr>
          <w:rFonts w:eastAsia="Malgun Gothic"/>
          <w:b/>
          <w:sz w:val="24"/>
          <w:szCs w:val="24"/>
          <w:lang w:eastAsia="ko-KR"/>
        </w:rPr>
      </w:pPr>
      <w:r w:rsidRPr="00272EEC">
        <w:rPr>
          <w:b/>
          <w:sz w:val="24"/>
          <w:szCs w:val="24"/>
          <w:lang w:eastAsia="ko-KR"/>
        </w:rPr>
        <w:t xml:space="preserve">Gintonin </w:t>
      </w:r>
      <w:r w:rsidRPr="00272EEC">
        <w:rPr>
          <w:rFonts w:eastAsia="Malgun Gothic"/>
          <w:b/>
          <w:sz w:val="24"/>
          <w:szCs w:val="24"/>
          <w:lang w:eastAsia="ko-KR"/>
        </w:rPr>
        <w:t>attenuates D-galactose-induced hippocampal senescence by</w:t>
      </w:r>
      <w:r w:rsidRPr="00617EF4">
        <w:rPr>
          <w:rFonts w:eastAsia="Malgun Gothic"/>
          <w:b/>
          <w:sz w:val="24"/>
          <w:szCs w:val="24"/>
          <w:lang w:eastAsia="ko-KR"/>
        </w:rPr>
        <w:t xml:space="preserve"> improving hippocampal long-term potentiation, neurogenesis,</w:t>
      </w:r>
      <w:r w:rsidRPr="008E48FA">
        <w:rPr>
          <w:rFonts w:eastAsia="Malgun Gothic"/>
          <w:b/>
          <w:sz w:val="24"/>
          <w:szCs w:val="24"/>
          <w:lang w:eastAsia="ko-KR"/>
        </w:rPr>
        <w:t xml:space="preserve"> and cognitive functions</w:t>
      </w:r>
    </w:p>
    <w:p w:rsidR="00367F54" w:rsidRPr="00850CF4" w:rsidRDefault="00367F54" w:rsidP="00367F54">
      <w:pPr>
        <w:spacing w:line="480" w:lineRule="auto"/>
        <w:outlineLvl w:val="0"/>
        <w:rPr>
          <w:rFonts w:eastAsia="Malgun Gothic"/>
          <w:bCs/>
          <w:sz w:val="24"/>
          <w:szCs w:val="24"/>
          <w:lang w:eastAsia="ko-KR"/>
        </w:rPr>
      </w:pPr>
    </w:p>
    <w:p w:rsidR="00367F54" w:rsidRPr="00850CF4" w:rsidRDefault="00367F54" w:rsidP="00367F54">
      <w:pPr>
        <w:spacing w:line="480" w:lineRule="auto"/>
        <w:outlineLvl w:val="0"/>
        <w:rPr>
          <w:b/>
          <w:sz w:val="24"/>
          <w:szCs w:val="24"/>
          <w:lang w:eastAsia="ko-KR"/>
        </w:rPr>
      </w:pPr>
      <w:r w:rsidRPr="00850CF4">
        <w:rPr>
          <w:rFonts w:eastAsia="Malgun Gothic"/>
          <w:bCs/>
          <w:sz w:val="24"/>
          <w:szCs w:val="24"/>
          <w:lang w:eastAsia="ko-KR"/>
        </w:rPr>
        <w:t>Sung Min Nam</w:t>
      </w:r>
      <w:r w:rsidRPr="00850CF4">
        <w:rPr>
          <w:rFonts w:eastAsia="Malgun Gothic"/>
          <w:bCs/>
          <w:sz w:val="24"/>
          <w:szCs w:val="24"/>
          <w:vertAlign w:val="superscript"/>
          <w:lang w:eastAsia="ko-KR"/>
        </w:rPr>
        <w:t>a</w:t>
      </w:r>
      <w:r w:rsidRPr="00850CF4">
        <w:rPr>
          <w:rFonts w:eastAsia="Malgun Gothic"/>
          <w:bCs/>
          <w:sz w:val="24"/>
          <w:szCs w:val="24"/>
          <w:lang w:eastAsia="ko-KR"/>
        </w:rPr>
        <w:t xml:space="preserve">, </w:t>
      </w:r>
      <w:proofErr w:type="spellStart"/>
      <w:r w:rsidRPr="00850CF4">
        <w:rPr>
          <w:rFonts w:eastAsia="Malgun Gothic"/>
          <w:bCs/>
          <w:sz w:val="24"/>
          <w:szCs w:val="24"/>
          <w:lang w:eastAsia="ko-KR"/>
        </w:rPr>
        <w:t>Hongik</w:t>
      </w:r>
      <w:proofErr w:type="spellEnd"/>
      <w:r w:rsidRPr="00850CF4">
        <w:rPr>
          <w:rFonts w:eastAsia="Malgun Gothic"/>
          <w:bCs/>
          <w:sz w:val="24"/>
          <w:szCs w:val="24"/>
          <w:lang w:eastAsia="ko-KR"/>
        </w:rPr>
        <w:t xml:space="preserve"> </w:t>
      </w:r>
      <w:proofErr w:type="spellStart"/>
      <w:r w:rsidRPr="00850CF4">
        <w:rPr>
          <w:rFonts w:eastAsia="Malgun Gothic"/>
          <w:bCs/>
          <w:sz w:val="24"/>
          <w:szCs w:val="24"/>
          <w:lang w:eastAsia="ko-KR"/>
        </w:rPr>
        <w:t>Hwang</w:t>
      </w:r>
      <w:r w:rsidRPr="00850CF4">
        <w:rPr>
          <w:rFonts w:eastAsia="Malgun Gothic"/>
          <w:bCs/>
          <w:sz w:val="24"/>
          <w:szCs w:val="24"/>
          <w:vertAlign w:val="superscript"/>
          <w:lang w:eastAsia="ko-KR"/>
        </w:rPr>
        <w:t>b</w:t>
      </w:r>
      <w:proofErr w:type="spellEnd"/>
      <w:r w:rsidRPr="00850CF4">
        <w:rPr>
          <w:rFonts w:eastAsia="Malgun Gothic"/>
          <w:bCs/>
          <w:sz w:val="24"/>
          <w:szCs w:val="24"/>
          <w:lang w:eastAsia="ko-KR"/>
        </w:rPr>
        <w:t xml:space="preserve">, </w:t>
      </w:r>
      <w:proofErr w:type="spellStart"/>
      <w:r w:rsidRPr="00850CF4">
        <w:rPr>
          <w:rFonts w:eastAsia="Malgun Gothic"/>
          <w:bCs/>
          <w:sz w:val="24"/>
          <w:szCs w:val="24"/>
          <w:lang w:eastAsia="ko-KR"/>
        </w:rPr>
        <w:t>Misun</w:t>
      </w:r>
      <w:proofErr w:type="spellEnd"/>
      <w:r w:rsidRPr="00850CF4">
        <w:rPr>
          <w:rFonts w:eastAsia="Malgun Gothic"/>
          <w:bCs/>
          <w:sz w:val="24"/>
          <w:szCs w:val="24"/>
          <w:lang w:eastAsia="ko-KR"/>
        </w:rPr>
        <w:t xml:space="preserve"> </w:t>
      </w:r>
      <w:proofErr w:type="spellStart"/>
      <w:r w:rsidRPr="00850CF4">
        <w:rPr>
          <w:rFonts w:eastAsia="Malgun Gothic"/>
          <w:bCs/>
          <w:sz w:val="24"/>
          <w:szCs w:val="24"/>
          <w:lang w:eastAsia="ko-KR"/>
        </w:rPr>
        <w:t>Suh</w:t>
      </w:r>
      <w:r w:rsidRPr="00850CF4">
        <w:rPr>
          <w:rFonts w:eastAsia="Malgun Gothic"/>
          <w:bCs/>
          <w:sz w:val="24"/>
          <w:szCs w:val="24"/>
          <w:vertAlign w:val="superscript"/>
          <w:lang w:eastAsia="ko-KR"/>
        </w:rPr>
        <w:t>b</w:t>
      </w:r>
      <w:proofErr w:type="spellEnd"/>
      <w:r w:rsidRPr="00850CF4">
        <w:rPr>
          <w:rFonts w:eastAsia="Malgun Gothic"/>
          <w:bCs/>
          <w:sz w:val="24"/>
          <w:szCs w:val="24"/>
          <w:lang w:eastAsia="ko-KR"/>
        </w:rPr>
        <w:t xml:space="preserve">, Byung-Joon </w:t>
      </w:r>
      <w:proofErr w:type="spellStart"/>
      <w:r w:rsidRPr="00850CF4">
        <w:rPr>
          <w:rFonts w:eastAsia="Malgun Gothic"/>
          <w:bCs/>
          <w:sz w:val="24"/>
          <w:szCs w:val="24"/>
          <w:lang w:eastAsia="ko-KR"/>
        </w:rPr>
        <w:t>Chang</w:t>
      </w:r>
      <w:r w:rsidRPr="00850CF4">
        <w:rPr>
          <w:rFonts w:eastAsia="Batang"/>
          <w:sz w:val="24"/>
          <w:szCs w:val="24"/>
          <w:vertAlign w:val="superscript"/>
          <w:lang w:eastAsia="ko-KR"/>
        </w:rPr>
        <w:t>a</w:t>
      </w:r>
      <w:proofErr w:type="spellEnd"/>
      <w:r w:rsidRPr="00850CF4">
        <w:rPr>
          <w:rFonts w:eastAsia="Malgun Gothic"/>
          <w:bCs/>
          <w:sz w:val="24"/>
          <w:szCs w:val="24"/>
          <w:lang w:eastAsia="ko-KR"/>
        </w:rPr>
        <w:t xml:space="preserve">, </w:t>
      </w:r>
      <w:r w:rsidRPr="00850CF4">
        <w:rPr>
          <w:bCs/>
          <w:sz w:val="24"/>
          <w:szCs w:val="24"/>
        </w:rPr>
        <w:t>Hyeon</w:t>
      </w:r>
      <w:r w:rsidRPr="00850CF4">
        <w:rPr>
          <w:bCs/>
          <w:smallCaps/>
          <w:sz w:val="24"/>
          <w:szCs w:val="24"/>
        </w:rPr>
        <w:t>-</w:t>
      </w:r>
      <w:proofErr w:type="spellStart"/>
      <w:r w:rsidRPr="00850CF4">
        <w:rPr>
          <w:bCs/>
          <w:sz w:val="24"/>
          <w:szCs w:val="24"/>
        </w:rPr>
        <w:t>Joong</w:t>
      </w:r>
      <w:proofErr w:type="spellEnd"/>
      <w:r w:rsidRPr="00850CF4">
        <w:rPr>
          <w:bCs/>
          <w:sz w:val="24"/>
          <w:szCs w:val="24"/>
        </w:rPr>
        <w:t xml:space="preserve"> </w:t>
      </w:r>
      <w:proofErr w:type="spellStart"/>
      <w:r w:rsidRPr="00850CF4">
        <w:rPr>
          <w:bCs/>
          <w:sz w:val="24"/>
          <w:szCs w:val="24"/>
        </w:rPr>
        <w:t>Kim</w:t>
      </w:r>
      <w:r w:rsidRPr="00850CF4">
        <w:rPr>
          <w:rFonts w:eastAsia="Malgun Gothic"/>
          <w:bCs/>
          <w:sz w:val="24"/>
          <w:szCs w:val="24"/>
          <w:vertAlign w:val="superscript"/>
          <w:lang w:eastAsia="ko-KR"/>
        </w:rPr>
        <w:t>c</w:t>
      </w:r>
      <w:proofErr w:type="spellEnd"/>
      <w:r w:rsidRPr="00850CF4">
        <w:rPr>
          <w:bCs/>
          <w:sz w:val="24"/>
          <w:szCs w:val="24"/>
        </w:rPr>
        <w:t>,</w:t>
      </w:r>
      <w:r w:rsidRPr="00850CF4">
        <w:rPr>
          <w:bCs/>
          <w:sz w:val="24"/>
          <w:szCs w:val="24"/>
          <w:lang w:eastAsia="ko-KR"/>
        </w:rPr>
        <w:t xml:space="preserve"> </w:t>
      </w:r>
      <w:r w:rsidRPr="00850CF4">
        <w:rPr>
          <w:rFonts w:eastAsia="Malgun Gothic"/>
          <w:bCs/>
          <w:sz w:val="24"/>
          <w:szCs w:val="24"/>
          <w:lang w:eastAsia="ko-KR"/>
        </w:rPr>
        <w:t>S</w:t>
      </w:r>
      <w:r w:rsidRPr="00850CF4">
        <w:rPr>
          <w:bCs/>
          <w:sz w:val="24"/>
          <w:szCs w:val="24"/>
        </w:rPr>
        <w:t>un-</w:t>
      </w:r>
      <w:proofErr w:type="spellStart"/>
      <w:r w:rsidRPr="00850CF4">
        <w:rPr>
          <w:bCs/>
          <w:sz w:val="24"/>
          <w:szCs w:val="24"/>
        </w:rPr>
        <w:t>Hye</w:t>
      </w:r>
      <w:proofErr w:type="spellEnd"/>
      <w:r w:rsidRPr="00850CF4">
        <w:rPr>
          <w:bCs/>
          <w:sz w:val="24"/>
          <w:szCs w:val="24"/>
        </w:rPr>
        <w:t xml:space="preserve"> </w:t>
      </w:r>
      <w:proofErr w:type="spellStart"/>
      <w:r w:rsidRPr="00850CF4">
        <w:rPr>
          <w:bCs/>
          <w:sz w:val="24"/>
          <w:szCs w:val="24"/>
        </w:rPr>
        <w:t>Choi</w:t>
      </w:r>
      <w:r w:rsidRPr="00850CF4">
        <w:rPr>
          <w:rFonts w:eastAsia="Malgun Gothic"/>
          <w:bCs/>
          <w:sz w:val="24"/>
          <w:szCs w:val="24"/>
          <w:vertAlign w:val="superscript"/>
          <w:lang w:eastAsia="ko-KR"/>
        </w:rPr>
        <w:t>c</w:t>
      </w:r>
      <w:proofErr w:type="spellEnd"/>
      <w:r w:rsidRPr="00850CF4">
        <w:rPr>
          <w:bCs/>
          <w:sz w:val="24"/>
          <w:szCs w:val="24"/>
        </w:rPr>
        <w:t>,</w:t>
      </w:r>
      <w:r w:rsidRPr="00850CF4">
        <w:rPr>
          <w:bCs/>
          <w:sz w:val="24"/>
          <w:szCs w:val="24"/>
          <w:lang w:eastAsia="ko-KR"/>
        </w:rPr>
        <w:t xml:space="preserve"> </w:t>
      </w:r>
      <w:proofErr w:type="spellStart"/>
      <w:r w:rsidRPr="00850CF4">
        <w:rPr>
          <w:bCs/>
          <w:sz w:val="24"/>
          <w:szCs w:val="24"/>
          <w:lang w:eastAsia="ko-KR"/>
        </w:rPr>
        <w:t>Hyew</w:t>
      </w:r>
      <w:r w:rsidRPr="00850CF4">
        <w:rPr>
          <w:rFonts w:eastAsia="Malgun Gothic"/>
          <w:bCs/>
          <w:sz w:val="24"/>
          <w:szCs w:val="24"/>
          <w:lang w:eastAsia="ko-KR"/>
        </w:rPr>
        <w:t>h</w:t>
      </w:r>
      <w:r w:rsidRPr="00850CF4">
        <w:rPr>
          <w:bCs/>
          <w:sz w:val="24"/>
          <w:szCs w:val="24"/>
          <w:lang w:eastAsia="ko-KR"/>
        </w:rPr>
        <w:t>on</w:t>
      </w:r>
      <w:proofErr w:type="spellEnd"/>
      <w:r w:rsidRPr="00850CF4">
        <w:rPr>
          <w:bCs/>
          <w:sz w:val="24"/>
          <w:szCs w:val="24"/>
          <w:lang w:eastAsia="ko-KR"/>
        </w:rPr>
        <w:t xml:space="preserve"> </w:t>
      </w:r>
      <w:proofErr w:type="spellStart"/>
      <w:r w:rsidRPr="00850CF4">
        <w:rPr>
          <w:bCs/>
          <w:sz w:val="24"/>
          <w:szCs w:val="24"/>
          <w:lang w:eastAsia="ko-KR"/>
        </w:rPr>
        <w:t>Rhim</w:t>
      </w:r>
      <w:r w:rsidRPr="00850CF4">
        <w:rPr>
          <w:rFonts w:eastAsia="Malgun Gothic"/>
          <w:bCs/>
          <w:sz w:val="24"/>
          <w:szCs w:val="24"/>
          <w:vertAlign w:val="superscript"/>
          <w:lang w:eastAsia="ko-KR"/>
        </w:rPr>
        <w:t>b</w:t>
      </w:r>
      <w:proofErr w:type="spellEnd"/>
      <w:r w:rsidRPr="00850CF4">
        <w:rPr>
          <w:bCs/>
          <w:sz w:val="24"/>
          <w:szCs w:val="24"/>
          <w:lang w:eastAsia="ko-KR"/>
        </w:rPr>
        <w:t xml:space="preserve">, </w:t>
      </w:r>
      <w:proofErr w:type="spellStart"/>
      <w:r w:rsidRPr="00850CF4">
        <w:rPr>
          <w:bCs/>
          <w:sz w:val="24"/>
          <w:szCs w:val="24"/>
          <w:lang w:eastAsia="ko-KR"/>
        </w:rPr>
        <w:t>Hyoung</w:t>
      </w:r>
      <w:proofErr w:type="spellEnd"/>
      <w:r w:rsidRPr="00850CF4">
        <w:rPr>
          <w:bCs/>
          <w:sz w:val="24"/>
          <w:szCs w:val="24"/>
          <w:lang w:eastAsia="ko-KR"/>
        </w:rPr>
        <w:t>-Chun Kim</w:t>
      </w:r>
      <w:r w:rsidRPr="00850CF4">
        <w:rPr>
          <w:sz w:val="24"/>
          <w:szCs w:val="24"/>
          <w:vertAlign w:val="superscript"/>
          <w:lang w:eastAsia="ko-KR"/>
        </w:rPr>
        <w:t>d</w:t>
      </w:r>
      <w:r w:rsidRPr="00850CF4">
        <w:rPr>
          <w:bCs/>
          <w:sz w:val="24"/>
          <w:szCs w:val="24"/>
        </w:rPr>
        <w:t>,</w:t>
      </w:r>
      <w:r w:rsidRPr="00850CF4">
        <w:rPr>
          <w:bCs/>
          <w:sz w:val="24"/>
          <w:szCs w:val="24"/>
          <w:lang w:eastAsia="ko-KR"/>
        </w:rPr>
        <w:t xml:space="preserve"> </w:t>
      </w:r>
      <w:proofErr w:type="spellStart"/>
      <w:r w:rsidRPr="00850CF4">
        <w:rPr>
          <w:bCs/>
          <w:sz w:val="24"/>
          <w:szCs w:val="24"/>
          <w:lang w:eastAsia="ko-KR"/>
        </w:rPr>
        <w:t>Ik</w:t>
      </w:r>
      <w:proofErr w:type="spellEnd"/>
      <w:r w:rsidRPr="00850CF4">
        <w:rPr>
          <w:bCs/>
          <w:sz w:val="24"/>
          <w:szCs w:val="24"/>
          <w:lang w:eastAsia="ko-KR"/>
        </w:rPr>
        <w:t xml:space="preserve">-Hyun </w:t>
      </w:r>
      <w:proofErr w:type="spellStart"/>
      <w:r w:rsidRPr="00850CF4">
        <w:rPr>
          <w:bCs/>
          <w:sz w:val="24"/>
          <w:szCs w:val="24"/>
          <w:lang w:eastAsia="ko-KR"/>
        </w:rPr>
        <w:t>Cho</w:t>
      </w:r>
      <w:r w:rsidRPr="00850CF4">
        <w:rPr>
          <w:rFonts w:eastAsia="Malgun Gothic"/>
          <w:sz w:val="24"/>
          <w:szCs w:val="24"/>
          <w:vertAlign w:val="superscript"/>
          <w:lang w:eastAsia="ko-KR"/>
        </w:rPr>
        <w:t>e</w:t>
      </w:r>
      <w:proofErr w:type="spellEnd"/>
      <w:r w:rsidRPr="00850CF4">
        <w:rPr>
          <w:bCs/>
          <w:sz w:val="24"/>
          <w:szCs w:val="24"/>
          <w:lang w:eastAsia="ko-KR"/>
        </w:rPr>
        <w:t xml:space="preserve">, </w:t>
      </w:r>
      <w:r w:rsidRPr="00850CF4">
        <w:rPr>
          <w:bCs/>
          <w:sz w:val="24"/>
          <w:szCs w:val="24"/>
        </w:rPr>
        <w:t>and Seung-</w:t>
      </w:r>
      <w:proofErr w:type="spellStart"/>
      <w:r w:rsidRPr="00850CF4">
        <w:rPr>
          <w:bCs/>
          <w:sz w:val="24"/>
          <w:szCs w:val="24"/>
        </w:rPr>
        <w:t>Yeol</w:t>
      </w:r>
      <w:proofErr w:type="spellEnd"/>
      <w:r w:rsidRPr="00850CF4">
        <w:rPr>
          <w:bCs/>
          <w:sz w:val="24"/>
          <w:szCs w:val="24"/>
        </w:rPr>
        <w:t xml:space="preserve"> </w:t>
      </w:r>
      <w:proofErr w:type="spellStart"/>
      <w:r w:rsidRPr="00850CF4">
        <w:rPr>
          <w:bCs/>
          <w:sz w:val="24"/>
          <w:szCs w:val="24"/>
        </w:rPr>
        <w:t>Nah</w:t>
      </w:r>
      <w:r w:rsidRPr="00850CF4">
        <w:rPr>
          <w:rFonts w:eastAsia="Malgun Gothic"/>
          <w:bCs/>
          <w:sz w:val="24"/>
          <w:szCs w:val="24"/>
          <w:vertAlign w:val="superscript"/>
          <w:lang w:eastAsia="ko-KR"/>
        </w:rPr>
        <w:t>c</w:t>
      </w:r>
      <w:proofErr w:type="spellEnd"/>
    </w:p>
    <w:p w:rsidR="00367F54" w:rsidRPr="00850CF4" w:rsidRDefault="00367F54" w:rsidP="00367F54">
      <w:pPr>
        <w:pStyle w:val="a"/>
        <w:spacing w:line="360" w:lineRule="auto"/>
        <w:rPr>
          <w:rFonts w:ascii="Times New Roman" w:eastAsia="Batang" w:hAnsi="Times New Roman"/>
          <w:color w:val="auto"/>
          <w:sz w:val="24"/>
          <w:szCs w:val="24"/>
          <w:vertAlign w:val="superscript"/>
          <w:lang w:eastAsia="ko-KR"/>
        </w:rPr>
      </w:pPr>
    </w:p>
    <w:p w:rsidR="00367F54" w:rsidRPr="00850CF4" w:rsidRDefault="00367F54" w:rsidP="00367F54">
      <w:pPr>
        <w:spacing w:line="480" w:lineRule="auto"/>
        <w:outlineLvl w:val="0"/>
        <w:rPr>
          <w:rFonts w:eastAsia="Malgun Gothic"/>
          <w:sz w:val="24"/>
          <w:szCs w:val="24"/>
          <w:lang w:eastAsia="ko-KR"/>
        </w:rPr>
      </w:pPr>
      <w:proofErr w:type="spellStart"/>
      <w:r w:rsidRPr="00850CF4">
        <w:rPr>
          <w:rFonts w:eastAsia="Batang"/>
          <w:sz w:val="24"/>
          <w:szCs w:val="24"/>
          <w:vertAlign w:val="superscript"/>
          <w:lang w:eastAsia="ko-KR"/>
        </w:rPr>
        <w:t>a</w:t>
      </w:r>
      <w:r w:rsidRPr="00850CF4">
        <w:rPr>
          <w:rFonts w:eastAsia="Batang"/>
          <w:sz w:val="24"/>
          <w:szCs w:val="24"/>
        </w:rPr>
        <w:t>Department</w:t>
      </w:r>
      <w:proofErr w:type="spellEnd"/>
      <w:r w:rsidRPr="00850CF4">
        <w:rPr>
          <w:rFonts w:eastAsia="Batang"/>
          <w:sz w:val="24"/>
          <w:szCs w:val="24"/>
        </w:rPr>
        <w:t xml:space="preserve"> of Anatomy, College of Veterinary Medicine, </w:t>
      </w:r>
      <w:proofErr w:type="spellStart"/>
      <w:r w:rsidRPr="00850CF4">
        <w:rPr>
          <w:rFonts w:eastAsia="Batang"/>
          <w:sz w:val="24"/>
          <w:szCs w:val="24"/>
        </w:rPr>
        <w:t>Konkuk</w:t>
      </w:r>
      <w:proofErr w:type="spellEnd"/>
      <w:r w:rsidRPr="00850CF4">
        <w:rPr>
          <w:rFonts w:eastAsia="Batang"/>
          <w:sz w:val="24"/>
          <w:szCs w:val="24"/>
        </w:rPr>
        <w:t xml:space="preserve"> University, Seoul </w:t>
      </w:r>
      <w:r w:rsidRPr="00850CF4">
        <w:rPr>
          <w:sz w:val="24"/>
          <w:szCs w:val="24"/>
          <w:shd w:val="clear" w:color="auto" w:fill="FFFFFF"/>
        </w:rPr>
        <w:t>050</w:t>
      </w:r>
      <w:r w:rsidRPr="00850CF4">
        <w:rPr>
          <w:sz w:val="24"/>
          <w:szCs w:val="24"/>
          <w:shd w:val="clear" w:color="auto" w:fill="FFFFFF"/>
          <w:lang w:eastAsia="ko-KR"/>
        </w:rPr>
        <w:t>29</w:t>
      </w:r>
      <w:r w:rsidRPr="00850CF4">
        <w:rPr>
          <w:rFonts w:eastAsia="Batang"/>
          <w:sz w:val="24"/>
          <w:szCs w:val="24"/>
        </w:rPr>
        <w:t xml:space="preserve">, </w:t>
      </w:r>
      <w:r w:rsidRPr="00850CF4">
        <w:rPr>
          <w:sz w:val="24"/>
          <w:szCs w:val="24"/>
        </w:rPr>
        <w:t>Republic of Korea</w:t>
      </w:r>
    </w:p>
    <w:p w:rsidR="00367F54" w:rsidRPr="00850CF4" w:rsidRDefault="00367F54" w:rsidP="00367F54">
      <w:pPr>
        <w:spacing w:line="480" w:lineRule="auto"/>
        <w:outlineLvl w:val="0"/>
        <w:rPr>
          <w:rFonts w:eastAsia="Malgun Gothic"/>
          <w:sz w:val="24"/>
          <w:szCs w:val="24"/>
          <w:lang w:eastAsia="ko-KR"/>
        </w:rPr>
      </w:pPr>
      <w:proofErr w:type="spellStart"/>
      <w:r w:rsidRPr="00850CF4">
        <w:rPr>
          <w:rFonts w:eastAsia="Malgun Gothic"/>
          <w:bCs/>
          <w:sz w:val="24"/>
          <w:szCs w:val="24"/>
          <w:vertAlign w:val="superscript"/>
          <w:lang w:eastAsia="ko-KR"/>
        </w:rPr>
        <w:t>b</w:t>
      </w:r>
      <w:r w:rsidRPr="00850CF4">
        <w:rPr>
          <w:rFonts w:eastAsia="Malgun Gothic"/>
          <w:sz w:val="24"/>
          <w:szCs w:val="24"/>
        </w:rPr>
        <w:t>Center</w:t>
      </w:r>
      <w:proofErr w:type="spellEnd"/>
      <w:r w:rsidRPr="00850CF4">
        <w:rPr>
          <w:rFonts w:eastAsia="Malgun Gothic"/>
          <w:sz w:val="24"/>
          <w:szCs w:val="24"/>
        </w:rPr>
        <w:t xml:space="preserve"> for Neuroscience, Korea Institute of Science and Technology</w:t>
      </w:r>
      <w:r w:rsidRPr="00850CF4">
        <w:rPr>
          <w:rFonts w:eastAsia="Malgun Gothic"/>
          <w:sz w:val="24"/>
          <w:szCs w:val="24"/>
          <w:lang w:eastAsia="ko-KR"/>
        </w:rPr>
        <w:t>,</w:t>
      </w:r>
      <w:r w:rsidRPr="00850CF4">
        <w:rPr>
          <w:rFonts w:eastAsia="Malgun Gothic"/>
          <w:sz w:val="24"/>
          <w:szCs w:val="24"/>
        </w:rPr>
        <w:t xml:space="preserve"> Seoul </w:t>
      </w:r>
      <w:r w:rsidRPr="00850CF4">
        <w:rPr>
          <w:rFonts w:eastAsia="Malgun Gothic"/>
          <w:sz w:val="24"/>
          <w:szCs w:val="24"/>
          <w:lang w:eastAsia="ko-KR"/>
        </w:rPr>
        <w:t>02792</w:t>
      </w:r>
      <w:r w:rsidRPr="00850CF4">
        <w:rPr>
          <w:rFonts w:eastAsia="Malgun Gothic"/>
          <w:sz w:val="24"/>
          <w:szCs w:val="24"/>
        </w:rPr>
        <w:t>, Korea</w:t>
      </w:r>
    </w:p>
    <w:p w:rsidR="00367F54" w:rsidRPr="00850CF4" w:rsidRDefault="00367F54" w:rsidP="00367F54">
      <w:pPr>
        <w:spacing w:line="480" w:lineRule="auto"/>
        <w:outlineLvl w:val="0"/>
        <w:rPr>
          <w:bCs/>
          <w:sz w:val="24"/>
          <w:szCs w:val="24"/>
          <w:lang w:eastAsia="ko-KR"/>
        </w:rPr>
      </w:pPr>
      <w:proofErr w:type="spellStart"/>
      <w:r w:rsidRPr="00850CF4">
        <w:rPr>
          <w:rFonts w:eastAsia="Malgun Gothic"/>
          <w:bCs/>
          <w:sz w:val="24"/>
          <w:szCs w:val="24"/>
          <w:vertAlign w:val="superscript"/>
          <w:lang w:eastAsia="ko-KR"/>
        </w:rPr>
        <w:t>c</w:t>
      </w:r>
      <w:r w:rsidRPr="00850CF4">
        <w:rPr>
          <w:bCs/>
          <w:sz w:val="24"/>
          <w:szCs w:val="24"/>
          <w:lang w:eastAsia="ko-KR"/>
        </w:rPr>
        <w:t>Ginsentology</w:t>
      </w:r>
      <w:proofErr w:type="spellEnd"/>
      <w:r w:rsidRPr="00850CF4">
        <w:rPr>
          <w:bCs/>
          <w:sz w:val="24"/>
          <w:szCs w:val="24"/>
          <w:lang w:eastAsia="ko-KR"/>
        </w:rPr>
        <w:t xml:space="preserve"> Research Laboratory and Department of Physiology, College of Veterinary Medicine, </w:t>
      </w:r>
      <w:proofErr w:type="spellStart"/>
      <w:r w:rsidRPr="00850CF4">
        <w:rPr>
          <w:bCs/>
          <w:sz w:val="24"/>
          <w:szCs w:val="24"/>
          <w:lang w:eastAsia="ko-KR"/>
        </w:rPr>
        <w:t>Konkuk</w:t>
      </w:r>
      <w:proofErr w:type="spellEnd"/>
      <w:r w:rsidRPr="00850CF4">
        <w:rPr>
          <w:bCs/>
          <w:sz w:val="24"/>
          <w:szCs w:val="24"/>
          <w:lang w:eastAsia="ko-KR"/>
        </w:rPr>
        <w:t xml:space="preserve"> University, Seoul 05029, Korea</w:t>
      </w:r>
    </w:p>
    <w:p w:rsidR="00367F54" w:rsidRPr="00850CF4" w:rsidRDefault="00367F54" w:rsidP="00367F54">
      <w:pPr>
        <w:spacing w:line="480" w:lineRule="auto"/>
        <w:outlineLvl w:val="0"/>
        <w:rPr>
          <w:bCs/>
          <w:sz w:val="24"/>
          <w:szCs w:val="24"/>
          <w:lang w:eastAsia="ko-KR"/>
        </w:rPr>
      </w:pPr>
      <w:proofErr w:type="spellStart"/>
      <w:r w:rsidRPr="00850CF4">
        <w:rPr>
          <w:sz w:val="24"/>
          <w:szCs w:val="24"/>
          <w:vertAlign w:val="superscript"/>
          <w:lang w:eastAsia="ko-KR"/>
        </w:rPr>
        <w:t>d</w:t>
      </w:r>
      <w:r w:rsidRPr="00850CF4">
        <w:rPr>
          <w:bCs/>
          <w:sz w:val="24"/>
          <w:szCs w:val="24"/>
          <w:lang w:eastAsia="ko-KR"/>
        </w:rPr>
        <w:t>Neuropsychopharmacology</w:t>
      </w:r>
      <w:proofErr w:type="spellEnd"/>
      <w:r w:rsidRPr="00850CF4">
        <w:rPr>
          <w:bCs/>
          <w:sz w:val="24"/>
          <w:szCs w:val="24"/>
          <w:lang w:eastAsia="ko-KR"/>
        </w:rPr>
        <w:t xml:space="preserve"> and Toxicology program, College of Pharmacy, </w:t>
      </w:r>
      <w:proofErr w:type="spellStart"/>
      <w:r w:rsidRPr="00850CF4">
        <w:rPr>
          <w:bCs/>
          <w:sz w:val="24"/>
          <w:szCs w:val="24"/>
          <w:lang w:eastAsia="ko-KR"/>
        </w:rPr>
        <w:t>Kangwon</w:t>
      </w:r>
      <w:proofErr w:type="spellEnd"/>
      <w:r w:rsidRPr="00850CF4">
        <w:rPr>
          <w:bCs/>
          <w:sz w:val="24"/>
          <w:szCs w:val="24"/>
          <w:lang w:eastAsia="ko-KR"/>
        </w:rPr>
        <w:t xml:space="preserve"> National</w:t>
      </w:r>
      <w:r w:rsidRPr="00850CF4">
        <w:rPr>
          <w:b/>
          <w:bCs/>
          <w:sz w:val="24"/>
          <w:szCs w:val="24"/>
          <w:lang w:eastAsia="ko-KR"/>
        </w:rPr>
        <w:t xml:space="preserve"> </w:t>
      </w:r>
      <w:r w:rsidRPr="00850CF4">
        <w:rPr>
          <w:bCs/>
          <w:sz w:val="24"/>
          <w:szCs w:val="24"/>
          <w:lang w:eastAsia="ko-KR"/>
        </w:rPr>
        <w:t xml:space="preserve">University, </w:t>
      </w:r>
      <w:proofErr w:type="spellStart"/>
      <w:r w:rsidRPr="00850CF4">
        <w:rPr>
          <w:bCs/>
          <w:sz w:val="24"/>
          <w:szCs w:val="24"/>
          <w:lang w:eastAsia="ko-KR"/>
        </w:rPr>
        <w:t>Chunchon</w:t>
      </w:r>
      <w:proofErr w:type="spellEnd"/>
      <w:r w:rsidRPr="00850CF4">
        <w:rPr>
          <w:bCs/>
          <w:sz w:val="24"/>
          <w:szCs w:val="24"/>
          <w:lang w:eastAsia="ko-KR"/>
        </w:rPr>
        <w:t xml:space="preserve"> 24341, Korea</w:t>
      </w:r>
    </w:p>
    <w:p w:rsidR="00367F54" w:rsidRPr="00850CF4" w:rsidRDefault="00367F54" w:rsidP="00367F54">
      <w:pPr>
        <w:spacing w:line="480" w:lineRule="auto"/>
        <w:outlineLvl w:val="0"/>
        <w:rPr>
          <w:rFonts w:eastAsia="Malgun Gothic"/>
          <w:sz w:val="24"/>
          <w:szCs w:val="24"/>
          <w:lang w:eastAsia="ko-KR"/>
        </w:rPr>
      </w:pPr>
      <w:proofErr w:type="spellStart"/>
      <w:r w:rsidRPr="00850CF4">
        <w:rPr>
          <w:rFonts w:eastAsia="Malgun Gothic"/>
          <w:sz w:val="24"/>
          <w:szCs w:val="24"/>
          <w:vertAlign w:val="superscript"/>
          <w:lang w:eastAsia="ko-KR"/>
        </w:rPr>
        <w:t>e</w:t>
      </w:r>
      <w:r w:rsidRPr="00850CF4">
        <w:rPr>
          <w:sz w:val="24"/>
          <w:szCs w:val="24"/>
        </w:rPr>
        <w:t>Department</w:t>
      </w:r>
      <w:proofErr w:type="spellEnd"/>
      <w:r w:rsidRPr="00850CF4">
        <w:rPr>
          <w:sz w:val="24"/>
          <w:szCs w:val="24"/>
        </w:rPr>
        <w:t xml:space="preserve"> of Science in Korean Medicine,</w:t>
      </w:r>
      <w:r w:rsidRPr="00850CF4">
        <w:rPr>
          <w:bCs/>
          <w:sz w:val="24"/>
          <w:szCs w:val="24"/>
        </w:rPr>
        <w:t xml:space="preserve"> </w:t>
      </w:r>
      <w:r w:rsidRPr="00850CF4">
        <w:rPr>
          <w:sz w:val="24"/>
          <w:szCs w:val="24"/>
        </w:rPr>
        <w:t xml:space="preserve">Brain Korea 21 Plus Program, and Department of Cancer Preventive Material Development, </w:t>
      </w:r>
      <w:r w:rsidRPr="00850CF4">
        <w:rPr>
          <w:bCs/>
          <w:sz w:val="24"/>
          <w:szCs w:val="24"/>
        </w:rPr>
        <w:t>Graduate School,</w:t>
      </w:r>
      <w:r w:rsidRPr="00850CF4">
        <w:rPr>
          <w:sz w:val="24"/>
          <w:szCs w:val="24"/>
        </w:rPr>
        <w:t xml:space="preserve"> </w:t>
      </w:r>
      <w:r w:rsidRPr="00850CF4">
        <w:rPr>
          <w:bCs/>
          <w:sz w:val="24"/>
          <w:szCs w:val="24"/>
        </w:rPr>
        <w:t xml:space="preserve">Kyung </w:t>
      </w:r>
      <w:proofErr w:type="spellStart"/>
      <w:r w:rsidRPr="00850CF4">
        <w:rPr>
          <w:bCs/>
          <w:sz w:val="24"/>
          <w:szCs w:val="24"/>
        </w:rPr>
        <w:t>Hee</w:t>
      </w:r>
      <w:proofErr w:type="spellEnd"/>
      <w:r w:rsidRPr="00850CF4">
        <w:rPr>
          <w:bCs/>
          <w:sz w:val="24"/>
          <w:szCs w:val="24"/>
        </w:rPr>
        <w:t xml:space="preserve"> University,</w:t>
      </w:r>
      <w:r w:rsidRPr="00850CF4">
        <w:rPr>
          <w:sz w:val="24"/>
          <w:szCs w:val="24"/>
        </w:rPr>
        <w:t xml:space="preserve"> Seoul 02447, Korea</w:t>
      </w:r>
    </w:p>
    <w:p w:rsidR="00367F54" w:rsidRPr="00850CF4" w:rsidRDefault="00367F54" w:rsidP="00367F54">
      <w:pPr>
        <w:spacing w:line="480" w:lineRule="auto"/>
        <w:outlineLvl w:val="0"/>
        <w:rPr>
          <w:rFonts w:eastAsia="Malgun Gothic"/>
          <w:sz w:val="24"/>
          <w:szCs w:val="24"/>
          <w:lang w:eastAsia="ko-KR"/>
        </w:rPr>
      </w:pPr>
    </w:p>
    <w:p w:rsidR="00367F54" w:rsidRPr="00850CF4" w:rsidRDefault="00367F54" w:rsidP="00367F54">
      <w:pPr>
        <w:pStyle w:val="Textkrper2"/>
        <w:rPr>
          <w:sz w:val="24"/>
          <w:szCs w:val="24"/>
          <w:lang w:eastAsia="ko-KR"/>
        </w:rPr>
      </w:pPr>
    </w:p>
    <w:p w:rsidR="00367F54" w:rsidRPr="00850CF4" w:rsidRDefault="00367F54" w:rsidP="00367F54">
      <w:pPr>
        <w:pStyle w:val="Textkrper2"/>
        <w:rPr>
          <w:sz w:val="24"/>
          <w:szCs w:val="24"/>
          <w:lang w:eastAsia="ko-KR"/>
        </w:rPr>
      </w:pPr>
    </w:p>
    <w:p w:rsidR="00367F54" w:rsidRPr="00850CF4" w:rsidRDefault="00367F54" w:rsidP="00367F54">
      <w:pPr>
        <w:pStyle w:val="Textkrper2"/>
        <w:rPr>
          <w:b/>
          <w:sz w:val="24"/>
          <w:szCs w:val="24"/>
          <w:lang w:eastAsia="ko-KR"/>
        </w:rPr>
      </w:pPr>
    </w:p>
    <w:p w:rsidR="00367F54" w:rsidRPr="00850CF4" w:rsidRDefault="00367F54" w:rsidP="00367F54">
      <w:pPr>
        <w:pStyle w:val="Textkrper2"/>
        <w:rPr>
          <w:b/>
          <w:sz w:val="24"/>
          <w:szCs w:val="24"/>
          <w:lang w:eastAsia="ko-KR"/>
        </w:rPr>
      </w:pPr>
    </w:p>
    <w:p w:rsidR="00367F54" w:rsidRPr="00850CF4" w:rsidRDefault="00367F54" w:rsidP="00367F54">
      <w:pPr>
        <w:pStyle w:val="Textkrper2"/>
        <w:rPr>
          <w:b/>
          <w:sz w:val="24"/>
          <w:szCs w:val="24"/>
          <w:lang w:eastAsia="ko-KR"/>
        </w:rPr>
      </w:pPr>
    </w:p>
    <w:p w:rsidR="00367F54" w:rsidRPr="00850CF4" w:rsidRDefault="00367F54" w:rsidP="00367F54">
      <w:pPr>
        <w:pStyle w:val="Listenabsatz"/>
        <w:shd w:val="clear" w:color="auto" w:fill="FFFFFF"/>
        <w:tabs>
          <w:tab w:val="left" w:pos="850"/>
          <w:tab w:val="left" w:pos="1702"/>
          <w:tab w:val="left" w:pos="2554"/>
          <w:tab w:val="left" w:pos="3404"/>
          <w:tab w:val="left" w:pos="4256"/>
          <w:tab w:val="left" w:pos="5108"/>
          <w:tab w:val="left" w:pos="5958"/>
          <w:tab w:val="left" w:pos="6810"/>
          <w:tab w:val="left" w:pos="7660"/>
        </w:tabs>
        <w:autoSpaceDE w:val="0"/>
        <w:autoSpaceDN w:val="0"/>
        <w:spacing w:line="480" w:lineRule="auto"/>
        <w:ind w:leftChars="0" w:left="0"/>
        <w:textAlignment w:val="baseline"/>
        <w:rPr>
          <w:b/>
          <w:sz w:val="24"/>
          <w:szCs w:val="24"/>
        </w:rPr>
      </w:pPr>
      <w:r w:rsidRPr="00850CF4">
        <w:rPr>
          <w:b/>
          <w:sz w:val="24"/>
          <w:szCs w:val="24"/>
        </w:rPr>
        <w:lastRenderedPageBreak/>
        <w:t>Supplementary Methods</w:t>
      </w:r>
    </w:p>
    <w:p w:rsidR="00367F54" w:rsidRPr="00850CF4" w:rsidRDefault="00367F54" w:rsidP="00367F54">
      <w:pPr>
        <w:pStyle w:val="Textkrper2"/>
        <w:rPr>
          <w:b/>
          <w:sz w:val="24"/>
          <w:szCs w:val="24"/>
          <w:lang w:eastAsia="ko-KR"/>
        </w:rPr>
      </w:pPr>
    </w:p>
    <w:p w:rsidR="00367F54" w:rsidRPr="00850CF4" w:rsidRDefault="00367F54" w:rsidP="00367F54">
      <w:pPr>
        <w:adjustRightInd w:val="0"/>
        <w:spacing w:line="480" w:lineRule="auto"/>
        <w:rPr>
          <w:b/>
          <w:sz w:val="24"/>
          <w:szCs w:val="24"/>
          <w:lang w:eastAsia="ko-KR"/>
        </w:rPr>
      </w:pPr>
      <w:r w:rsidRPr="00850CF4">
        <w:rPr>
          <w:b/>
          <w:sz w:val="24"/>
          <w:szCs w:val="24"/>
          <w:lang w:eastAsia="ko-KR"/>
        </w:rPr>
        <w:t>Methods</w:t>
      </w:r>
    </w:p>
    <w:p w:rsidR="00367F54" w:rsidRPr="00272EEC" w:rsidRDefault="00367F54" w:rsidP="00367F54">
      <w:pPr>
        <w:adjustRightInd w:val="0"/>
        <w:spacing w:line="480" w:lineRule="auto"/>
        <w:rPr>
          <w:b/>
          <w:sz w:val="24"/>
          <w:szCs w:val="24"/>
          <w:lang w:eastAsia="ko-KR"/>
        </w:rPr>
      </w:pPr>
      <w:r w:rsidRPr="00850CF4">
        <w:rPr>
          <w:b/>
          <w:sz w:val="24"/>
          <w:szCs w:val="24"/>
          <w:lang w:eastAsia="ko-KR"/>
        </w:rPr>
        <w:t>Hippocampal neural progenitor</w:t>
      </w:r>
      <w:r w:rsidRPr="00272EEC">
        <w:rPr>
          <w:b/>
          <w:sz w:val="24"/>
          <w:szCs w:val="24"/>
          <w:lang w:eastAsia="ko-KR"/>
        </w:rPr>
        <w:t xml:space="preserve"> cell culture</w:t>
      </w:r>
    </w:p>
    <w:p w:rsidR="00367F54" w:rsidRPr="00850CF4" w:rsidRDefault="00367F54" w:rsidP="00367F54">
      <w:pPr>
        <w:adjustRightInd w:val="0"/>
        <w:spacing w:line="480" w:lineRule="auto"/>
        <w:rPr>
          <w:b/>
          <w:sz w:val="24"/>
          <w:szCs w:val="24"/>
          <w:lang w:eastAsia="ko-KR"/>
        </w:rPr>
      </w:pPr>
      <w:r w:rsidRPr="00617EF4">
        <w:rPr>
          <w:rFonts w:eastAsia="TT2AB1Fo00"/>
          <w:kern w:val="0"/>
          <w:sz w:val="24"/>
          <w:szCs w:val="24"/>
          <w:lang w:eastAsia="ko-KR"/>
        </w:rPr>
        <w:t>Hippocampal neural progenitor cell (</w:t>
      </w:r>
      <w:r w:rsidRPr="00850CF4">
        <w:rPr>
          <w:rFonts w:eastAsia="TT2AB1Fo00"/>
          <w:kern w:val="0"/>
          <w:sz w:val="24"/>
          <w:szCs w:val="24"/>
          <w:lang w:eastAsia="ko-KR"/>
        </w:rPr>
        <w:t xml:space="preserve">NPC) cultures were prepared according to the procedure described by </w:t>
      </w:r>
      <w:r w:rsidR="00455FE5" w:rsidRPr="00272EEC">
        <w:rPr>
          <w:rFonts w:eastAsia="TT2AB1Fo00"/>
          <w:kern w:val="0"/>
          <w:sz w:val="24"/>
          <w:szCs w:val="24"/>
          <w:lang w:eastAsia="ko-KR"/>
        </w:rPr>
        <w:fldChar w:fldCharType="begin" w:fldLock="1"/>
      </w:r>
      <w:r w:rsidRPr="00850CF4">
        <w:rPr>
          <w:rFonts w:eastAsia="TT2AB1Fo00"/>
          <w:kern w:val="0"/>
          <w:sz w:val="24"/>
          <w:szCs w:val="24"/>
          <w:lang w:eastAsia="ko-KR"/>
        </w:rPr>
        <w:instrText>ADDIN CSL_CITATION { "citationItems" : [ { "id" : "ITEM-1", "itemData" : { "DOI" : "10.1007/s10059-011-0019-5", "ISSN" : "0219-1032", "PMID" : "21191817", "abstract" : "Histone deacetylase inhibitors (HDACIs) that modulate gene expression by inhibiting HDAC enzymes may contribute to the survival of immature hippocampal neurons. However, it remains unknown how and when HDACIs regulate the survival of newly generated immature hippocampal neurons. In the present study, if the treatment of valproic acid (VPA) and sodium butyrate (SBt) in the specific time window during the development of newly generated n eurons r esulted in the i ncreased survival of bromodeoxyuridine (BrdU)(+) neurons in the dentate gyrus (DG) of hippocampus in mice was investigated. It was found that the number of BrdU(+) cells, the expressions of anti-apoptotic Bcl-2 family members and pCREB [D1] were increased by HDACIs when HDACIs were treated no later than 2-3 weeks after BrdU labeling. This suggests that epigenetic modification within a specific time window is critical for the survival of newborn hippocampal neurons by inhibiting the apoptotic pathway.", "author" : [ { "dropping-particle" : "", "family" : "Kim", "given" : "Byung-Woo", "non-dropping-particle" : "", "parse-names" : false, "suffix" : "" }, { "dropping-particle" : "", "family" : "Yang", "given" : "Sera", "non-dropping-particle" : "", "parse-names" : false, "suffix" : "" }, { "dropping-particle" : "", "family" : "Lee", "given" : "Chang Ho", "non-dropping-particle" : "", "parse-names" : false, "suffix" : "" }, { "dropping-particle" : "", "family" : "Son", "given" : "Hyeon", "non-dropping-particle" : "", "parse-names" : false, "suffix" : "" } ], "container-title" : "Molecules and cells", "id" : "ITEM-1", "issue" : "2", "issued" : { "date-parts" : [ [ "2011", "2" ] ] }, "page" : "159-64", "title" : "A critical time window for the survival of neural progenitor cells by HDAC inhibitors in the hippocampus.", "type" : "article-journal", "volume" : "31" }, "uris" : [ "http://www.mendeley.com/documents/?uuid=04e12d9f-a69f-44fb-af2b-210a58050297" ] } ], "mendeley" : { "formattedCitation" : "(Kim et al., 2011)", "manualFormatting" : "Kim et al., (2011)", "plainTextFormattedCitation" : "(Kim et al., 2011)", "previouslyFormattedCitation" : "(Kim et al., 2011)" }, "properties" : { "noteIndex" : 0 }, "schema" : "https://github.com/citation-style-language/schema/raw/master/csl-citation.json" }</w:instrText>
      </w:r>
      <w:r w:rsidR="00455FE5" w:rsidRPr="00272EEC">
        <w:rPr>
          <w:rFonts w:eastAsia="TT2AB1Fo00"/>
          <w:kern w:val="0"/>
          <w:sz w:val="24"/>
          <w:szCs w:val="24"/>
          <w:lang w:eastAsia="ko-KR"/>
        </w:rPr>
        <w:fldChar w:fldCharType="separate"/>
      </w:r>
      <w:r w:rsidRPr="00272EEC">
        <w:rPr>
          <w:rFonts w:eastAsia="TT2AB1Fo00"/>
          <w:kern w:val="0"/>
          <w:sz w:val="24"/>
          <w:szCs w:val="24"/>
          <w:lang w:eastAsia="ko-KR"/>
        </w:rPr>
        <w:t>Kim et al., (2011)</w:t>
      </w:r>
      <w:r w:rsidR="00455FE5" w:rsidRPr="00272EEC">
        <w:rPr>
          <w:rFonts w:eastAsia="TT2AB1Fo00"/>
          <w:kern w:val="0"/>
          <w:sz w:val="24"/>
          <w:szCs w:val="24"/>
          <w:lang w:eastAsia="ko-KR"/>
        </w:rPr>
        <w:fldChar w:fldCharType="end"/>
      </w:r>
      <w:r w:rsidRPr="00272EEC">
        <w:rPr>
          <w:rFonts w:eastAsia="TT2AB1Fo00"/>
          <w:kern w:val="0"/>
          <w:sz w:val="24"/>
          <w:szCs w:val="24"/>
          <w:lang w:eastAsia="ko-KR"/>
        </w:rPr>
        <w:t>.</w:t>
      </w:r>
      <w:r w:rsidRPr="00272EEC">
        <w:rPr>
          <w:b/>
          <w:sz w:val="24"/>
          <w:szCs w:val="24"/>
          <w:lang w:eastAsia="ko-KR"/>
        </w:rPr>
        <w:t xml:space="preserve"> </w:t>
      </w:r>
      <w:r w:rsidRPr="00272EEC">
        <w:rPr>
          <w:sz w:val="24"/>
          <w:szCs w:val="24"/>
          <w:lang w:eastAsia="ko-KR"/>
        </w:rPr>
        <w:t xml:space="preserve">Briefly, </w:t>
      </w:r>
      <w:r w:rsidRPr="00272EEC">
        <w:rPr>
          <w:rFonts w:eastAsia="TT2AB1Ao00"/>
          <w:kern w:val="0"/>
          <w:sz w:val="24"/>
          <w:szCs w:val="24"/>
          <w:lang w:eastAsia="ko-KR"/>
        </w:rPr>
        <w:t xml:space="preserve">embryos at </w:t>
      </w:r>
      <w:r w:rsidRPr="00272EEC">
        <w:rPr>
          <w:sz w:val="24"/>
          <w:szCs w:val="24"/>
          <w:lang w:eastAsia="ko-KR"/>
        </w:rPr>
        <w:t>e</w:t>
      </w:r>
      <w:r w:rsidRPr="00617EF4">
        <w:rPr>
          <w:rFonts w:eastAsia="TT2AB1Ao00"/>
          <w:kern w:val="0"/>
          <w:sz w:val="24"/>
          <w:szCs w:val="24"/>
          <w:lang w:eastAsia="ko-KR"/>
        </w:rPr>
        <w:t>mbryonic day 14.5 (E14.5) were dissected out of</w:t>
      </w:r>
      <w:r w:rsidRPr="00850CF4">
        <w:rPr>
          <w:b/>
          <w:sz w:val="24"/>
          <w:szCs w:val="24"/>
          <w:lang w:eastAsia="ko-KR"/>
        </w:rPr>
        <w:t xml:space="preserve"> </w:t>
      </w:r>
      <w:r w:rsidRPr="00850CF4">
        <w:rPr>
          <w:rFonts w:eastAsia="TT2AB1Ao00"/>
          <w:kern w:val="0"/>
          <w:sz w:val="24"/>
          <w:szCs w:val="24"/>
          <w:lang w:eastAsia="ko-KR"/>
        </w:rPr>
        <w:t>C57BL/6 adult pregnant female mice. The hippocampal region</w:t>
      </w:r>
      <w:r w:rsidRPr="00850CF4">
        <w:rPr>
          <w:b/>
          <w:sz w:val="24"/>
          <w:szCs w:val="24"/>
          <w:lang w:eastAsia="ko-KR"/>
        </w:rPr>
        <w:t xml:space="preserve"> </w:t>
      </w:r>
      <w:r w:rsidRPr="00850CF4">
        <w:rPr>
          <w:rFonts w:eastAsia="TT2AB1Ao00"/>
          <w:kern w:val="0"/>
          <w:sz w:val="24"/>
          <w:szCs w:val="24"/>
          <w:lang w:eastAsia="ko-KR"/>
        </w:rPr>
        <w:t>of the embryonic brain was isolated in calcium/magnesium free</w:t>
      </w:r>
      <w:r w:rsidRPr="00850CF4">
        <w:rPr>
          <w:b/>
          <w:sz w:val="24"/>
          <w:szCs w:val="24"/>
          <w:lang w:eastAsia="ko-KR"/>
        </w:rPr>
        <w:t xml:space="preserve"> </w:t>
      </w:r>
      <w:hyperlink r:id="rId6" w:tooltip="Hanks' salts" w:history="1">
        <w:r w:rsidRPr="0034132A">
          <w:rPr>
            <w:rStyle w:val="Hyperlink"/>
            <w:bCs/>
            <w:color w:val="auto"/>
            <w:sz w:val="24"/>
            <w:szCs w:val="24"/>
            <w:u w:val="none"/>
            <w:lang w:eastAsia="ko-KR"/>
          </w:rPr>
          <w:t>Hanks’ Balanced Salt Solution</w:t>
        </w:r>
      </w:hyperlink>
      <w:r w:rsidRPr="00272EEC">
        <w:rPr>
          <w:b/>
          <w:sz w:val="24"/>
          <w:szCs w:val="24"/>
          <w:lang w:eastAsia="ko-KR"/>
        </w:rPr>
        <w:t xml:space="preserve"> </w:t>
      </w:r>
      <w:r w:rsidRPr="00272EEC">
        <w:rPr>
          <w:rFonts w:eastAsia="TT2AB1Ao00"/>
          <w:kern w:val="0"/>
          <w:sz w:val="24"/>
          <w:szCs w:val="24"/>
          <w:lang w:eastAsia="ko-KR"/>
        </w:rPr>
        <w:t xml:space="preserve">(HBSS). Cells were plated at 2.5 </w:t>
      </w:r>
      <w:r w:rsidRPr="00272EEC">
        <w:rPr>
          <w:rFonts w:eastAsia="TT2AB2Bo00"/>
          <w:kern w:val="0"/>
          <w:sz w:val="24"/>
          <w:szCs w:val="24"/>
          <w:lang w:eastAsia="ko-KR"/>
        </w:rPr>
        <w:t xml:space="preserve">× </w:t>
      </w:r>
      <w:r w:rsidRPr="00617EF4">
        <w:rPr>
          <w:rFonts w:eastAsia="TT2AB1Ao00"/>
          <w:kern w:val="0"/>
          <w:sz w:val="24"/>
          <w:szCs w:val="24"/>
          <w:lang w:eastAsia="ko-KR"/>
        </w:rPr>
        <w:t>10</w:t>
      </w:r>
      <w:r w:rsidRPr="00617EF4">
        <w:rPr>
          <w:rFonts w:eastAsia="TT2AB2Co00"/>
          <w:kern w:val="0"/>
          <w:sz w:val="24"/>
          <w:szCs w:val="24"/>
          <w:vertAlign w:val="superscript"/>
          <w:lang w:eastAsia="ko-KR"/>
        </w:rPr>
        <w:t>4</w:t>
      </w:r>
      <w:r w:rsidRPr="00850CF4">
        <w:rPr>
          <w:rFonts w:eastAsia="TT2AB2Co00"/>
          <w:kern w:val="0"/>
          <w:sz w:val="24"/>
          <w:szCs w:val="24"/>
          <w:lang w:eastAsia="ko-KR"/>
        </w:rPr>
        <w:t xml:space="preserve"> </w:t>
      </w:r>
      <w:r w:rsidRPr="00850CF4">
        <w:rPr>
          <w:rFonts w:eastAsia="TT2AB1Ao00"/>
          <w:kern w:val="0"/>
          <w:sz w:val="24"/>
          <w:szCs w:val="24"/>
          <w:lang w:eastAsia="ko-KR"/>
        </w:rPr>
        <w:t>cells/cm</w:t>
      </w:r>
      <w:r w:rsidRPr="00850CF4">
        <w:rPr>
          <w:rFonts w:eastAsia="TT2AB2Co00"/>
          <w:kern w:val="0"/>
          <w:sz w:val="24"/>
          <w:szCs w:val="24"/>
          <w:vertAlign w:val="superscript"/>
          <w:lang w:eastAsia="ko-KR"/>
        </w:rPr>
        <w:t>2</w:t>
      </w:r>
      <w:r w:rsidRPr="00850CF4">
        <w:rPr>
          <w:rFonts w:eastAsia="TT2AB2Co00"/>
          <w:kern w:val="0"/>
          <w:sz w:val="24"/>
          <w:szCs w:val="24"/>
          <w:lang w:eastAsia="ko-KR"/>
        </w:rPr>
        <w:t xml:space="preserve"> </w:t>
      </w:r>
      <w:r w:rsidRPr="00850CF4">
        <w:rPr>
          <w:rFonts w:eastAsia="TT2AB1Ao00"/>
          <w:kern w:val="0"/>
          <w:sz w:val="24"/>
          <w:szCs w:val="24"/>
          <w:lang w:eastAsia="ko-KR"/>
        </w:rPr>
        <w:t>on 10-cm-diameter</w:t>
      </w:r>
      <w:r w:rsidRPr="00850CF4">
        <w:rPr>
          <w:b/>
          <w:sz w:val="24"/>
          <w:szCs w:val="24"/>
          <w:lang w:eastAsia="ko-KR"/>
        </w:rPr>
        <w:t xml:space="preserve"> </w:t>
      </w:r>
      <w:r w:rsidRPr="00850CF4">
        <w:rPr>
          <w:rFonts w:eastAsia="TT2AB1Ao00"/>
          <w:kern w:val="0"/>
          <w:sz w:val="24"/>
          <w:szCs w:val="24"/>
          <w:lang w:eastAsia="ko-KR"/>
        </w:rPr>
        <w:t xml:space="preserve">plates coated with 15 </w:t>
      </w:r>
      <w:proofErr w:type="spellStart"/>
      <w:r w:rsidRPr="00850CF4">
        <w:rPr>
          <w:rFonts w:eastAsia="TT2AB2Bo00"/>
          <w:kern w:val="0"/>
          <w:sz w:val="24"/>
          <w:szCs w:val="24"/>
          <w:lang w:eastAsia="ko-KR"/>
        </w:rPr>
        <w:t>μ</w:t>
      </w:r>
      <w:r w:rsidRPr="00850CF4">
        <w:rPr>
          <w:rFonts w:eastAsia="TT2AB1Ao00"/>
          <w:kern w:val="0"/>
          <w:sz w:val="24"/>
          <w:szCs w:val="24"/>
          <w:lang w:eastAsia="ko-KR"/>
        </w:rPr>
        <w:t>g</w:t>
      </w:r>
      <w:proofErr w:type="spellEnd"/>
      <w:r w:rsidRPr="00850CF4">
        <w:rPr>
          <w:rFonts w:eastAsia="TT2AB1Ao00"/>
          <w:kern w:val="0"/>
          <w:sz w:val="24"/>
          <w:szCs w:val="24"/>
          <w:lang w:eastAsia="ko-KR"/>
        </w:rPr>
        <w:t xml:space="preserve">/ml poly-L-ornithine and 1 </w:t>
      </w:r>
      <w:proofErr w:type="spellStart"/>
      <w:r w:rsidRPr="00850CF4">
        <w:rPr>
          <w:rFonts w:eastAsia="TT2AB1Ao00"/>
          <w:kern w:val="0"/>
          <w:sz w:val="24"/>
          <w:szCs w:val="24"/>
          <w:lang w:eastAsia="ko-KR"/>
        </w:rPr>
        <w:t>μg</w:t>
      </w:r>
      <w:proofErr w:type="spellEnd"/>
      <w:r w:rsidRPr="00850CF4">
        <w:rPr>
          <w:rFonts w:eastAsia="TT2AB1Ao00"/>
          <w:kern w:val="0"/>
          <w:sz w:val="24"/>
          <w:szCs w:val="24"/>
          <w:lang w:eastAsia="ko-KR"/>
        </w:rPr>
        <w:t>/ml</w:t>
      </w:r>
      <w:r w:rsidRPr="00850CF4">
        <w:rPr>
          <w:b/>
          <w:sz w:val="24"/>
          <w:szCs w:val="24"/>
          <w:lang w:eastAsia="ko-KR"/>
        </w:rPr>
        <w:t xml:space="preserve"> </w:t>
      </w:r>
      <w:r w:rsidRPr="00850CF4">
        <w:rPr>
          <w:rFonts w:eastAsia="TT2AB1Ao00"/>
          <w:kern w:val="0"/>
          <w:sz w:val="24"/>
          <w:szCs w:val="24"/>
          <w:lang w:eastAsia="ko-KR"/>
        </w:rPr>
        <w:t>fibronectin (Invitrogen</w:t>
      </w:r>
      <w:r w:rsidRPr="00272EEC">
        <w:rPr>
          <w:rFonts w:eastAsia="TT2AB1Ao00"/>
          <w:kern w:val="0"/>
          <w:sz w:val="24"/>
          <w:szCs w:val="24"/>
          <w:lang w:eastAsia="ko-KR"/>
        </w:rPr>
        <w:t>). Cells were placed in N2 medium supplemented</w:t>
      </w:r>
      <w:r w:rsidRPr="00272EEC">
        <w:rPr>
          <w:b/>
          <w:sz w:val="24"/>
          <w:szCs w:val="24"/>
          <w:lang w:eastAsia="ko-KR"/>
        </w:rPr>
        <w:t xml:space="preserve"> </w:t>
      </w:r>
      <w:r w:rsidRPr="00272EEC">
        <w:rPr>
          <w:bCs/>
          <w:sz w:val="24"/>
          <w:szCs w:val="24"/>
          <w:lang w:eastAsia="ko-KR"/>
        </w:rPr>
        <w:t xml:space="preserve">with </w:t>
      </w:r>
      <w:r w:rsidRPr="00617EF4">
        <w:rPr>
          <w:rFonts w:eastAsia="TT2AB1Ao00"/>
          <w:kern w:val="0"/>
          <w:sz w:val="24"/>
          <w:szCs w:val="24"/>
          <w:lang w:eastAsia="ko-KR"/>
        </w:rPr>
        <w:t>B27 (Invitrogen) at 37 °C in a 95% air/5% CO</w:t>
      </w:r>
      <w:r w:rsidRPr="00617EF4">
        <w:rPr>
          <w:rFonts w:eastAsia="TT2AB2Co00"/>
          <w:kern w:val="0"/>
          <w:sz w:val="24"/>
          <w:szCs w:val="24"/>
          <w:vertAlign w:val="subscript"/>
          <w:lang w:eastAsia="ko-KR"/>
        </w:rPr>
        <w:t>2</w:t>
      </w:r>
      <w:r w:rsidRPr="00850CF4">
        <w:rPr>
          <w:rFonts w:eastAsia="TT2AB2Co00"/>
          <w:kern w:val="0"/>
          <w:sz w:val="24"/>
          <w:szCs w:val="24"/>
          <w:lang w:eastAsia="ko-KR"/>
        </w:rPr>
        <w:t xml:space="preserve"> </w:t>
      </w:r>
      <w:r w:rsidRPr="00850CF4">
        <w:rPr>
          <w:rFonts w:eastAsia="TT2AB1Ao00"/>
          <w:kern w:val="0"/>
          <w:sz w:val="24"/>
          <w:szCs w:val="24"/>
          <w:lang w:eastAsia="ko-KR"/>
        </w:rPr>
        <w:t>gas</w:t>
      </w:r>
      <w:r w:rsidRPr="00850CF4">
        <w:rPr>
          <w:b/>
          <w:sz w:val="24"/>
          <w:szCs w:val="24"/>
          <w:lang w:eastAsia="ko-KR"/>
        </w:rPr>
        <w:t xml:space="preserve"> </w:t>
      </w:r>
      <w:r w:rsidRPr="00850CF4">
        <w:rPr>
          <w:rFonts w:eastAsia="TT2AB1Ao00"/>
          <w:kern w:val="0"/>
          <w:sz w:val="24"/>
          <w:szCs w:val="24"/>
          <w:lang w:eastAsia="ko-KR"/>
        </w:rPr>
        <w:t>incubator. Basic fibroblast growth factor (</w:t>
      </w:r>
      <w:proofErr w:type="spellStart"/>
      <w:r w:rsidRPr="00850CF4">
        <w:rPr>
          <w:rFonts w:eastAsia="TT2AB1Ao00"/>
          <w:kern w:val="0"/>
          <w:sz w:val="24"/>
          <w:szCs w:val="24"/>
          <w:lang w:eastAsia="ko-KR"/>
        </w:rPr>
        <w:t>bFGF</w:t>
      </w:r>
      <w:proofErr w:type="spellEnd"/>
      <w:r w:rsidRPr="00850CF4">
        <w:rPr>
          <w:rFonts w:eastAsia="TT2AB1Ao00"/>
          <w:kern w:val="0"/>
          <w:sz w:val="24"/>
          <w:szCs w:val="24"/>
          <w:lang w:eastAsia="ko-KR"/>
        </w:rPr>
        <w:t>, 20 ng/ml; R&amp;D</w:t>
      </w:r>
      <w:r w:rsidRPr="00850CF4">
        <w:rPr>
          <w:b/>
          <w:sz w:val="24"/>
          <w:szCs w:val="24"/>
          <w:lang w:eastAsia="ko-KR"/>
        </w:rPr>
        <w:t xml:space="preserve"> </w:t>
      </w:r>
      <w:r w:rsidRPr="00850CF4">
        <w:rPr>
          <w:rFonts w:eastAsia="TT2AB1Ao00"/>
          <w:kern w:val="0"/>
          <w:sz w:val="24"/>
          <w:szCs w:val="24"/>
          <w:lang w:eastAsia="ko-KR"/>
        </w:rPr>
        <w:t>Systems, Minneapolis, MN, USA) and epidermal growth factor (EGF, 20 ng/ml; R&amp;D Systems) were added</w:t>
      </w:r>
      <w:r w:rsidRPr="00850CF4">
        <w:rPr>
          <w:b/>
          <w:sz w:val="24"/>
          <w:szCs w:val="24"/>
          <w:lang w:eastAsia="ko-KR"/>
        </w:rPr>
        <w:t xml:space="preserve"> </w:t>
      </w:r>
      <w:r w:rsidRPr="00850CF4">
        <w:rPr>
          <w:rFonts w:eastAsia="TT2AB1Ao00"/>
          <w:kern w:val="0"/>
          <w:sz w:val="24"/>
          <w:szCs w:val="24"/>
          <w:lang w:eastAsia="ko-KR"/>
        </w:rPr>
        <w:t xml:space="preserve">daily </w:t>
      </w:r>
      <w:proofErr w:type="gramStart"/>
      <w:r w:rsidRPr="00850CF4">
        <w:rPr>
          <w:rFonts w:eastAsia="TT2AB1Ao00"/>
          <w:kern w:val="0"/>
          <w:sz w:val="24"/>
          <w:szCs w:val="24"/>
          <w:lang w:eastAsia="ko-KR"/>
        </w:rPr>
        <w:t>in order to</w:t>
      </w:r>
      <w:proofErr w:type="gramEnd"/>
      <w:r w:rsidRPr="00850CF4">
        <w:rPr>
          <w:rFonts w:eastAsia="TT2AB1Ao00"/>
          <w:kern w:val="0"/>
          <w:sz w:val="24"/>
          <w:szCs w:val="24"/>
          <w:lang w:eastAsia="ko-KR"/>
        </w:rPr>
        <w:t xml:space="preserve"> promote proliferation of the hippocampal NPC population, and</w:t>
      </w:r>
      <w:r w:rsidRPr="00850CF4">
        <w:rPr>
          <w:b/>
          <w:sz w:val="24"/>
          <w:szCs w:val="24"/>
          <w:lang w:eastAsia="ko-KR"/>
        </w:rPr>
        <w:t xml:space="preserve"> </w:t>
      </w:r>
      <w:r w:rsidRPr="00850CF4">
        <w:rPr>
          <w:rFonts w:eastAsia="TT2AB1Ao00"/>
          <w:kern w:val="0"/>
          <w:sz w:val="24"/>
          <w:szCs w:val="24"/>
          <w:lang w:eastAsia="ko-KR"/>
        </w:rPr>
        <w:t>the medium was changed every other day. Cells were sub-cultured at 80% confluency</w:t>
      </w:r>
      <w:r w:rsidRPr="00850CF4">
        <w:rPr>
          <w:b/>
          <w:sz w:val="24"/>
          <w:szCs w:val="24"/>
          <w:lang w:eastAsia="ko-KR"/>
        </w:rPr>
        <w:t xml:space="preserve"> </w:t>
      </w:r>
      <w:r w:rsidRPr="00850CF4">
        <w:rPr>
          <w:rFonts w:eastAsia="TT2AB1Ao00"/>
          <w:kern w:val="0"/>
          <w:sz w:val="24"/>
          <w:szCs w:val="24"/>
          <w:lang w:eastAsia="ko-KR"/>
        </w:rPr>
        <w:t xml:space="preserve">and maintained at 6 </w:t>
      </w:r>
      <w:r w:rsidRPr="00850CF4">
        <w:rPr>
          <w:rFonts w:eastAsia="TT2AB2Bo00"/>
          <w:kern w:val="0"/>
          <w:sz w:val="24"/>
          <w:szCs w:val="24"/>
          <w:lang w:eastAsia="ko-KR"/>
        </w:rPr>
        <w:t xml:space="preserve">× </w:t>
      </w:r>
      <w:r w:rsidRPr="00850CF4">
        <w:rPr>
          <w:rFonts w:eastAsia="TT2AB1Ao00"/>
          <w:kern w:val="0"/>
          <w:sz w:val="24"/>
          <w:szCs w:val="24"/>
          <w:lang w:eastAsia="ko-KR"/>
        </w:rPr>
        <w:t>10</w:t>
      </w:r>
      <w:r w:rsidRPr="00850CF4">
        <w:rPr>
          <w:rFonts w:eastAsia="TT2AB2Co00"/>
          <w:kern w:val="0"/>
          <w:sz w:val="24"/>
          <w:szCs w:val="24"/>
          <w:vertAlign w:val="superscript"/>
          <w:lang w:eastAsia="ko-KR"/>
        </w:rPr>
        <w:t>4</w:t>
      </w:r>
      <w:r w:rsidRPr="00850CF4">
        <w:rPr>
          <w:rFonts w:eastAsia="TT2AB2Co00"/>
          <w:kern w:val="0"/>
          <w:sz w:val="24"/>
          <w:szCs w:val="24"/>
          <w:lang w:eastAsia="ko-KR"/>
        </w:rPr>
        <w:t xml:space="preserve"> </w:t>
      </w:r>
      <w:r w:rsidRPr="00850CF4">
        <w:rPr>
          <w:rFonts w:eastAsia="TT2AB1Ao00"/>
          <w:kern w:val="0"/>
          <w:sz w:val="24"/>
          <w:szCs w:val="24"/>
          <w:lang w:eastAsia="ko-KR"/>
        </w:rPr>
        <w:t>cells/cm</w:t>
      </w:r>
      <w:r w:rsidRPr="00850CF4">
        <w:rPr>
          <w:rFonts w:eastAsia="TT2AB2Co00"/>
          <w:kern w:val="0"/>
          <w:sz w:val="24"/>
          <w:szCs w:val="24"/>
          <w:vertAlign w:val="superscript"/>
          <w:lang w:eastAsia="ko-KR"/>
        </w:rPr>
        <w:t xml:space="preserve">2 </w:t>
      </w:r>
      <w:r w:rsidRPr="00850CF4">
        <w:rPr>
          <w:rFonts w:eastAsia="TT2AB1Ao00"/>
          <w:kern w:val="0"/>
          <w:sz w:val="24"/>
          <w:szCs w:val="24"/>
          <w:lang w:eastAsia="ko-KR"/>
        </w:rPr>
        <w:t>in B27-supplemented</w:t>
      </w:r>
      <w:r w:rsidRPr="00850CF4">
        <w:rPr>
          <w:b/>
          <w:sz w:val="24"/>
          <w:szCs w:val="24"/>
          <w:lang w:eastAsia="ko-KR"/>
        </w:rPr>
        <w:t xml:space="preserve"> </w:t>
      </w:r>
      <w:r w:rsidRPr="00850CF4">
        <w:rPr>
          <w:rFonts w:eastAsia="TT2AB1Ao00"/>
          <w:kern w:val="0"/>
          <w:sz w:val="24"/>
          <w:szCs w:val="24"/>
          <w:lang w:eastAsia="ko-KR"/>
        </w:rPr>
        <w:t xml:space="preserve">N2 medium containing </w:t>
      </w:r>
      <w:proofErr w:type="spellStart"/>
      <w:r w:rsidRPr="00850CF4">
        <w:rPr>
          <w:rFonts w:eastAsia="TT2AB1Ao00"/>
          <w:kern w:val="0"/>
          <w:sz w:val="24"/>
          <w:szCs w:val="24"/>
          <w:lang w:eastAsia="ko-KR"/>
        </w:rPr>
        <w:t>bFGF</w:t>
      </w:r>
      <w:proofErr w:type="spellEnd"/>
      <w:r w:rsidRPr="00850CF4">
        <w:rPr>
          <w:rFonts w:eastAsia="TT2AB1Ao00"/>
          <w:kern w:val="0"/>
          <w:sz w:val="24"/>
          <w:szCs w:val="24"/>
          <w:lang w:eastAsia="ko-KR"/>
        </w:rPr>
        <w:t xml:space="preserve"> and EGF.</w:t>
      </w:r>
      <w:r w:rsidRPr="00850CF4">
        <w:rPr>
          <w:b/>
          <w:sz w:val="24"/>
          <w:szCs w:val="24"/>
          <w:lang w:eastAsia="ko-KR"/>
        </w:rPr>
        <w:t xml:space="preserve"> </w:t>
      </w:r>
      <w:r w:rsidRPr="00850CF4">
        <w:rPr>
          <w:rFonts w:eastAsia="TT2AB1Ao00"/>
          <w:kern w:val="0"/>
          <w:sz w:val="24"/>
          <w:szCs w:val="24"/>
          <w:lang w:eastAsia="ko-KR"/>
        </w:rPr>
        <w:t xml:space="preserve">Differentiation of these sub-cultured cells was induced </w:t>
      </w:r>
      <w:r w:rsidRPr="00850CF4">
        <w:rPr>
          <w:rFonts w:eastAsia="TT2AB1Ao00"/>
          <w:i/>
          <w:iCs/>
          <w:kern w:val="0"/>
          <w:sz w:val="24"/>
          <w:szCs w:val="24"/>
          <w:lang w:eastAsia="ko-KR"/>
        </w:rPr>
        <w:t>via</w:t>
      </w:r>
      <w:r w:rsidRPr="00850CF4">
        <w:rPr>
          <w:rFonts w:eastAsia="TT2AB1Ao00"/>
          <w:kern w:val="0"/>
          <w:sz w:val="24"/>
          <w:szCs w:val="24"/>
          <w:lang w:eastAsia="ko-KR"/>
        </w:rPr>
        <w:t xml:space="preserve"> withdrawal of </w:t>
      </w:r>
      <w:proofErr w:type="spellStart"/>
      <w:r w:rsidRPr="00850CF4">
        <w:rPr>
          <w:rFonts w:eastAsia="TT2AB1Ao00"/>
          <w:kern w:val="0"/>
          <w:sz w:val="24"/>
          <w:szCs w:val="24"/>
          <w:lang w:eastAsia="ko-KR"/>
        </w:rPr>
        <w:t>bFGF</w:t>
      </w:r>
      <w:proofErr w:type="spellEnd"/>
      <w:r w:rsidRPr="00850CF4">
        <w:rPr>
          <w:rFonts w:eastAsia="TT2AB1Ao00"/>
          <w:kern w:val="0"/>
          <w:sz w:val="24"/>
          <w:szCs w:val="24"/>
          <w:lang w:eastAsia="ko-KR"/>
        </w:rPr>
        <w:t xml:space="preserve"> and EGF, and they were maintained in the differentiation</w:t>
      </w:r>
      <w:r w:rsidRPr="00850CF4">
        <w:rPr>
          <w:b/>
          <w:sz w:val="24"/>
          <w:szCs w:val="24"/>
          <w:lang w:eastAsia="ko-KR"/>
        </w:rPr>
        <w:t xml:space="preserve"> </w:t>
      </w:r>
      <w:r w:rsidRPr="00850CF4">
        <w:rPr>
          <w:rFonts w:eastAsia="TT2AB1Ao00"/>
          <w:kern w:val="0"/>
          <w:sz w:val="24"/>
          <w:szCs w:val="24"/>
          <w:lang w:eastAsia="ko-KR"/>
        </w:rPr>
        <w:t>medium (Neurobasal medium supplemented with B27) for 3–5</w:t>
      </w:r>
      <w:r w:rsidRPr="00850CF4">
        <w:rPr>
          <w:b/>
          <w:sz w:val="24"/>
          <w:szCs w:val="24"/>
          <w:lang w:eastAsia="ko-KR"/>
        </w:rPr>
        <w:t xml:space="preserve"> </w:t>
      </w:r>
      <w:r w:rsidRPr="00850CF4">
        <w:rPr>
          <w:rFonts w:eastAsia="TT2AB1Ao00"/>
          <w:kern w:val="0"/>
          <w:sz w:val="24"/>
          <w:szCs w:val="24"/>
          <w:lang w:eastAsia="ko-KR"/>
        </w:rPr>
        <w:t>days.</w:t>
      </w:r>
    </w:p>
    <w:p w:rsidR="00367F54" w:rsidRPr="00850CF4" w:rsidRDefault="00367F54" w:rsidP="00367F54">
      <w:pPr>
        <w:adjustRightInd w:val="0"/>
        <w:spacing w:line="480" w:lineRule="auto"/>
        <w:rPr>
          <w:sz w:val="24"/>
          <w:szCs w:val="24"/>
          <w:lang w:eastAsia="ko-KR"/>
        </w:rPr>
      </w:pPr>
    </w:p>
    <w:p w:rsidR="00367F54" w:rsidRPr="00850CF4" w:rsidRDefault="00367F54" w:rsidP="00367F54">
      <w:pPr>
        <w:spacing w:after="100" w:line="480" w:lineRule="auto"/>
        <w:rPr>
          <w:rFonts w:eastAsia="Gulim"/>
          <w:b/>
          <w:kern w:val="0"/>
          <w:sz w:val="24"/>
          <w:szCs w:val="24"/>
          <w:lang w:eastAsia="ko-KR"/>
        </w:rPr>
      </w:pPr>
      <w:r w:rsidRPr="00850CF4">
        <w:rPr>
          <w:rFonts w:eastAsia="Gulim"/>
          <w:b/>
          <w:kern w:val="0"/>
          <w:sz w:val="24"/>
          <w:szCs w:val="24"/>
        </w:rPr>
        <w:t xml:space="preserve">Measurement of </w:t>
      </w:r>
      <w:r w:rsidRPr="00850CF4">
        <w:rPr>
          <w:rFonts w:eastAsia="Gulim"/>
          <w:b/>
          <w:kern w:val="0"/>
          <w:sz w:val="24"/>
          <w:szCs w:val="24"/>
          <w:lang w:eastAsia="ko-KR"/>
        </w:rPr>
        <w:t>cell survival rate</w:t>
      </w:r>
    </w:p>
    <w:p w:rsidR="00367F54" w:rsidRPr="00850CF4" w:rsidRDefault="00367F54" w:rsidP="00367F54">
      <w:pPr>
        <w:spacing w:after="100" w:line="480" w:lineRule="auto"/>
        <w:rPr>
          <w:rFonts w:eastAsia="Gulim"/>
          <w:kern w:val="0"/>
          <w:sz w:val="24"/>
          <w:szCs w:val="24"/>
          <w:lang w:eastAsia="ko-KR"/>
        </w:rPr>
      </w:pPr>
      <w:r w:rsidRPr="00850CF4">
        <w:rPr>
          <w:rFonts w:eastAsia="Gulim"/>
          <w:kern w:val="0"/>
          <w:sz w:val="24"/>
          <w:szCs w:val="24"/>
          <w:lang w:eastAsia="ko-KR"/>
        </w:rPr>
        <w:t>To measure cell survival rate, cells</w:t>
      </w:r>
      <w:r w:rsidRPr="00850CF4">
        <w:rPr>
          <w:rFonts w:eastAsia="Gulim"/>
          <w:b/>
          <w:kern w:val="0"/>
          <w:sz w:val="24"/>
          <w:szCs w:val="24"/>
          <w:lang w:eastAsia="ko-KR"/>
        </w:rPr>
        <w:t xml:space="preserve"> </w:t>
      </w:r>
      <w:r w:rsidRPr="00850CF4">
        <w:rPr>
          <w:rFonts w:eastAsia="Gulim"/>
          <w:kern w:val="0"/>
          <w:sz w:val="24"/>
          <w:szCs w:val="24"/>
        </w:rPr>
        <w:t>were plated in 96-well plates (20,000 cells/well) overnight, and then treated with D-galactose for 24</w:t>
      </w:r>
      <w:r w:rsidRPr="00850CF4">
        <w:rPr>
          <w:rFonts w:eastAsia="Gulim"/>
          <w:kern w:val="0"/>
          <w:sz w:val="24"/>
          <w:szCs w:val="24"/>
          <w:lang w:eastAsia="ko-KR"/>
        </w:rPr>
        <w:t xml:space="preserve"> </w:t>
      </w:r>
      <w:r w:rsidRPr="00850CF4">
        <w:rPr>
          <w:rFonts w:eastAsia="Gulim"/>
          <w:kern w:val="0"/>
          <w:sz w:val="24"/>
          <w:szCs w:val="24"/>
        </w:rPr>
        <w:t xml:space="preserve">h. The cell viability for each treatment was determined using water-soluble tetrazolium salt-1 (WST-1). The WST-1 cell proliferation assay (catalog no.: ab155902; </w:t>
      </w:r>
      <w:proofErr w:type="spellStart"/>
      <w:r w:rsidRPr="00850CF4">
        <w:rPr>
          <w:rFonts w:eastAsia="Gulim"/>
          <w:kern w:val="0"/>
          <w:sz w:val="24"/>
          <w:szCs w:val="24"/>
        </w:rPr>
        <w:t>Abcam</w:t>
      </w:r>
      <w:proofErr w:type="spellEnd"/>
      <w:r w:rsidRPr="00850CF4">
        <w:rPr>
          <w:rFonts w:eastAsia="Gulim"/>
          <w:kern w:val="0"/>
          <w:sz w:val="24"/>
          <w:szCs w:val="24"/>
        </w:rPr>
        <w:t xml:space="preserve">, Cambridge, UK) was performed and the results were </w:t>
      </w:r>
      <w:r w:rsidRPr="00850CF4">
        <w:rPr>
          <w:rFonts w:eastAsia="Gulim"/>
          <w:kern w:val="0"/>
          <w:sz w:val="24"/>
          <w:szCs w:val="24"/>
        </w:rPr>
        <w:lastRenderedPageBreak/>
        <w:t xml:space="preserve">analyzed on a plate reader (Synergy 2, </w:t>
      </w:r>
      <w:proofErr w:type="spellStart"/>
      <w:r w:rsidRPr="00850CF4">
        <w:rPr>
          <w:rFonts w:eastAsia="Gulim"/>
          <w:kern w:val="0"/>
          <w:sz w:val="24"/>
          <w:szCs w:val="24"/>
        </w:rPr>
        <w:t>BioTek</w:t>
      </w:r>
      <w:proofErr w:type="spellEnd"/>
      <w:r w:rsidRPr="00272EEC">
        <w:rPr>
          <w:rFonts w:eastAsia="Gulim"/>
          <w:kern w:val="0"/>
          <w:sz w:val="24"/>
          <w:szCs w:val="24"/>
        </w:rPr>
        <w:t xml:space="preserve">). Cells grown in a 96-well tissue culture plate </w:t>
      </w:r>
      <w:r w:rsidRPr="00617EF4">
        <w:rPr>
          <w:rFonts w:eastAsia="Gulim"/>
          <w:kern w:val="0"/>
          <w:sz w:val="24"/>
          <w:szCs w:val="24"/>
        </w:rPr>
        <w:t>we</w:t>
      </w:r>
      <w:r w:rsidRPr="00850CF4">
        <w:rPr>
          <w:rFonts w:eastAsia="Gulim"/>
          <w:kern w:val="0"/>
          <w:sz w:val="24"/>
          <w:szCs w:val="24"/>
        </w:rPr>
        <w:t>re incubated with the WST-1 reagent for 0.5–4 h. After this incubation period, the formazan dye formed was quantitated using a scanning multi-well spectrophotometer (ELISA reader</w:t>
      </w:r>
      <w:r w:rsidRPr="00272EEC">
        <w:rPr>
          <w:rFonts w:eastAsia="Gulim"/>
          <w:kern w:val="0"/>
          <w:sz w:val="24"/>
          <w:szCs w:val="24"/>
        </w:rPr>
        <w:t>). The measured absorbance directly correlates to the number of viable cells.</w:t>
      </w:r>
      <w:r w:rsidRPr="00272EEC">
        <w:rPr>
          <w:rFonts w:eastAsia="Gulim"/>
          <w:b/>
          <w:kern w:val="0"/>
          <w:sz w:val="24"/>
          <w:szCs w:val="24"/>
          <w:lang w:eastAsia="ko-KR"/>
        </w:rPr>
        <w:t xml:space="preserve"> </w:t>
      </w:r>
      <w:r w:rsidRPr="00272EEC">
        <w:rPr>
          <w:rFonts w:eastAsia="Gulim"/>
          <w:kern w:val="0"/>
          <w:sz w:val="24"/>
          <w:szCs w:val="24"/>
        </w:rPr>
        <w:t xml:space="preserve">The </w:t>
      </w:r>
      <w:r w:rsidRPr="00617EF4">
        <w:rPr>
          <w:rFonts w:eastAsia="Gulim"/>
          <w:kern w:val="0"/>
          <w:sz w:val="24"/>
          <w:szCs w:val="24"/>
        </w:rPr>
        <w:t>optical density</w:t>
      </w:r>
      <w:r w:rsidRPr="00850CF4">
        <w:rPr>
          <w:rFonts w:eastAsia="Gulim"/>
          <w:kern w:val="0"/>
          <w:sz w:val="24"/>
          <w:szCs w:val="24"/>
        </w:rPr>
        <w:t xml:space="preserve"> of each well was measured by a plate reader (Spectra Max 190, Molecular Devices,</w:t>
      </w:r>
      <w:r w:rsidRPr="00850CF4">
        <w:rPr>
          <w:rFonts w:eastAsia="Gulim"/>
          <w:kern w:val="0"/>
          <w:sz w:val="24"/>
          <w:szCs w:val="24"/>
          <w:lang w:eastAsia="ko-KR"/>
        </w:rPr>
        <w:t xml:space="preserve"> </w:t>
      </w:r>
      <w:r w:rsidRPr="00850CF4">
        <w:rPr>
          <w:rFonts w:eastAsia="Gulim"/>
          <w:kern w:val="0"/>
          <w:sz w:val="24"/>
          <w:szCs w:val="24"/>
        </w:rPr>
        <w:t>Sunnyvale, CA) with a filter setting at 570 nm (reference filter setting was 630 nm).</w:t>
      </w:r>
    </w:p>
    <w:p w:rsidR="00367F54" w:rsidRPr="00850CF4" w:rsidRDefault="00367F54" w:rsidP="00367F54">
      <w:pPr>
        <w:spacing w:after="100" w:line="480" w:lineRule="auto"/>
        <w:rPr>
          <w:rFonts w:eastAsia="Gulim"/>
          <w:kern w:val="0"/>
          <w:sz w:val="24"/>
          <w:szCs w:val="24"/>
          <w:lang w:eastAsia="ko-KR"/>
        </w:rPr>
      </w:pPr>
    </w:p>
    <w:p w:rsidR="00367F54" w:rsidRPr="00850CF4" w:rsidRDefault="00367F54" w:rsidP="00367F54">
      <w:pPr>
        <w:spacing w:after="100" w:line="480" w:lineRule="auto"/>
        <w:rPr>
          <w:b/>
          <w:sz w:val="24"/>
          <w:szCs w:val="24"/>
          <w:lang w:eastAsia="ko-KR"/>
        </w:rPr>
      </w:pPr>
      <w:r w:rsidRPr="00850CF4">
        <w:rPr>
          <w:b/>
          <w:sz w:val="24"/>
          <w:szCs w:val="24"/>
        </w:rPr>
        <w:t>Immunoblotting assay</w:t>
      </w:r>
    </w:p>
    <w:p w:rsidR="00367F54" w:rsidRPr="00850CF4" w:rsidRDefault="00367F54" w:rsidP="00367F54">
      <w:pPr>
        <w:spacing w:after="100" w:line="480" w:lineRule="auto"/>
        <w:rPr>
          <w:sz w:val="24"/>
          <w:szCs w:val="24"/>
          <w:lang w:eastAsia="ko-KR"/>
        </w:rPr>
      </w:pPr>
      <w:r w:rsidRPr="00850CF4">
        <w:rPr>
          <w:sz w:val="24"/>
          <w:szCs w:val="24"/>
        </w:rPr>
        <w:t xml:space="preserve">To confirm the effects of low and high concentrations of gintonin on the weight of the hippocampus as well as the expression level of doublecortin (DCX), and </w:t>
      </w:r>
      <w:r w:rsidRPr="00850CF4">
        <w:rPr>
          <w:bCs/>
          <w:sz w:val="24"/>
          <w:szCs w:val="24"/>
          <w:lang w:eastAsia="ko-KR"/>
        </w:rPr>
        <w:t>lysophosphatidic acid</w:t>
      </w:r>
      <w:r w:rsidRPr="00850CF4">
        <w:rPr>
          <w:sz w:val="24"/>
          <w:szCs w:val="24"/>
        </w:rPr>
        <w:t xml:space="preserve"> (LPA1) receptor in the hippocampus were assessed; five mice per group were sacrificed by decapitation after urethane (2 g/</w:t>
      </w:r>
      <w:r w:rsidRPr="00850CF4">
        <w:rPr>
          <w:sz w:val="24"/>
          <w:szCs w:val="24"/>
          <w:lang w:eastAsia="ko-KR"/>
        </w:rPr>
        <w:t>k</w:t>
      </w:r>
      <w:r w:rsidRPr="00850CF4">
        <w:rPr>
          <w:sz w:val="24"/>
          <w:szCs w:val="24"/>
        </w:rPr>
        <w:t>g) anesthesia. The mouse brains were quickly removed, and the h</w:t>
      </w:r>
      <w:r w:rsidRPr="00850CF4">
        <w:rPr>
          <w:rFonts w:eastAsia="Gulim"/>
          <w:sz w:val="24"/>
          <w:szCs w:val="24"/>
        </w:rPr>
        <w:t xml:space="preserve">ippocampus </w:t>
      </w:r>
      <w:r w:rsidRPr="00850CF4">
        <w:rPr>
          <w:sz w:val="24"/>
          <w:szCs w:val="24"/>
        </w:rPr>
        <w:t xml:space="preserve">was dissected free with a surgical blade and stored at -80 °C for further analysis. For immunoblotting, the brain tissues were homogenized in 50 </w:t>
      </w:r>
      <w:proofErr w:type="spellStart"/>
      <w:r w:rsidRPr="00850CF4">
        <w:rPr>
          <w:sz w:val="24"/>
          <w:szCs w:val="24"/>
        </w:rPr>
        <w:t>mM</w:t>
      </w:r>
      <w:proofErr w:type="spellEnd"/>
      <w:r w:rsidRPr="00850CF4">
        <w:rPr>
          <w:sz w:val="24"/>
          <w:szCs w:val="24"/>
        </w:rPr>
        <w:t xml:space="preserve"> phosphate-buffered saline (PBS, pH 7.4) containing 0.1 </w:t>
      </w:r>
      <w:proofErr w:type="spellStart"/>
      <w:r w:rsidRPr="00850CF4">
        <w:rPr>
          <w:sz w:val="24"/>
          <w:szCs w:val="24"/>
        </w:rPr>
        <w:t>mM</w:t>
      </w:r>
      <w:proofErr w:type="spellEnd"/>
      <w:r w:rsidRPr="00850CF4">
        <w:rPr>
          <w:sz w:val="24"/>
          <w:szCs w:val="24"/>
        </w:rPr>
        <w:t xml:space="preserve"> </w:t>
      </w:r>
      <w:proofErr w:type="spellStart"/>
      <w:r w:rsidRPr="00850CF4">
        <w:rPr>
          <w:sz w:val="24"/>
          <w:szCs w:val="24"/>
        </w:rPr>
        <w:t>ethyleneglycol</w:t>
      </w:r>
      <w:proofErr w:type="spellEnd"/>
      <w:r w:rsidRPr="00850CF4">
        <w:rPr>
          <w:sz w:val="24"/>
          <w:szCs w:val="24"/>
        </w:rPr>
        <w:t xml:space="preserve"> </w:t>
      </w:r>
      <w:proofErr w:type="spellStart"/>
      <w:r w:rsidRPr="00850CF4">
        <w:rPr>
          <w:sz w:val="24"/>
          <w:szCs w:val="24"/>
        </w:rPr>
        <w:t>bis</w:t>
      </w:r>
      <w:proofErr w:type="spellEnd"/>
      <w:r w:rsidRPr="00850CF4">
        <w:rPr>
          <w:sz w:val="24"/>
          <w:szCs w:val="24"/>
        </w:rPr>
        <w:t xml:space="preserve"> (2-aminoethyl ether)-</w:t>
      </w:r>
      <w:r w:rsidRPr="00850CF4">
        <w:rPr>
          <w:i/>
          <w:sz w:val="24"/>
          <w:szCs w:val="24"/>
        </w:rPr>
        <w:t>N</w:t>
      </w:r>
      <w:r w:rsidRPr="00850CF4">
        <w:rPr>
          <w:sz w:val="24"/>
          <w:szCs w:val="24"/>
        </w:rPr>
        <w:t>,</w:t>
      </w:r>
      <w:r w:rsidRPr="00850CF4">
        <w:rPr>
          <w:i/>
          <w:sz w:val="24"/>
          <w:szCs w:val="24"/>
        </w:rPr>
        <w:t>N</w:t>
      </w:r>
      <w:r w:rsidRPr="00850CF4">
        <w:rPr>
          <w:sz w:val="24"/>
          <w:szCs w:val="24"/>
        </w:rPr>
        <w:t>,</w:t>
      </w:r>
      <w:r w:rsidRPr="00850CF4">
        <w:rPr>
          <w:i/>
          <w:sz w:val="24"/>
          <w:szCs w:val="24"/>
        </w:rPr>
        <w:t>N′</w:t>
      </w:r>
      <w:r w:rsidRPr="00850CF4">
        <w:rPr>
          <w:sz w:val="24"/>
          <w:szCs w:val="24"/>
        </w:rPr>
        <w:t>,</w:t>
      </w:r>
      <w:r w:rsidRPr="00850CF4">
        <w:rPr>
          <w:i/>
          <w:sz w:val="24"/>
          <w:szCs w:val="24"/>
        </w:rPr>
        <w:t>N′</w:t>
      </w:r>
      <w:r w:rsidRPr="00850CF4">
        <w:rPr>
          <w:sz w:val="24"/>
          <w:szCs w:val="24"/>
        </w:rPr>
        <w:t xml:space="preserve"> </w:t>
      </w:r>
      <w:proofErr w:type="spellStart"/>
      <w:r w:rsidRPr="00850CF4">
        <w:rPr>
          <w:sz w:val="24"/>
          <w:szCs w:val="24"/>
        </w:rPr>
        <w:t>tetraacetic</w:t>
      </w:r>
      <w:proofErr w:type="spellEnd"/>
      <w:r w:rsidRPr="00850CF4">
        <w:rPr>
          <w:sz w:val="24"/>
          <w:szCs w:val="24"/>
        </w:rPr>
        <w:t xml:space="preserve"> acid (EGTA, pH 8.0), 0.2% </w:t>
      </w:r>
      <w:proofErr w:type="spellStart"/>
      <w:r w:rsidRPr="00850CF4">
        <w:rPr>
          <w:sz w:val="24"/>
          <w:szCs w:val="24"/>
        </w:rPr>
        <w:t>nonidet</w:t>
      </w:r>
      <w:proofErr w:type="spellEnd"/>
      <w:r w:rsidRPr="00850CF4">
        <w:rPr>
          <w:sz w:val="24"/>
          <w:szCs w:val="24"/>
        </w:rPr>
        <w:t xml:space="preserve"> P-40, 10 </w:t>
      </w:r>
      <w:proofErr w:type="spellStart"/>
      <w:r w:rsidRPr="00850CF4">
        <w:rPr>
          <w:sz w:val="24"/>
          <w:szCs w:val="24"/>
        </w:rPr>
        <w:t>mM</w:t>
      </w:r>
      <w:proofErr w:type="spellEnd"/>
      <w:r w:rsidRPr="00850CF4">
        <w:rPr>
          <w:sz w:val="24"/>
          <w:szCs w:val="24"/>
        </w:rPr>
        <w:t xml:space="preserve"> </w:t>
      </w:r>
      <w:proofErr w:type="spellStart"/>
      <w:r w:rsidRPr="00850CF4">
        <w:rPr>
          <w:sz w:val="24"/>
          <w:szCs w:val="24"/>
        </w:rPr>
        <w:t>ethylendiamine</w:t>
      </w:r>
      <w:proofErr w:type="spellEnd"/>
      <w:r w:rsidRPr="00850CF4">
        <w:rPr>
          <w:sz w:val="24"/>
          <w:szCs w:val="24"/>
        </w:rPr>
        <w:t xml:space="preserve"> </w:t>
      </w:r>
      <w:proofErr w:type="spellStart"/>
      <w:r w:rsidRPr="00850CF4">
        <w:rPr>
          <w:sz w:val="24"/>
          <w:szCs w:val="24"/>
        </w:rPr>
        <w:t>tetraacetic</w:t>
      </w:r>
      <w:proofErr w:type="spellEnd"/>
      <w:r w:rsidRPr="00850CF4">
        <w:rPr>
          <w:sz w:val="24"/>
          <w:szCs w:val="24"/>
        </w:rPr>
        <w:t xml:space="preserve"> acid (EDTA, pH 8.0), 15 </w:t>
      </w:r>
      <w:proofErr w:type="spellStart"/>
      <w:r w:rsidRPr="00850CF4">
        <w:rPr>
          <w:sz w:val="24"/>
          <w:szCs w:val="24"/>
        </w:rPr>
        <w:t>mM</w:t>
      </w:r>
      <w:proofErr w:type="spellEnd"/>
      <w:r w:rsidRPr="00850CF4">
        <w:rPr>
          <w:sz w:val="24"/>
          <w:szCs w:val="24"/>
        </w:rPr>
        <w:t xml:space="preserve"> sodium pyrophosphate, 100 </w:t>
      </w:r>
      <w:proofErr w:type="spellStart"/>
      <w:r w:rsidRPr="00850CF4">
        <w:rPr>
          <w:sz w:val="24"/>
          <w:szCs w:val="24"/>
        </w:rPr>
        <w:t>mM</w:t>
      </w:r>
      <w:proofErr w:type="spellEnd"/>
      <w:r w:rsidRPr="00850CF4">
        <w:rPr>
          <w:sz w:val="24"/>
          <w:szCs w:val="24"/>
        </w:rPr>
        <w:t xml:space="preserve"> β-</w:t>
      </w:r>
      <w:proofErr w:type="spellStart"/>
      <w:r w:rsidRPr="00850CF4">
        <w:rPr>
          <w:sz w:val="24"/>
          <w:szCs w:val="24"/>
        </w:rPr>
        <w:t>glycerophosphate</w:t>
      </w:r>
      <w:proofErr w:type="spellEnd"/>
      <w:r w:rsidRPr="00850CF4">
        <w:rPr>
          <w:sz w:val="24"/>
          <w:szCs w:val="24"/>
        </w:rPr>
        <w:t xml:space="preserve">, 50 </w:t>
      </w:r>
      <w:proofErr w:type="spellStart"/>
      <w:r w:rsidRPr="00850CF4">
        <w:rPr>
          <w:sz w:val="24"/>
          <w:szCs w:val="24"/>
        </w:rPr>
        <w:t>mM</w:t>
      </w:r>
      <w:proofErr w:type="spellEnd"/>
      <w:r w:rsidRPr="00850CF4">
        <w:rPr>
          <w:sz w:val="24"/>
          <w:szCs w:val="24"/>
        </w:rPr>
        <w:t xml:space="preserve"> </w:t>
      </w:r>
      <w:proofErr w:type="spellStart"/>
      <w:r w:rsidRPr="00850CF4">
        <w:rPr>
          <w:sz w:val="24"/>
          <w:szCs w:val="24"/>
        </w:rPr>
        <w:t>NaF</w:t>
      </w:r>
      <w:proofErr w:type="spellEnd"/>
      <w:r w:rsidRPr="00850CF4">
        <w:rPr>
          <w:sz w:val="24"/>
          <w:szCs w:val="24"/>
        </w:rPr>
        <w:t xml:space="preserve">, 150 </w:t>
      </w:r>
      <w:proofErr w:type="spellStart"/>
      <w:r w:rsidRPr="00850CF4">
        <w:rPr>
          <w:sz w:val="24"/>
          <w:szCs w:val="24"/>
        </w:rPr>
        <w:t>mM</w:t>
      </w:r>
      <w:proofErr w:type="spellEnd"/>
      <w:r w:rsidRPr="00850CF4">
        <w:rPr>
          <w:sz w:val="24"/>
          <w:szCs w:val="24"/>
        </w:rPr>
        <w:t xml:space="preserve"> </w:t>
      </w:r>
      <w:proofErr w:type="spellStart"/>
      <w:r w:rsidRPr="00850CF4">
        <w:rPr>
          <w:sz w:val="24"/>
          <w:szCs w:val="24"/>
        </w:rPr>
        <w:t>NaCl</w:t>
      </w:r>
      <w:proofErr w:type="spellEnd"/>
      <w:r w:rsidRPr="00850CF4">
        <w:rPr>
          <w:sz w:val="24"/>
          <w:szCs w:val="24"/>
        </w:rPr>
        <w:t xml:space="preserve">, 2 </w:t>
      </w:r>
      <w:proofErr w:type="spellStart"/>
      <w:r w:rsidRPr="00850CF4">
        <w:rPr>
          <w:sz w:val="24"/>
          <w:szCs w:val="24"/>
        </w:rPr>
        <w:t>mM</w:t>
      </w:r>
      <w:proofErr w:type="spellEnd"/>
      <w:r w:rsidRPr="00850CF4">
        <w:rPr>
          <w:sz w:val="24"/>
          <w:szCs w:val="24"/>
        </w:rPr>
        <w:t xml:space="preserve"> sodium orthovanadate, 1 </w:t>
      </w:r>
      <w:proofErr w:type="spellStart"/>
      <w:r w:rsidRPr="00850CF4">
        <w:rPr>
          <w:sz w:val="24"/>
          <w:szCs w:val="24"/>
        </w:rPr>
        <w:t>mM</w:t>
      </w:r>
      <w:proofErr w:type="spellEnd"/>
      <w:r w:rsidRPr="00850CF4">
        <w:rPr>
          <w:sz w:val="24"/>
          <w:szCs w:val="24"/>
        </w:rPr>
        <w:t xml:space="preserve"> </w:t>
      </w:r>
      <w:proofErr w:type="spellStart"/>
      <w:r w:rsidRPr="00850CF4">
        <w:rPr>
          <w:sz w:val="24"/>
          <w:szCs w:val="24"/>
        </w:rPr>
        <w:t>phenylmethylsulfonyl</w:t>
      </w:r>
      <w:proofErr w:type="spellEnd"/>
      <w:r w:rsidRPr="00850CF4">
        <w:rPr>
          <w:sz w:val="24"/>
          <w:szCs w:val="24"/>
        </w:rPr>
        <w:t xml:space="preserve"> fluoride</w:t>
      </w:r>
      <w:r w:rsidRPr="00272EEC">
        <w:rPr>
          <w:sz w:val="24"/>
          <w:szCs w:val="24"/>
        </w:rPr>
        <w:t xml:space="preserve"> and 1 </w:t>
      </w:r>
      <w:proofErr w:type="spellStart"/>
      <w:r w:rsidRPr="00272EEC">
        <w:rPr>
          <w:sz w:val="24"/>
          <w:szCs w:val="24"/>
        </w:rPr>
        <w:t>mM</w:t>
      </w:r>
      <w:proofErr w:type="spellEnd"/>
      <w:r w:rsidRPr="00272EEC">
        <w:rPr>
          <w:sz w:val="24"/>
          <w:szCs w:val="24"/>
        </w:rPr>
        <w:t xml:space="preserve"> dithiothreitol (DTT). After centrifugation, protein concentration in</w:t>
      </w:r>
      <w:r w:rsidRPr="00617EF4">
        <w:rPr>
          <w:sz w:val="24"/>
          <w:szCs w:val="24"/>
        </w:rPr>
        <w:t xml:space="preserve"> the supernatants was determined using a Micro BCA protein assay kit with bovine serum albumin as the standard (Pierce Chemical, Rockford, IL, USA). Aliquots containing 80 </w:t>
      </w:r>
      <w:proofErr w:type="spellStart"/>
      <w:r w:rsidRPr="00617EF4">
        <w:rPr>
          <w:sz w:val="24"/>
          <w:szCs w:val="24"/>
        </w:rPr>
        <w:t>μg</w:t>
      </w:r>
      <w:proofErr w:type="spellEnd"/>
      <w:r w:rsidRPr="00617EF4">
        <w:rPr>
          <w:sz w:val="24"/>
          <w:szCs w:val="24"/>
        </w:rPr>
        <w:t xml:space="preserve"> protein</w:t>
      </w:r>
      <w:r w:rsidRPr="00850CF4">
        <w:rPr>
          <w:sz w:val="24"/>
          <w:szCs w:val="24"/>
          <w:lang w:eastAsia="ko-KR"/>
        </w:rPr>
        <w:t>s</w:t>
      </w:r>
      <w:r w:rsidRPr="00850CF4">
        <w:rPr>
          <w:sz w:val="24"/>
          <w:szCs w:val="24"/>
        </w:rPr>
        <w:t xml:space="preserve"> were denatured in loading buffer containing 150 </w:t>
      </w:r>
      <w:proofErr w:type="spellStart"/>
      <w:r w:rsidRPr="00850CF4">
        <w:rPr>
          <w:sz w:val="24"/>
          <w:szCs w:val="24"/>
        </w:rPr>
        <w:t>mM</w:t>
      </w:r>
      <w:proofErr w:type="spellEnd"/>
      <w:r w:rsidRPr="00850CF4">
        <w:rPr>
          <w:sz w:val="24"/>
          <w:szCs w:val="24"/>
        </w:rPr>
        <w:t xml:space="preserve"> Tris (pH 6.8), 3 </w:t>
      </w:r>
      <w:proofErr w:type="spellStart"/>
      <w:r w:rsidRPr="00850CF4">
        <w:rPr>
          <w:sz w:val="24"/>
          <w:szCs w:val="24"/>
        </w:rPr>
        <w:t>mM</w:t>
      </w:r>
      <w:proofErr w:type="spellEnd"/>
      <w:r w:rsidRPr="00850CF4">
        <w:rPr>
          <w:sz w:val="24"/>
          <w:szCs w:val="24"/>
        </w:rPr>
        <w:t xml:space="preserve"> DTT, 6% sodium dodecyl sulfate, 0.3% bromophenol blue, and 30% glycerol. The aliquots were then loaded onto 10% polyacrylamide gel. After electrophoresis, the gels were transferred to nitrocellulose membranes (Pall Corp., East Hills, NY, USA). To reduce </w:t>
      </w:r>
      <w:r w:rsidRPr="00850CF4">
        <w:rPr>
          <w:sz w:val="24"/>
          <w:szCs w:val="24"/>
        </w:rPr>
        <w:lastRenderedPageBreak/>
        <w:t>background staining, the membranes were incubated with 5% s</w:t>
      </w:r>
      <w:r w:rsidRPr="00850CF4">
        <w:rPr>
          <w:sz w:val="24"/>
          <w:szCs w:val="24"/>
          <w:lang w:eastAsia="ko-KR"/>
        </w:rPr>
        <w:t>k</w:t>
      </w:r>
      <w:r w:rsidRPr="00850CF4">
        <w:rPr>
          <w:sz w:val="24"/>
          <w:szCs w:val="24"/>
        </w:rPr>
        <w:t xml:space="preserve">im milk in Tris-buffered saline (TBS, pH 7.4) containing 0.1% Tween 20 for 1 h, followed by incubation with primary antibody against DCX (mouse, 1:500; Santa Cruz Biotechnology, Santa Cruz, CA, USA), or LPA1 receptor (rabbit, 1:1,000; </w:t>
      </w:r>
      <w:proofErr w:type="spellStart"/>
      <w:r w:rsidRPr="00850CF4">
        <w:rPr>
          <w:sz w:val="24"/>
          <w:szCs w:val="24"/>
        </w:rPr>
        <w:t>Abcam</w:t>
      </w:r>
      <w:proofErr w:type="spellEnd"/>
      <w:r w:rsidRPr="00850CF4">
        <w:rPr>
          <w:sz w:val="24"/>
          <w:szCs w:val="24"/>
        </w:rPr>
        <w:t>) overnight at 4 °C. The blots were washed three times in TBS containing 0.1% Tween-20 and then incubated with horseradish peroxidase-conjugated secondary antibodies (mouse or rabbit, 1:200</w:t>
      </w:r>
      <w:r w:rsidRPr="00272EEC">
        <w:rPr>
          <w:sz w:val="24"/>
          <w:szCs w:val="24"/>
        </w:rPr>
        <w:t xml:space="preserve">0). Bands were visualized using </w:t>
      </w:r>
      <w:proofErr w:type="spellStart"/>
      <w:r w:rsidRPr="00272EEC">
        <w:rPr>
          <w:sz w:val="24"/>
          <w:szCs w:val="24"/>
        </w:rPr>
        <w:t>SuperSignal</w:t>
      </w:r>
      <w:proofErr w:type="spellEnd"/>
      <w:r w:rsidRPr="00617EF4">
        <w:rPr>
          <w:rFonts w:eastAsia="Malgun Gothic"/>
          <w:sz w:val="24"/>
          <w:szCs w:val="24"/>
          <w:vertAlign w:val="superscript"/>
        </w:rPr>
        <w:t>®</w:t>
      </w:r>
      <w:r w:rsidRPr="00617EF4">
        <w:rPr>
          <w:sz w:val="24"/>
          <w:szCs w:val="24"/>
        </w:rPr>
        <w:t xml:space="preserve"> West Pico Chemiluminescent Substrate (Thermo Fisher Scientific, Rockford, IL, USA). The blot was </w:t>
      </w:r>
      <w:proofErr w:type="spellStart"/>
      <w:r w:rsidRPr="00617EF4">
        <w:rPr>
          <w:sz w:val="24"/>
          <w:szCs w:val="24"/>
        </w:rPr>
        <w:t>densitometrically</w:t>
      </w:r>
      <w:proofErr w:type="spellEnd"/>
      <w:r w:rsidRPr="00617EF4">
        <w:rPr>
          <w:sz w:val="24"/>
          <w:szCs w:val="24"/>
        </w:rPr>
        <w:t xml:space="preserve"> scanned for the quantification of relative optical density</w:t>
      </w:r>
      <w:r w:rsidRPr="00850CF4">
        <w:rPr>
          <w:sz w:val="24"/>
          <w:szCs w:val="24"/>
        </w:rPr>
        <w:t xml:space="preserve"> of each band using National Institutes of Health Image 1.59 software. The data were normalized against β-actin expression levels.</w:t>
      </w:r>
    </w:p>
    <w:p w:rsidR="00367F54" w:rsidRPr="00850CF4" w:rsidRDefault="00367F54" w:rsidP="00367F54">
      <w:pPr>
        <w:spacing w:after="100" w:line="480" w:lineRule="auto"/>
        <w:rPr>
          <w:sz w:val="24"/>
          <w:szCs w:val="24"/>
          <w:lang w:eastAsia="ko-KR"/>
        </w:rPr>
      </w:pPr>
    </w:p>
    <w:p w:rsidR="00367F54" w:rsidRPr="00850CF4" w:rsidRDefault="00367F54" w:rsidP="00367F54">
      <w:pPr>
        <w:spacing w:after="100" w:line="480" w:lineRule="auto"/>
        <w:rPr>
          <w:rFonts w:eastAsia="Gulim"/>
          <w:b/>
          <w:kern w:val="0"/>
          <w:sz w:val="24"/>
          <w:szCs w:val="24"/>
          <w:lang w:eastAsia="ko-KR"/>
        </w:rPr>
      </w:pPr>
      <w:r w:rsidRPr="00850CF4">
        <w:rPr>
          <w:rFonts w:eastAsia="Gulim"/>
          <w:b/>
          <w:kern w:val="0"/>
          <w:sz w:val="24"/>
          <w:szCs w:val="24"/>
        </w:rPr>
        <w:t>Measurement of reactive oxygen species</w:t>
      </w:r>
      <w:r w:rsidRPr="00850CF4">
        <w:rPr>
          <w:rFonts w:eastAsia="Gulim"/>
          <w:b/>
          <w:kern w:val="0"/>
          <w:sz w:val="24"/>
          <w:szCs w:val="24"/>
          <w:lang w:eastAsia="ko-KR"/>
        </w:rPr>
        <w:t xml:space="preserve"> generation</w:t>
      </w:r>
    </w:p>
    <w:p w:rsidR="00367F54" w:rsidRPr="00850CF4" w:rsidRDefault="00367F54" w:rsidP="00367F54">
      <w:pPr>
        <w:spacing w:after="100" w:line="480" w:lineRule="auto"/>
        <w:rPr>
          <w:rFonts w:eastAsia="Gulim"/>
          <w:b/>
          <w:kern w:val="0"/>
          <w:sz w:val="24"/>
          <w:szCs w:val="24"/>
          <w:lang w:eastAsia="ko-KR"/>
        </w:rPr>
      </w:pPr>
      <w:r w:rsidRPr="00850CF4">
        <w:rPr>
          <w:rFonts w:eastAsia="Gulim"/>
          <w:kern w:val="0"/>
          <w:sz w:val="24"/>
          <w:szCs w:val="24"/>
        </w:rPr>
        <w:t>Cells were plated in 96-well plates (20,000 cells/well) overnight. The assay for reactive oxygen species (ROS) was performed as described previously (Garg and Chang, 2004). The medium from each well was removed, and the cells in each well were treated with 10 AM</w:t>
      </w:r>
      <w:r w:rsidRPr="00272EEC">
        <w:rPr>
          <w:rFonts w:eastAsia="Gulim"/>
          <w:kern w:val="0"/>
          <w:sz w:val="24"/>
          <w:szCs w:val="24"/>
        </w:rPr>
        <w:t xml:space="preserve"> H2DCF-DA (100 Al/well prepared in HBSS) for 20 min at 37 </w:t>
      </w:r>
      <w:r w:rsidRPr="00272EEC">
        <w:rPr>
          <w:rFonts w:eastAsia="TT2AB1Ao00"/>
          <w:kern w:val="0"/>
          <w:sz w:val="24"/>
          <w:szCs w:val="24"/>
          <w:lang w:eastAsia="ko-KR"/>
        </w:rPr>
        <w:t>°C</w:t>
      </w:r>
      <w:r w:rsidRPr="00617EF4">
        <w:rPr>
          <w:rFonts w:eastAsia="Gulim"/>
          <w:kern w:val="0"/>
          <w:sz w:val="24"/>
          <w:szCs w:val="24"/>
        </w:rPr>
        <w:t xml:space="preserve">. After removal of H2DCF-DA, cells were treated with </w:t>
      </w:r>
      <w:r w:rsidRPr="00850CF4">
        <w:rPr>
          <w:rFonts w:eastAsia="Gulim"/>
          <w:kern w:val="0"/>
          <w:sz w:val="24"/>
          <w:szCs w:val="24"/>
          <w:lang w:eastAsia="ko-KR"/>
        </w:rPr>
        <w:t xml:space="preserve">various concentrations of D-galactose, </w:t>
      </w:r>
      <w:r w:rsidRPr="00850CF4">
        <w:rPr>
          <w:rFonts w:eastAsia="TT2AB1Ao00"/>
          <w:kern w:val="0"/>
          <w:sz w:val="24"/>
          <w:szCs w:val="24"/>
          <w:lang w:eastAsia="ko-KR"/>
        </w:rPr>
        <w:t>as indicated in Figures S5–S7</w:t>
      </w:r>
      <w:r w:rsidRPr="00850CF4">
        <w:rPr>
          <w:rFonts w:eastAsia="Gulim"/>
          <w:kern w:val="0"/>
          <w:sz w:val="24"/>
          <w:szCs w:val="24"/>
        </w:rPr>
        <w:t>. The fluorescence of each well was detected by a fluorescence plate reader (Spectra Max Gemini XS, Molecular Devices) with the following wavelength settings: excitation, 485 nm; emission, 535 nm; and cutoff, 530 nm. A well containing cells without H2DCF-DA treatment was used as ‘‘blank’’ in each experiment. The reading of blank was subtracted before the results were plotted, expressed as net fluorescence units (FU).</w:t>
      </w:r>
    </w:p>
    <w:p w:rsidR="00367F54" w:rsidRPr="00850CF4" w:rsidRDefault="00367F54" w:rsidP="00367F54">
      <w:pPr>
        <w:spacing w:line="480" w:lineRule="auto"/>
        <w:rPr>
          <w:rFonts w:eastAsia="Gulim"/>
          <w:b/>
          <w:kern w:val="2"/>
          <w:sz w:val="24"/>
          <w:szCs w:val="24"/>
          <w:lang w:eastAsia="ko-KR"/>
        </w:rPr>
      </w:pPr>
    </w:p>
    <w:p w:rsidR="00357520" w:rsidRDefault="00357520" w:rsidP="00367F54">
      <w:pPr>
        <w:rPr>
          <w:rFonts w:eastAsia="Arial Unicode MS"/>
          <w:b/>
          <w:sz w:val="24"/>
          <w:szCs w:val="24"/>
          <w:shd w:val="clear" w:color="auto" w:fill="FFFFFF"/>
        </w:rPr>
      </w:pPr>
    </w:p>
    <w:p w:rsidR="00357520" w:rsidRDefault="00357520" w:rsidP="00367F54">
      <w:pPr>
        <w:rPr>
          <w:rFonts w:eastAsia="Arial Unicode MS"/>
          <w:b/>
          <w:sz w:val="24"/>
          <w:szCs w:val="24"/>
          <w:shd w:val="clear" w:color="auto" w:fill="FFFFFF"/>
        </w:rPr>
      </w:pPr>
    </w:p>
    <w:p w:rsidR="00367F54" w:rsidRPr="00850CF4" w:rsidRDefault="00367F54" w:rsidP="00367F54">
      <w:pPr>
        <w:rPr>
          <w:rFonts w:eastAsia="Arial Unicode MS"/>
          <w:b/>
          <w:sz w:val="24"/>
          <w:szCs w:val="24"/>
          <w:shd w:val="clear" w:color="auto" w:fill="FFFFFF"/>
          <w:lang w:eastAsia="ko-KR"/>
        </w:rPr>
      </w:pPr>
      <w:r w:rsidRPr="00850CF4">
        <w:rPr>
          <w:rFonts w:eastAsia="Arial Unicode MS"/>
          <w:b/>
          <w:sz w:val="24"/>
          <w:szCs w:val="24"/>
          <w:shd w:val="clear" w:color="auto" w:fill="FFFFFF"/>
        </w:rPr>
        <w:lastRenderedPageBreak/>
        <w:t>Supplementary Figure Legends</w:t>
      </w:r>
    </w:p>
    <w:p w:rsidR="00367F54" w:rsidRPr="00850CF4" w:rsidRDefault="00367F54" w:rsidP="00367F54">
      <w:pPr>
        <w:rPr>
          <w:rFonts w:eastAsia="Arial Unicode MS"/>
          <w:b/>
          <w:sz w:val="24"/>
          <w:szCs w:val="24"/>
          <w:shd w:val="clear" w:color="auto" w:fill="FFFFFF"/>
          <w:lang w:eastAsia="ko-KR"/>
        </w:rPr>
      </w:pPr>
    </w:p>
    <w:p w:rsidR="00367F54" w:rsidRPr="00850CF4" w:rsidRDefault="00367F54" w:rsidP="00367F54">
      <w:pPr>
        <w:rPr>
          <w:rFonts w:eastAsia="Arial Unicode MS"/>
          <w:b/>
          <w:sz w:val="24"/>
          <w:szCs w:val="24"/>
          <w:shd w:val="clear" w:color="auto" w:fill="FFFFFF"/>
          <w:lang w:eastAsia="ko-KR"/>
        </w:rPr>
      </w:pPr>
    </w:p>
    <w:p w:rsidR="00367F54" w:rsidRPr="00850CF4" w:rsidRDefault="00367F54" w:rsidP="00367F54">
      <w:pPr>
        <w:pStyle w:val="legend"/>
        <w:ind w:left="0" w:firstLine="0"/>
        <w:rPr>
          <w:sz w:val="24"/>
          <w:szCs w:val="24"/>
        </w:rPr>
      </w:pPr>
      <w:r w:rsidRPr="00850CF4">
        <w:rPr>
          <w:b/>
          <w:sz w:val="24"/>
          <w:szCs w:val="24"/>
        </w:rPr>
        <w:t>Supplementary</w:t>
      </w:r>
      <w:r w:rsidRPr="00850CF4">
        <w:rPr>
          <w:rFonts w:eastAsia="Batang"/>
          <w:b/>
          <w:bCs/>
          <w:sz w:val="24"/>
          <w:szCs w:val="24"/>
        </w:rPr>
        <w:t xml:space="preserve"> Figure </w:t>
      </w:r>
      <w:r w:rsidRPr="00850CF4">
        <w:rPr>
          <w:rFonts w:eastAsia="Malgun Gothic"/>
          <w:b/>
          <w:bCs/>
          <w:sz w:val="24"/>
          <w:szCs w:val="24"/>
        </w:rPr>
        <w:t>S</w:t>
      </w:r>
      <w:r w:rsidRPr="00850CF4">
        <w:rPr>
          <w:rFonts w:eastAsia="Batang"/>
          <w:b/>
          <w:bCs/>
          <w:sz w:val="24"/>
          <w:szCs w:val="24"/>
        </w:rPr>
        <w:t>1</w:t>
      </w:r>
      <w:r w:rsidRPr="00850CF4">
        <w:rPr>
          <w:b/>
          <w:sz w:val="24"/>
          <w:szCs w:val="24"/>
        </w:rPr>
        <w:t>.</w:t>
      </w:r>
      <w:r w:rsidRPr="00850CF4">
        <w:rPr>
          <w:sz w:val="24"/>
          <w:szCs w:val="24"/>
        </w:rPr>
        <w:t xml:space="preserve"> Experimental design (A). Physiological data (B) for the control, D-galactose (D-gal), gintonin (50 mg/kg)-fed D-gal, and gintonin (100 mg/kg)-fed D-gal groups. Physiological data include the change of body weight (</w:t>
      </w:r>
      <w:r w:rsidRPr="00850CF4">
        <w:rPr>
          <w:i/>
          <w:snapToGrid w:val="0"/>
          <w:sz w:val="24"/>
          <w:szCs w:val="24"/>
        </w:rPr>
        <w:t>n</w:t>
      </w:r>
      <w:r w:rsidRPr="00850CF4">
        <w:rPr>
          <w:snapToGrid w:val="0"/>
          <w:sz w:val="24"/>
          <w:szCs w:val="24"/>
        </w:rPr>
        <w:t xml:space="preserve"> = 23–25 per group)</w:t>
      </w:r>
      <w:r w:rsidRPr="00850CF4">
        <w:rPr>
          <w:sz w:val="24"/>
          <w:szCs w:val="24"/>
        </w:rPr>
        <w:t>, and weight of the whole brain and hippocampus (</w:t>
      </w:r>
      <w:r w:rsidRPr="00850CF4">
        <w:rPr>
          <w:i/>
          <w:snapToGrid w:val="0"/>
          <w:sz w:val="24"/>
          <w:szCs w:val="24"/>
        </w:rPr>
        <w:t>n</w:t>
      </w:r>
      <w:r w:rsidRPr="00850CF4">
        <w:rPr>
          <w:snapToGrid w:val="0"/>
          <w:sz w:val="24"/>
          <w:szCs w:val="24"/>
        </w:rPr>
        <w:t xml:space="preserve"> = 5 per group) </w:t>
      </w:r>
      <w:r w:rsidRPr="00850CF4">
        <w:rPr>
          <w:sz w:val="24"/>
          <w:szCs w:val="24"/>
        </w:rPr>
        <w:t xml:space="preserve">during the study. </w:t>
      </w:r>
      <w:r w:rsidRPr="00850CF4">
        <w:rPr>
          <w:sz w:val="24"/>
          <w:szCs w:val="24"/>
          <w:vertAlign w:val="superscript"/>
        </w:rPr>
        <w:t>*</w:t>
      </w:r>
      <w:r w:rsidRPr="00850CF4">
        <w:rPr>
          <w:sz w:val="24"/>
          <w:szCs w:val="24"/>
        </w:rPr>
        <w:t>p</w:t>
      </w:r>
      <w:r w:rsidRPr="00272EEC">
        <w:rPr>
          <w:i/>
          <w:sz w:val="24"/>
          <w:szCs w:val="24"/>
        </w:rPr>
        <w:t xml:space="preserve"> </w:t>
      </w:r>
      <w:r w:rsidRPr="00272EEC">
        <w:rPr>
          <w:sz w:val="24"/>
          <w:szCs w:val="24"/>
        </w:rPr>
        <w:t xml:space="preserve">&lt; 0.05, </w:t>
      </w:r>
      <w:r w:rsidRPr="00272EEC">
        <w:rPr>
          <w:snapToGrid w:val="0"/>
          <w:sz w:val="24"/>
          <w:szCs w:val="24"/>
        </w:rPr>
        <w:t xml:space="preserve">compared </w:t>
      </w:r>
      <w:r w:rsidRPr="00617EF4">
        <w:rPr>
          <w:snapToGrid w:val="0"/>
          <w:sz w:val="24"/>
          <w:szCs w:val="24"/>
        </w:rPr>
        <w:t>with the control group</w:t>
      </w:r>
      <w:r w:rsidRPr="00850CF4">
        <w:rPr>
          <w:sz w:val="24"/>
          <w:szCs w:val="24"/>
        </w:rPr>
        <w:t xml:space="preserve">; </w:t>
      </w:r>
      <w:r w:rsidRPr="00850CF4">
        <w:rPr>
          <w:sz w:val="24"/>
          <w:szCs w:val="24"/>
          <w:vertAlign w:val="superscript"/>
        </w:rPr>
        <w:t>**</w:t>
      </w:r>
      <w:r w:rsidRPr="00272EEC">
        <w:rPr>
          <w:sz w:val="24"/>
          <w:szCs w:val="24"/>
        </w:rPr>
        <w:t>p</w:t>
      </w:r>
      <w:r w:rsidRPr="00272EEC">
        <w:rPr>
          <w:i/>
          <w:sz w:val="24"/>
          <w:szCs w:val="24"/>
        </w:rPr>
        <w:t xml:space="preserve"> </w:t>
      </w:r>
      <w:r w:rsidRPr="00272EEC">
        <w:rPr>
          <w:sz w:val="24"/>
          <w:szCs w:val="24"/>
        </w:rPr>
        <w:t>&lt;</w:t>
      </w:r>
      <w:r w:rsidRPr="00617EF4">
        <w:rPr>
          <w:sz w:val="24"/>
          <w:szCs w:val="24"/>
        </w:rPr>
        <w:t xml:space="preserve"> 0.05, </w:t>
      </w:r>
      <w:r w:rsidRPr="00617EF4">
        <w:rPr>
          <w:snapToGrid w:val="0"/>
          <w:sz w:val="24"/>
          <w:szCs w:val="24"/>
        </w:rPr>
        <w:t>compared with</w:t>
      </w:r>
      <w:r w:rsidRPr="00850CF4">
        <w:rPr>
          <w:snapToGrid w:val="0"/>
          <w:sz w:val="24"/>
          <w:szCs w:val="24"/>
        </w:rPr>
        <w:t xml:space="preserve"> the D-gal group</w:t>
      </w:r>
      <w:r w:rsidRPr="00850CF4">
        <w:rPr>
          <w:sz w:val="24"/>
          <w:szCs w:val="24"/>
        </w:rPr>
        <w:t>. Data are presented as means ± standard error of the mean</w:t>
      </w:r>
      <w:r w:rsidRPr="00850CF4">
        <w:rPr>
          <w:snapToGrid w:val="0"/>
          <w:sz w:val="24"/>
          <w:szCs w:val="24"/>
        </w:rPr>
        <w:t>.</w:t>
      </w:r>
    </w:p>
    <w:p w:rsidR="00367F54" w:rsidRPr="00850CF4" w:rsidRDefault="00367F54" w:rsidP="00367F54">
      <w:pPr>
        <w:shd w:val="clear" w:color="auto" w:fill="FFFFFF"/>
        <w:suppressAutoHyphens w:val="0"/>
        <w:kinsoku w:val="0"/>
        <w:overflowPunct w:val="0"/>
        <w:autoSpaceDE w:val="0"/>
        <w:autoSpaceDN w:val="0"/>
        <w:adjustRightInd w:val="0"/>
        <w:snapToGrid w:val="0"/>
        <w:spacing w:line="480" w:lineRule="auto"/>
        <w:rPr>
          <w:b/>
          <w:sz w:val="24"/>
          <w:szCs w:val="24"/>
          <w:lang w:eastAsia="ko-KR"/>
        </w:rPr>
      </w:pPr>
    </w:p>
    <w:p w:rsidR="00367F54" w:rsidRPr="00850CF4" w:rsidRDefault="00367F54" w:rsidP="00367F54">
      <w:pPr>
        <w:pStyle w:val="legend"/>
        <w:ind w:left="0" w:firstLine="0"/>
        <w:rPr>
          <w:sz w:val="24"/>
          <w:szCs w:val="24"/>
        </w:rPr>
      </w:pPr>
      <w:r w:rsidRPr="00850CF4">
        <w:rPr>
          <w:b/>
          <w:sz w:val="24"/>
          <w:szCs w:val="24"/>
        </w:rPr>
        <w:t xml:space="preserve">Supplementary </w:t>
      </w:r>
      <w:r w:rsidRPr="00850CF4">
        <w:rPr>
          <w:rFonts w:eastAsia="Batang"/>
          <w:b/>
          <w:bCs/>
          <w:sz w:val="24"/>
          <w:szCs w:val="24"/>
        </w:rPr>
        <w:t>Figure</w:t>
      </w:r>
      <w:r w:rsidRPr="00850CF4">
        <w:rPr>
          <w:b/>
          <w:sz w:val="24"/>
          <w:szCs w:val="24"/>
        </w:rPr>
        <w:t xml:space="preserve"> S2.</w:t>
      </w:r>
      <w:r w:rsidRPr="00850CF4">
        <w:rPr>
          <w:sz w:val="24"/>
          <w:szCs w:val="24"/>
        </w:rPr>
        <w:t xml:space="preserve"> Immunohistochemistry for Ki67 in the dentate gyrus of the mice in the control (A), D-galactose (D-gal) (B), gintonin (50 mg/kg)-fed D-gal (C), and gintonin (100 mg/kg)-fed D-gal (D) groups. The Ki67-positive nuclei were observed in the </w:t>
      </w:r>
      <w:proofErr w:type="spellStart"/>
      <w:r w:rsidRPr="00850CF4">
        <w:rPr>
          <w:sz w:val="24"/>
          <w:szCs w:val="24"/>
        </w:rPr>
        <w:t>subgranular</w:t>
      </w:r>
      <w:proofErr w:type="spellEnd"/>
      <w:r w:rsidRPr="00850CF4">
        <w:rPr>
          <w:sz w:val="24"/>
          <w:szCs w:val="24"/>
        </w:rPr>
        <w:t xml:space="preserve"> zone of the dentate gyrus (arrows). Note that the number of Ki67-positive nuclei was significantly decreased in the D-gal group. Both doses of gintonin increased cell proliferation, with the increase being statistically significant only in the gintonin (100 mg/kg)-fed D-gal group. GCL, granule cell layer; ML, molecular layer; PL, polymorphic layer. Scale bar = 50 </w:t>
      </w:r>
      <w:proofErr w:type="spellStart"/>
      <w:r w:rsidRPr="00850CF4">
        <w:rPr>
          <w:sz w:val="24"/>
          <w:szCs w:val="24"/>
        </w:rPr>
        <w:t>μm</w:t>
      </w:r>
      <w:proofErr w:type="spellEnd"/>
      <w:r w:rsidRPr="00850CF4">
        <w:rPr>
          <w:sz w:val="24"/>
          <w:szCs w:val="24"/>
        </w:rPr>
        <w:t>. E: The number of Ki67-positive nuclei are expressed as a means ± standard error of the mean (</w:t>
      </w:r>
      <w:r w:rsidRPr="00850CF4">
        <w:rPr>
          <w:i/>
          <w:sz w:val="24"/>
          <w:szCs w:val="24"/>
        </w:rPr>
        <w:t>n</w:t>
      </w:r>
      <w:r w:rsidRPr="00850CF4">
        <w:rPr>
          <w:sz w:val="24"/>
          <w:szCs w:val="24"/>
        </w:rPr>
        <w:t xml:space="preserve"> = 5 per group; </w:t>
      </w:r>
      <w:r w:rsidRPr="00850CF4">
        <w:rPr>
          <w:sz w:val="24"/>
          <w:szCs w:val="24"/>
          <w:vertAlign w:val="superscript"/>
        </w:rPr>
        <w:t>*</w:t>
      </w:r>
      <w:r w:rsidRPr="00850CF4">
        <w:rPr>
          <w:sz w:val="24"/>
          <w:szCs w:val="24"/>
        </w:rPr>
        <w:t xml:space="preserve">p </w:t>
      </w:r>
      <w:r w:rsidRPr="00272EEC">
        <w:rPr>
          <w:sz w:val="24"/>
          <w:szCs w:val="24"/>
        </w:rPr>
        <w:t>&lt; 0.05,</w:t>
      </w:r>
      <w:r w:rsidRPr="00272EEC">
        <w:rPr>
          <w:snapToGrid w:val="0"/>
          <w:sz w:val="24"/>
          <w:szCs w:val="24"/>
        </w:rPr>
        <w:t xml:space="preserve"> compared with</w:t>
      </w:r>
      <w:r w:rsidRPr="00617EF4">
        <w:rPr>
          <w:snapToGrid w:val="0"/>
          <w:sz w:val="24"/>
          <w:szCs w:val="24"/>
        </w:rPr>
        <w:t xml:space="preserve"> the control group</w:t>
      </w:r>
      <w:r w:rsidRPr="00617EF4">
        <w:rPr>
          <w:sz w:val="24"/>
          <w:szCs w:val="24"/>
        </w:rPr>
        <w:t xml:space="preserve">; </w:t>
      </w:r>
      <w:r w:rsidRPr="00850CF4">
        <w:rPr>
          <w:sz w:val="24"/>
          <w:szCs w:val="24"/>
          <w:vertAlign w:val="superscript"/>
        </w:rPr>
        <w:t>**</w:t>
      </w:r>
      <w:r w:rsidRPr="00850CF4">
        <w:rPr>
          <w:sz w:val="24"/>
          <w:szCs w:val="24"/>
        </w:rPr>
        <w:t xml:space="preserve">p </w:t>
      </w:r>
      <w:r w:rsidRPr="00272EEC">
        <w:rPr>
          <w:sz w:val="24"/>
          <w:szCs w:val="24"/>
        </w:rPr>
        <w:t xml:space="preserve">&lt; 0.05, </w:t>
      </w:r>
      <w:r w:rsidRPr="00272EEC">
        <w:rPr>
          <w:snapToGrid w:val="0"/>
          <w:sz w:val="24"/>
          <w:szCs w:val="24"/>
        </w:rPr>
        <w:t>compared with</w:t>
      </w:r>
      <w:r w:rsidRPr="00617EF4">
        <w:rPr>
          <w:snapToGrid w:val="0"/>
          <w:sz w:val="24"/>
          <w:szCs w:val="24"/>
        </w:rPr>
        <w:t xml:space="preserve"> the D-gal group</w:t>
      </w:r>
      <w:r w:rsidRPr="00617EF4">
        <w:rPr>
          <w:sz w:val="24"/>
          <w:szCs w:val="24"/>
        </w:rPr>
        <w:t xml:space="preserve">; </w:t>
      </w:r>
      <w:r w:rsidRPr="00850CF4">
        <w:rPr>
          <w:sz w:val="24"/>
          <w:szCs w:val="24"/>
          <w:vertAlign w:val="superscript"/>
        </w:rPr>
        <w:t>***</w:t>
      </w:r>
      <w:r w:rsidRPr="00850CF4">
        <w:rPr>
          <w:sz w:val="24"/>
          <w:szCs w:val="24"/>
        </w:rPr>
        <w:t xml:space="preserve">p </w:t>
      </w:r>
      <w:r w:rsidRPr="00272EEC">
        <w:rPr>
          <w:sz w:val="24"/>
          <w:szCs w:val="24"/>
        </w:rPr>
        <w:t xml:space="preserve">&lt; 0.05, </w:t>
      </w:r>
      <w:r w:rsidRPr="00272EEC">
        <w:rPr>
          <w:snapToGrid w:val="0"/>
          <w:sz w:val="24"/>
          <w:szCs w:val="24"/>
        </w:rPr>
        <w:t>compared with</w:t>
      </w:r>
      <w:r w:rsidRPr="00617EF4">
        <w:rPr>
          <w:snapToGrid w:val="0"/>
          <w:sz w:val="24"/>
          <w:szCs w:val="24"/>
        </w:rPr>
        <w:t xml:space="preserve"> the gintonin</w:t>
      </w:r>
      <w:r w:rsidRPr="00617EF4">
        <w:rPr>
          <w:sz w:val="24"/>
          <w:szCs w:val="24"/>
        </w:rPr>
        <w:t xml:space="preserve"> (50 mg/kg)-fed D-gal</w:t>
      </w:r>
      <w:r w:rsidRPr="00850CF4">
        <w:rPr>
          <w:sz w:val="24"/>
          <w:szCs w:val="24"/>
        </w:rPr>
        <w:t xml:space="preserve"> group).</w:t>
      </w:r>
    </w:p>
    <w:p w:rsidR="00367F54" w:rsidRPr="00850CF4" w:rsidRDefault="00367F54" w:rsidP="00367F54">
      <w:pPr>
        <w:pStyle w:val="Textkrper2"/>
        <w:rPr>
          <w:b/>
          <w:sz w:val="24"/>
          <w:szCs w:val="24"/>
          <w:lang w:eastAsia="ko-KR"/>
        </w:rPr>
      </w:pPr>
    </w:p>
    <w:p w:rsidR="00367F54" w:rsidRPr="00850CF4" w:rsidRDefault="00367F54" w:rsidP="00367F54">
      <w:pPr>
        <w:pStyle w:val="legend"/>
        <w:ind w:left="0" w:firstLine="0"/>
        <w:rPr>
          <w:sz w:val="24"/>
          <w:szCs w:val="24"/>
        </w:rPr>
      </w:pPr>
      <w:r w:rsidRPr="00850CF4">
        <w:rPr>
          <w:b/>
          <w:sz w:val="24"/>
          <w:szCs w:val="24"/>
        </w:rPr>
        <w:t xml:space="preserve">Supplementary </w:t>
      </w:r>
      <w:r w:rsidRPr="00850CF4">
        <w:rPr>
          <w:rFonts w:eastAsia="Batang"/>
          <w:b/>
          <w:bCs/>
          <w:sz w:val="24"/>
          <w:szCs w:val="24"/>
        </w:rPr>
        <w:t>Figure</w:t>
      </w:r>
      <w:r w:rsidRPr="00850CF4">
        <w:rPr>
          <w:b/>
          <w:sz w:val="24"/>
          <w:szCs w:val="24"/>
        </w:rPr>
        <w:t xml:space="preserve"> S3.</w:t>
      </w:r>
      <w:r w:rsidRPr="00850CF4">
        <w:rPr>
          <w:sz w:val="24"/>
          <w:szCs w:val="24"/>
        </w:rPr>
        <w:t xml:space="preserve"> Immunohistochemistry for </w:t>
      </w:r>
      <w:proofErr w:type="spellStart"/>
      <w:r w:rsidRPr="00850CF4">
        <w:rPr>
          <w:sz w:val="24"/>
          <w:szCs w:val="24"/>
        </w:rPr>
        <w:t>pCREB</w:t>
      </w:r>
      <w:proofErr w:type="spellEnd"/>
      <w:r w:rsidRPr="00850CF4">
        <w:rPr>
          <w:sz w:val="24"/>
          <w:szCs w:val="24"/>
        </w:rPr>
        <w:t xml:space="preserve"> in the dentate gyrus of the mice in the control (A), D-galactose (D-gal) (B), gintonin (50 mg/kg)-fed D-gal (C), and gintonin (100 mg/kg)-fed D-gal (D) groups. The </w:t>
      </w:r>
      <w:proofErr w:type="spellStart"/>
      <w:r w:rsidRPr="00850CF4">
        <w:rPr>
          <w:sz w:val="24"/>
          <w:szCs w:val="24"/>
        </w:rPr>
        <w:t>pCREB</w:t>
      </w:r>
      <w:proofErr w:type="spellEnd"/>
      <w:r w:rsidRPr="00850CF4">
        <w:rPr>
          <w:sz w:val="24"/>
          <w:szCs w:val="24"/>
        </w:rPr>
        <w:t xml:space="preserve">-positive nuclei in the </w:t>
      </w:r>
      <w:proofErr w:type="spellStart"/>
      <w:r w:rsidRPr="00850CF4">
        <w:rPr>
          <w:sz w:val="24"/>
          <w:szCs w:val="24"/>
        </w:rPr>
        <w:t>subgranular</w:t>
      </w:r>
      <w:proofErr w:type="spellEnd"/>
      <w:r w:rsidRPr="00850CF4">
        <w:rPr>
          <w:sz w:val="24"/>
          <w:szCs w:val="24"/>
        </w:rPr>
        <w:t xml:space="preserve"> zone of the dentate gyrus (arrows) were counted. Note that number of </w:t>
      </w:r>
      <w:proofErr w:type="spellStart"/>
      <w:r w:rsidRPr="00850CF4">
        <w:rPr>
          <w:sz w:val="24"/>
          <w:szCs w:val="24"/>
        </w:rPr>
        <w:t>pCREB</w:t>
      </w:r>
      <w:proofErr w:type="spellEnd"/>
      <w:r w:rsidRPr="00850CF4">
        <w:rPr>
          <w:sz w:val="24"/>
          <w:szCs w:val="24"/>
        </w:rPr>
        <w:t xml:space="preserve">-positive nuclei was significantly decreased in the D-gal group. In the gintonin (100 mg/kg)-fed D-gal group, </w:t>
      </w:r>
      <w:r w:rsidRPr="00850CF4">
        <w:rPr>
          <w:sz w:val="24"/>
          <w:szCs w:val="24"/>
        </w:rPr>
        <w:lastRenderedPageBreak/>
        <w:t xml:space="preserve">the number of </w:t>
      </w:r>
      <w:proofErr w:type="spellStart"/>
      <w:r w:rsidRPr="00850CF4">
        <w:rPr>
          <w:sz w:val="24"/>
          <w:szCs w:val="24"/>
        </w:rPr>
        <w:t>pCREB</w:t>
      </w:r>
      <w:proofErr w:type="spellEnd"/>
      <w:r w:rsidRPr="00850CF4">
        <w:rPr>
          <w:sz w:val="24"/>
          <w:szCs w:val="24"/>
        </w:rPr>
        <w:t xml:space="preserve">-positive nuclei was significantly increased compared with the D-gal and gintonin (50 mg/kg)-fed D-gal groups. </w:t>
      </w:r>
      <w:proofErr w:type="spellStart"/>
      <w:r w:rsidRPr="00850CF4">
        <w:rPr>
          <w:sz w:val="24"/>
          <w:szCs w:val="24"/>
        </w:rPr>
        <w:t>pCREB</w:t>
      </w:r>
      <w:proofErr w:type="spellEnd"/>
      <w:r w:rsidRPr="00850CF4">
        <w:rPr>
          <w:sz w:val="24"/>
          <w:szCs w:val="24"/>
        </w:rPr>
        <w:t xml:space="preserve">, </w:t>
      </w:r>
      <w:r w:rsidRPr="00850CF4">
        <w:rPr>
          <w:rFonts w:eastAsia="Yu Mincho"/>
          <w:bCs/>
          <w:sz w:val="24"/>
          <w:szCs w:val="24"/>
        </w:rPr>
        <w:t xml:space="preserve">phosphorylated cyclic adenosine monophosphate response element binding protein; </w:t>
      </w:r>
      <w:r w:rsidRPr="00850CF4">
        <w:rPr>
          <w:sz w:val="24"/>
          <w:szCs w:val="24"/>
        </w:rPr>
        <w:t xml:space="preserve">GCL, granule cell layer; ML, molecular layer; PL, polymorphic layer. Scale bar = 50 </w:t>
      </w:r>
      <w:proofErr w:type="spellStart"/>
      <w:r w:rsidRPr="00850CF4">
        <w:rPr>
          <w:sz w:val="24"/>
          <w:szCs w:val="24"/>
        </w:rPr>
        <w:t>μm</w:t>
      </w:r>
      <w:proofErr w:type="spellEnd"/>
      <w:r w:rsidRPr="00850CF4">
        <w:rPr>
          <w:sz w:val="24"/>
          <w:szCs w:val="24"/>
        </w:rPr>
        <w:t xml:space="preserve">. E: The number of </w:t>
      </w:r>
      <w:proofErr w:type="spellStart"/>
      <w:r w:rsidRPr="00850CF4">
        <w:rPr>
          <w:sz w:val="24"/>
          <w:szCs w:val="24"/>
        </w:rPr>
        <w:t>pCREB</w:t>
      </w:r>
      <w:proofErr w:type="spellEnd"/>
      <w:r w:rsidRPr="00850CF4">
        <w:rPr>
          <w:sz w:val="24"/>
          <w:szCs w:val="24"/>
        </w:rPr>
        <w:t>-positive nuclei in the dentate gyrus are expressed as mean ± </w:t>
      </w:r>
      <w:bookmarkStart w:id="0" w:name="_Hlk516831991"/>
      <w:r w:rsidRPr="00850CF4">
        <w:rPr>
          <w:sz w:val="24"/>
          <w:szCs w:val="24"/>
        </w:rPr>
        <w:t>standard error of the mean</w:t>
      </w:r>
      <w:bookmarkEnd w:id="0"/>
      <w:r w:rsidRPr="00850CF4">
        <w:rPr>
          <w:sz w:val="24"/>
          <w:szCs w:val="24"/>
        </w:rPr>
        <w:t xml:space="preserve"> (</w:t>
      </w:r>
      <w:r w:rsidRPr="00850CF4">
        <w:rPr>
          <w:i/>
          <w:sz w:val="24"/>
          <w:szCs w:val="24"/>
        </w:rPr>
        <w:t>n</w:t>
      </w:r>
      <w:r w:rsidRPr="00850CF4">
        <w:rPr>
          <w:sz w:val="24"/>
          <w:szCs w:val="24"/>
        </w:rPr>
        <w:t xml:space="preserve"> = 5 per group; </w:t>
      </w:r>
      <w:r w:rsidRPr="00850CF4">
        <w:rPr>
          <w:sz w:val="24"/>
          <w:szCs w:val="24"/>
          <w:vertAlign w:val="superscript"/>
        </w:rPr>
        <w:t>*</w:t>
      </w:r>
      <w:r w:rsidRPr="00850CF4">
        <w:rPr>
          <w:sz w:val="24"/>
          <w:szCs w:val="24"/>
        </w:rPr>
        <w:t xml:space="preserve">p </w:t>
      </w:r>
      <w:r w:rsidRPr="00272EEC">
        <w:rPr>
          <w:sz w:val="24"/>
          <w:szCs w:val="24"/>
        </w:rPr>
        <w:t xml:space="preserve">&lt; 0.05, </w:t>
      </w:r>
      <w:r w:rsidRPr="00272EEC">
        <w:rPr>
          <w:snapToGrid w:val="0"/>
          <w:sz w:val="24"/>
          <w:szCs w:val="24"/>
        </w:rPr>
        <w:t>compared with</w:t>
      </w:r>
      <w:r w:rsidRPr="00617EF4">
        <w:rPr>
          <w:snapToGrid w:val="0"/>
          <w:sz w:val="24"/>
          <w:szCs w:val="24"/>
        </w:rPr>
        <w:t xml:space="preserve"> the control group</w:t>
      </w:r>
      <w:r w:rsidRPr="00617EF4">
        <w:rPr>
          <w:sz w:val="24"/>
          <w:szCs w:val="24"/>
        </w:rPr>
        <w:t xml:space="preserve">; </w:t>
      </w:r>
      <w:r w:rsidRPr="00850CF4">
        <w:rPr>
          <w:sz w:val="24"/>
          <w:szCs w:val="24"/>
          <w:vertAlign w:val="superscript"/>
        </w:rPr>
        <w:t>**</w:t>
      </w:r>
      <w:r w:rsidRPr="00850CF4">
        <w:rPr>
          <w:sz w:val="24"/>
          <w:szCs w:val="24"/>
        </w:rPr>
        <w:t xml:space="preserve">p </w:t>
      </w:r>
      <w:r w:rsidRPr="00272EEC">
        <w:rPr>
          <w:sz w:val="24"/>
          <w:szCs w:val="24"/>
        </w:rPr>
        <w:t xml:space="preserve">&lt; 0.05, </w:t>
      </w:r>
      <w:r w:rsidRPr="00272EEC">
        <w:rPr>
          <w:snapToGrid w:val="0"/>
          <w:sz w:val="24"/>
          <w:szCs w:val="24"/>
        </w:rPr>
        <w:t>compared with</w:t>
      </w:r>
      <w:r w:rsidRPr="00617EF4">
        <w:rPr>
          <w:snapToGrid w:val="0"/>
          <w:sz w:val="24"/>
          <w:szCs w:val="24"/>
        </w:rPr>
        <w:t xml:space="preserve"> the D-gal group</w:t>
      </w:r>
      <w:r w:rsidRPr="00850CF4">
        <w:rPr>
          <w:snapToGrid w:val="0"/>
          <w:sz w:val="24"/>
          <w:szCs w:val="24"/>
        </w:rPr>
        <w:t>)</w:t>
      </w:r>
      <w:r w:rsidRPr="00850CF4">
        <w:rPr>
          <w:sz w:val="24"/>
          <w:szCs w:val="24"/>
        </w:rPr>
        <w:t>.</w:t>
      </w:r>
    </w:p>
    <w:p w:rsidR="00367F54" w:rsidRPr="00850CF4" w:rsidRDefault="00367F54" w:rsidP="00367F54">
      <w:pPr>
        <w:pStyle w:val="Textkrper2"/>
        <w:rPr>
          <w:b/>
          <w:sz w:val="24"/>
          <w:szCs w:val="24"/>
          <w:lang w:eastAsia="ko-KR"/>
        </w:rPr>
      </w:pPr>
    </w:p>
    <w:p w:rsidR="00367F54" w:rsidRPr="00850CF4" w:rsidRDefault="00367F54" w:rsidP="00367F54">
      <w:pPr>
        <w:spacing w:line="480" w:lineRule="auto"/>
        <w:rPr>
          <w:rFonts w:eastAsia="Gulim"/>
          <w:b/>
          <w:kern w:val="2"/>
          <w:sz w:val="24"/>
          <w:szCs w:val="24"/>
          <w:lang w:eastAsia="ko-KR"/>
        </w:rPr>
      </w:pPr>
      <w:r w:rsidRPr="00850CF4">
        <w:rPr>
          <w:b/>
          <w:sz w:val="24"/>
          <w:szCs w:val="24"/>
          <w:lang w:eastAsia="ko-KR"/>
        </w:rPr>
        <w:t xml:space="preserve">Supplementary </w:t>
      </w:r>
      <w:r w:rsidRPr="00850CF4">
        <w:rPr>
          <w:b/>
          <w:sz w:val="24"/>
          <w:szCs w:val="24"/>
        </w:rPr>
        <w:t>Fig</w:t>
      </w:r>
      <w:r w:rsidRPr="00850CF4">
        <w:rPr>
          <w:b/>
          <w:sz w:val="24"/>
          <w:szCs w:val="24"/>
          <w:lang w:eastAsia="ko-KR"/>
        </w:rPr>
        <w:t>ure</w:t>
      </w:r>
      <w:r w:rsidRPr="00850CF4">
        <w:rPr>
          <w:b/>
          <w:sz w:val="24"/>
          <w:szCs w:val="24"/>
        </w:rPr>
        <w:t xml:space="preserve"> </w:t>
      </w:r>
      <w:r w:rsidRPr="00850CF4">
        <w:rPr>
          <w:b/>
          <w:sz w:val="24"/>
          <w:szCs w:val="24"/>
          <w:lang w:eastAsia="ko-KR"/>
        </w:rPr>
        <w:t>S4</w:t>
      </w:r>
      <w:r w:rsidRPr="00850CF4">
        <w:rPr>
          <w:b/>
          <w:sz w:val="24"/>
          <w:szCs w:val="24"/>
        </w:rPr>
        <w:t>.</w:t>
      </w:r>
      <w:r w:rsidRPr="00850CF4">
        <w:rPr>
          <w:b/>
          <w:sz w:val="24"/>
          <w:szCs w:val="24"/>
          <w:lang w:eastAsia="ko-KR"/>
        </w:rPr>
        <w:t xml:space="preserve"> </w:t>
      </w:r>
      <w:r w:rsidRPr="00850CF4">
        <w:rPr>
          <w:sz w:val="24"/>
          <w:szCs w:val="24"/>
          <w:lang w:eastAsia="ko-KR"/>
        </w:rPr>
        <w:t>Effects of gintonin on D-galactose-induced alterations of DCX and LPA1 receptor expression levels.</w:t>
      </w:r>
      <w:r w:rsidRPr="00850CF4">
        <w:rPr>
          <w:sz w:val="24"/>
          <w:szCs w:val="24"/>
        </w:rPr>
        <w:t xml:space="preserve"> </w:t>
      </w:r>
      <w:r w:rsidRPr="00850CF4">
        <w:rPr>
          <w:sz w:val="24"/>
          <w:szCs w:val="24"/>
          <w:lang w:eastAsia="ko-KR"/>
        </w:rPr>
        <w:t>Western blot analysis of DCX and LPA1 receptor was performed by comparing the relative optical density of the immunoblot bands, which are demonstrated as a percentage of the value for the control group (</w:t>
      </w:r>
      <w:r w:rsidRPr="00850CF4">
        <w:rPr>
          <w:i/>
          <w:sz w:val="24"/>
          <w:szCs w:val="24"/>
        </w:rPr>
        <w:t>n</w:t>
      </w:r>
      <w:r w:rsidRPr="00850CF4">
        <w:rPr>
          <w:sz w:val="24"/>
          <w:szCs w:val="24"/>
        </w:rPr>
        <w:t xml:space="preserve"> = 5 per group; </w:t>
      </w:r>
      <w:r w:rsidRPr="00850CF4">
        <w:rPr>
          <w:sz w:val="24"/>
          <w:szCs w:val="24"/>
          <w:vertAlign w:val="superscript"/>
        </w:rPr>
        <w:t>*</w:t>
      </w:r>
      <w:r w:rsidRPr="00850CF4">
        <w:rPr>
          <w:sz w:val="24"/>
          <w:szCs w:val="24"/>
        </w:rPr>
        <w:t xml:space="preserve">p </w:t>
      </w:r>
      <w:r w:rsidRPr="00272EEC">
        <w:rPr>
          <w:sz w:val="24"/>
          <w:szCs w:val="24"/>
        </w:rPr>
        <w:t xml:space="preserve">&lt; 0.05, </w:t>
      </w:r>
      <w:r w:rsidRPr="00272EEC">
        <w:rPr>
          <w:snapToGrid w:val="0"/>
          <w:sz w:val="24"/>
          <w:szCs w:val="24"/>
        </w:rPr>
        <w:t>compared with</w:t>
      </w:r>
      <w:r w:rsidRPr="00617EF4">
        <w:rPr>
          <w:snapToGrid w:val="0"/>
          <w:sz w:val="24"/>
          <w:szCs w:val="24"/>
        </w:rPr>
        <w:t xml:space="preserve"> the control group</w:t>
      </w:r>
      <w:r w:rsidRPr="00617EF4">
        <w:rPr>
          <w:sz w:val="24"/>
          <w:szCs w:val="24"/>
        </w:rPr>
        <w:t xml:space="preserve">; </w:t>
      </w:r>
      <w:r w:rsidRPr="00850CF4">
        <w:rPr>
          <w:sz w:val="24"/>
          <w:szCs w:val="24"/>
          <w:vertAlign w:val="superscript"/>
        </w:rPr>
        <w:t>**</w:t>
      </w:r>
      <w:r w:rsidRPr="00850CF4">
        <w:rPr>
          <w:sz w:val="24"/>
          <w:szCs w:val="24"/>
        </w:rPr>
        <w:t xml:space="preserve">p </w:t>
      </w:r>
      <w:r w:rsidRPr="00272EEC">
        <w:rPr>
          <w:sz w:val="24"/>
          <w:szCs w:val="24"/>
        </w:rPr>
        <w:t xml:space="preserve">&lt; 0.05, </w:t>
      </w:r>
      <w:r w:rsidRPr="00272EEC">
        <w:rPr>
          <w:snapToGrid w:val="0"/>
          <w:sz w:val="24"/>
          <w:szCs w:val="24"/>
        </w:rPr>
        <w:t>compared with</w:t>
      </w:r>
      <w:r w:rsidRPr="00617EF4">
        <w:rPr>
          <w:snapToGrid w:val="0"/>
          <w:sz w:val="24"/>
          <w:szCs w:val="24"/>
        </w:rPr>
        <w:t xml:space="preserve"> the D-g</w:t>
      </w:r>
      <w:r w:rsidRPr="00850CF4">
        <w:rPr>
          <w:snapToGrid w:val="0"/>
          <w:sz w:val="24"/>
          <w:szCs w:val="24"/>
        </w:rPr>
        <w:t>alactose [D-gal] group</w:t>
      </w:r>
      <w:r w:rsidRPr="00850CF4">
        <w:rPr>
          <w:sz w:val="24"/>
          <w:szCs w:val="24"/>
        </w:rPr>
        <w:t xml:space="preserve">; </w:t>
      </w:r>
      <w:r w:rsidRPr="00850CF4">
        <w:rPr>
          <w:sz w:val="24"/>
          <w:szCs w:val="24"/>
          <w:vertAlign w:val="superscript"/>
        </w:rPr>
        <w:t>***</w:t>
      </w:r>
      <w:r w:rsidRPr="00850CF4">
        <w:rPr>
          <w:sz w:val="24"/>
          <w:szCs w:val="24"/>
        </w:rPr>
        <w:t xml:space="preserve">p </w:t>
      </w:r>
      <w:r w:rsidRPr="00272EEC">
        <w:rPr>
          <w:sz w:val="24"/>
          <w:szCs w:val="24"/>
        </w:rPr>
        <w:t xml:space="preserve">&lt; 0.05, </w:t>
      </w:r>
      <w:r w:rsidRPr="00272EEC">
        <w:rPr>
          <w:snapToGrid w:val="0"/>
          <w:sz w:val="24"/>
          <w:szCs w:val="24"/>
        </w:rPr>
        <w:t>compared with</w:t>
      </w:r>
      <w:r w:rsidRPr="00617EF4">
        <w:rPr>
          <w:snapToGrid w:val="0"/>
          <w:sz w:val="24"/>
          <w:szCs w:val="24"/>
        </w:rPr>
        <w:t xml:space="preserve"> the gintonin</w:t>
      </w:r>
      <w:r w:rsidRPr="00617EF4">
        <w:rPr>
          <w:sz w:val="24"/>
          <w:szCs w:val="24"/>
        </w:rPr>
        <w:t xml:space="preserve"> </w:t>
      </w:r>
      <w:r w:rsidRPr="00850CF4">
        <w:rPr>
          <w:sz w:val="24"/>
          <w:szCs w:val="24"/>
        </w:rPr>
        <w:t>[50 mg/kg]-fed D-gal)</w:t>
      </w:r>
      <w:r w:rsidRPr="00850CF4">
        <w:rPr>
          <w:snapToGrid w:val="0"/>
          <w:sz w:val="24"/>
          <w:szCs w:val="24"/>
          <w:lang w:eastAsia="ko-KR"/>
        </w:rPr>
        <w:t xml:space="preserve">. The detailed experimental design has been shown in Fig. S1A. </w:t>
      </w:r>
      <w:r w:rsidRPr="00850CF4">
        <w:rPr>
          <w:sz w:val="24"/>
          <w:szCs w:val="24"/>
          <w:lang w:eastAsia="ko-KR"/>
        </w:rPr>
        <w:t xml:space="preserve">Data are presented as mean ± </w:t>
      </w:r>
      <w:r w:rsidRPr="00850CF4">
        <w:rPr>
          <w:sz w:val="24"/>
          <w:szCs w:val="24"/>
        </w:rPr>
        <w:t>standard error of the mean</w:t>
      </w:r>
      <w:r w:rsidRPr="00850CF4">
        <w:rPr>
          <w:sz w:val="24"/>
          <w:szCs w:val="24"/>
          <w:lang w:eastAsia="ko-KR"/>
        </w:rPr>
        <w:t xml:space="preserve">. </w:t>
      </w:r>
    </w:p>
    <w:p w:rsidR="00367F54" w:rsidRPr="00850CF4" w:rsidRDefault="00367F54" w:rsidP="00367F54">
      <w:pPr>
        <w:shd w:val="clear" w:color="auto" w:fill="FFFFFF"/>
        <w:suppressAutoHyphens w:val="0"/>
        <w:kinsoku w:val="0"/>
        <w:overflowPunct w:val="0"/>
        <w:autoSpaceDE w:val="0"/>
        <w:autoSpaceDN w:val="0"/>
        <w:adjustRightInd w:val="0"/>
        <w:snapToGrid w:val="0"/>
        <w:spacing w:line="480" w:lineRule="auto"/>
        <w:rPr>
          <w:b/>
          <w:sz w:val="24"/>
          <w:szCs w:val="24"/>
          <w:lang w:eastAsia="ko-KR"/>
        </w:rPr>
      </w:pPr>
    </w:p>
    <w:p w:rsidR="00367F54" w:rsidRPr="00272EEC" w:rsidRDefault="00367F54" w:rsidP="00367F54">
      <w:pPr>
        <w:shd w:val="clear" w:color="auto" w:fill="FFFFFF"/>
        <w:suppressAutoHyphens w:val="0"/>
        <w:kinsoku w:val="0"/>
        <w:overflowPunct w:val="0"/>
        <w:autoSpaceDE w:val="0"/>
        <w:autoSpaceDN w:val="0"/>
        <w:adjustRightInd w:val="0"/>
        <w:snapToGrid w:val="0"/>
        <w:spacing w:line="480" w:lineRule="auto"/>
        <w:rPr>
          <w:rFonts w:eastAsia="Gulim"/>
          <w:kern w:val="0"/>
          <w:sz w:val="24"/>
          <w:szCs w:val="24"/>
          <w:lang w:eastAsia="ko-KR"/>
        </w:rPr>
      </w:pPr>
      <w:r w:rsidRPr="00850CF4">
        <w:rPr>
          <w:b/>
          <w:sz w:val="24"/>
          <w:szCs w:val="24"/>
          <w:lang w:eastAsia="ko-KR"/>
        </w:rPr>
        <w:t xml:space="preserve">Supplementary </w:t>
      </w:r>
      <w:r w:rsidRPr="00850CF4">
        <w:rPr>
          <w:b/>
          <w:sz w:val="24"/>
          <w:szCs w:val="24"/>
        </w:rPr>
        <w:t>Fig</w:t>
      </w:r>
      <w:r w:rsidRPr="00850CF4">
        <w:rPr>
          <w:b/>
          <w:sz w:val="24"/>
          <w:szCs w:val="24"/>
          <w:lang w:eastAsia="ko-KR"/>
        </w:rPr>
        <w:t>ure</w:t>
      </w:r>
      <w:r w:rsidRPr="00850CF4">
        <w:rPr>
          <w:b/>
          <w:sz w:val="24"/>
          <w:szCs w:val="24"/>
        </w:rPr>
        <w:t xml:space="preserve"> </w:t>
      </w:r>
      <w:r w:rsidRPr="00850CF4">
        <w:rPr>
          <w:b/>
          <w:sz w:val="24"/>
          <w:szCs w:val="24"/>
          <w:lang w:eastAsia="ko-KR"/>
        </w:rPr>
        <w:t>S5</w:t>
      </w:r>
      <w:r w:rsidRPr="00850CF4">
        <w:rPr>
          <w:b/>
          <w:sz w:val="24"/>
          <w:szCs w:val="24"/>
        </w:rPr>
        <w:t>.</w:t>
      </w:r>
      <w:r w:rsidRPr="00850CF4">
        <w:rPr>
          <w:b/>
          <w:sz w:val="24"/>
          <w:szCs w:val="24"/>
          <w:lang w:eastAsia="ko-KR"/>
        </w:rPr>
        <w:t xml:space="preserve"> </w:t>
      </w:r>
      <w:r w:rsidRPr="00850CF4">
        <w:rPr>
          <w:sz w:val="24"/>
          <w:szCs w:val="24"/>
          <w:lang w:eastAsia="ko-KR"/>
        </w:rPr>
        <w:t xml:space="preserve">Effects of D-galactose on the survival rate of hippocampal neural progenitor cells. (A) D-galactose reduced cell survival rate in a concentration-dependent manner. Cells were treated with the indicated concentrations of D-galactose for 24 h. (B) D-galactose (30 </w:t>
      </w:r>
      <w:proofErr w:type="spellStart"/>
      <w:r w:rsidRPr="00850CF4">
        <w:rPr>
          <w:sz w:val="24"/>
          <w:szCs w:val="24"/>
          <w:lang w:eastAsia="ko-KR"/>
        </w:rPr>
        <w:t>mM</w:t>
      </w:r>
      <w:proofErr w:type="spellEnd"/>
      <w:r w:rsidRPr="00850CF4">
        <w:rPr>
          <w:sz w:val="24"/>
          <w:szCs w:val="24"/>
          <w:lang w:eastAsia="ko-KR"/>
        </w:rPr>
        <w:t xml:space="preserve">)-mediated cell death was time-dependent. Cells were treated for the </w:t>
      </w:r>
      <w:r w:rsidRPr="00850CF4">
        <w:rPr>
          <w:rFonts w:eastAsia="Gulim"/>
          <w:kern w:val="0"/>
          <w:sz w:val="24"/>
          <w:szCs w:val="24"/>
          <w:lang w:eastAsia="ko-KR"/>
        </w:rPr>
        <w:t xml:space="preserve">indicated time periods and subjected to </w:t>
      </w:r>
      <w:r w:rsidRPr="00850CF4">
        <w:rPr>
          <w:rFonts w:eastAsia="Gulim"/>
          <w:kern w:val="0"/>
          <w:sz w:val="24"/>
          <w:szCs w:val="24"/>
        </w:rPr>
        <w:t>water-soluble tetrazolium salt-1</w:t>
      </w:r>
      <w:r w:rsidRPr="00850CF4">
        <w:rPr>
          <w:rFonts w:eastAsia="Gulim"/>
          <w:kern w:val="0"/>
          <w:sz w:val="24"/>
          <w:szCs w:val="24"/>
          <w:lang w:eastAsia="ko-KR"/>
        </w:rPr>
        <w:t xml:space="preserve"> assay, as described in the supplementary Materials and Methods section. Data are presented as the mean ± </w:t>
      </w:r>
      <w:r w:rsidRPr="00850CF4">
        <w:rPr>
          <w:sz w:val="24"/>
          <w:szCs w:val="24"/>
        </w:rPr>
        <w:t>standard error of the mean</w:t>
      </w:r>
      <w:r w:rsidRPr="00850CF4">
        <w:rPr>
          <w:rFonts w:eastAsia="Gulim"/>
          <w:kern w:val="0"/>
          <w:sz w:val="24"/>
          <w:szCs w:val="24"/>
          <w:lang w:eastAsia="ko-KR"/>
        </w:rPr>
        <w:t xml:space="preserve"> (n = 9; </w:t>
      </w:r>
      <w:r w:rsidRPr="00850CF4">
        <w:rPr>
          <w:rFonts w:eastAsia="Gulim"/>
          <w:kern w:val="0"/>
          <w:sz w:val="24"/>
          <w:szCs w:val="24"/>
          <w:vertAlign w:val="superscript"/>
          <w:lang w:eastAsia="ko-KR"/>
        </w:rPr>
        <w:t>*</w:t>
      </w:r>
      <w:r w:rsidRPr="00850CF4">
        <w:rPr>
          <w:rFonts w:eastAsia="Gulim"/>
          <w:kern w:val="0"/>
          <w:sz w:val="24"/>
          <w:szCs w:val="24"/>
          <w:lang w:eastAsia="ko-KR"/>
        </w:rPr>
        <w:t>p</w:t>
      </w:r>
      <w:r w:rsidRPr="00272EEC">
        <w:rPr>
          <w:rFonts w:eastAsia="Gulim"/>
          <w:kern w:val="0"/>
          <w:sz w:val="24"/>
          <w:szCs w:val="24"/>
          <w:lang w:eastAsia="ko-KR"/>
        </w:rPr>
        <w:t xml:space="preserve"> &lt; 0.01, compared with untreated controls).</w:t>
      </w:r>
    </w:p>
    <w:p w:rsidR="00367F54" w:rsidRPr="00617EF4" w:rsidRDefault="00367F54" w:rsidP="00367F54">
      <w:pPr>
        <w:pStyle w:val="Textkrper2"/>
        <w:rPr>
          <w:b/>
          <w:sz w:val="24"/>
          <w:szCs w:val="24"/>
          <w:lang w:eastAsia="ko-KR"/>
        </w:rPr>
      </w:pPr>
    </w:p>
    <w:p w:rsidR="00367F54" w:rsidRPr="00617EF4" w:rsidRDefault="00367F54" w:rsidP="00367F54">
      <w:pPr>
        <w:shd w:val="clear" w:color="auto" w:fill="FFFFFF"/>
        <w:suppressAutoHyphens w:val="0"/>
        <w:kinsoku w:val="0"/>
        <w:overflowPunct w:val="0"/>
        <w:autoSpaceDE w:val="0"/>
        <w:autoSpaceDN w:val="0"/>
        <w:adjustRightInd w:val="0"/>
        <w:snapToGrid w:val="0"/>
        <w:spacing w:line="480" w:lineRule="auto"/>
        <w:rPr>
          <w:rFonts w:eastAsia="Gulim"/>
          <w:kern w:val="0"/>
          <w:sz w:val="24"/>
          <w:szCs w:val="24"/>
          <w:lang w:eastAsia="ko-KR"/>
        </w:rPr>
      </w:pPr>
      <w:r w:rsidRPr="00850CF4">
        <w:rPr>
          <w:b/>
          <w:sz w:val="24"/>
          <w:szCs w:val="24"/>
          <w:lang w:eastAsia="ko-KR"/>
        </w:rPr>
        <w:t xml:space="preserve">Supplementary </w:t>
      </w:r>
      <w:r w:rsidRPr="00850CF4">
        <w:rPr>
          <w:b/>
          <w:sz w:val="24"/>
          <w:szCs w:val="24"/>
        </w:rPr>
        <w:t>Fig</w:t>
      </w:r>
      <w:r w:rsidRPr="00850CF4">
        <w:rPr>
          <w:b/>
          <w:sz w:val="24"/>
          <w:szCs w:val="24"/>
          <w:lang w:eastAsia="ko-KR"/>
        </w:rPr>
        <w:t>ure</w:t>
      </w:r>
      <w:r w:rsidRPr="00850CF4">
        <w:rPr>
          <w:b/>
          <w:sz w:val="24"/>
          <w:szCs w:val="24"/>
        </w:rPr>
        <w:t xml:space="preserve"> </w:t>
      </w:r>
      <w:r w:rsidRPr="00850CF4">
        <w:rPr>
          <w:b/>
          <w:sz w:val="24"/>
          <w:szCs w:val="24"/>
          <w:lang w:eastAsia="ko-KR"/>
        </w:rPr>
        <w:t>S6</w:t>
      </w:r>
      <w:r w:rsidRPr="00850CF4">
        <w:rPr>
          <w:b/>
          <w:sz w:val="24"/>
          <w:szCs w:val="24"/>
        </w:rPr>
        <w:t>.</w:t>
      </w:r>
      <w:r w:rsidRPr="00850CF4">
        <w:rPr>
          <w:b/>
          <w:sz w:val="24"/>
          <w:szCs w:val="24"/>
          <w:lang w:eastAsia="ko-KR"/>
        </w:rPr>
        <w:t xml:space="preserve"> </w:t>
      </w:r>
      <w:r w:rsidRPr="00850CF4">
        <w:rPr>
          <w:sz w:val="24"/>
          <w:szCs w:val="24"/>
          <w:lang w:eastAsia="ko-KR"/>
        </w:rPr>
        <w:t xml:space="preserve">Effects of gintonin on the D-galactose-induced decreased cell </w:t>
      </w:r>
      <w:r w:rsidRPr="00850CF4">
        <w:rPr>
          <w:sz w:val="24"/>
          <w:szCs w:val="24"/>
          <w:lang w:eastAsia="ko-KR"/>
        </w:rPr>
        <w:lastRenderedPageBreak/>
        <w:t xml:space="preserve">survival rate. Hippocampal neural progenitor cells were incubated </w:t>
      </w:r>
      <w:r w:rsidRPr="00850CF4">
        <w:rPr>
          <w:sz w:val="24"/>
          <w:szCs w:val="24"/>
        </w:rPr>
        <w:t xml:space="preserve">with </w:t>
      </w:r>
      <w:r w:rsidRPr="00850CF4">
        <w:rPr>
          <w:sz w:val="24"/>
          <w:szCs w:val="24"/>
          <w:lang w:eastAsia="ko-KR"/>
        </w:rPr>
        <w:t xml:space="preserve">30 </w:t>
      </w:r>
      <w:proofErr w:type="spellStart"/>
      <w:r w:rsidRPr="00850CF4">
        <w:rPr>
          <w:sz w:val="24"/>
          <w:szCs w:val="24"/>
          <w:lang w:eastAsia="ko-KR"/>
        </w:rPr>
        <w:t>mM</w:t>
      </w:r>
      <w:proofErr w:type="spellEnd"/>
      <w:r w:rsidRPr="00850CF4">
        <w:rPr>
          <w:sz w:val="24"/>
          <w:szCs w:val="24"/>
          <w:lang w:eastAsia="ko-KR"/>
        </w:rPr>
        <w:t xml:space="preserve"> </w:t>
      </w:r>
      <w:r w:rsidRPr="00850CF4">
        <w:rPr>
          <w:sz w:val="24"/>
          <w:szCs w:val="24"/>
        </w:rPr>
        <w:t xml:space="preserve">D-galactose with the </w:t>
      </w:r>
      <w:r w:rsidRPr="00850CF4">
        <w:rPr>
          <w:sz w:val="24"/>
          <w:szCs w:val="24"/>
          <w:lang w:eastAsia="ko-KR"/>
        </w:rPr>
        <w:t xml:space="preserve">control </w:t>
      </w:r>
      <w:r w:rsidRPr="00850CF4">
        <w:rPr>
          <w:sz w:val="24"/>
          <w:szCs w:val="24"/>
        </w:rPr>
        <w:t xml:space="preserve">vehicle </w:t>
      </w:r>
      <w:r w:rsidRPr="00850CF4">
        <w:rPr>
          <w:sz w:val="24"/>
          <w:szCs w:val="24"/>
          <w:lang w:eastAsia="ko-KR"/>
        </w:rPr>
        <w:t xml:space="preserve">(Con) </w:t>
      </w:r>
      <w:r w:rsidRPr="00850CF4">
        <w:rPr>
          <w:sz w:val="24"/>
          <w:szCs w:val="24"/>
        </w:rPr>
        <w:t xml:space="preserve">or </w:t>
      </w:r>
      <w:r w:rsidRPr="00850CF4">
        <w:rPr>
          <w:sz w:val="24"/>
          <w:szCs w:val="24"/>
          <w:lang w:eastAsia="ko-KR"/>
        </w:rPr>
        <w:t xml:space="preserve">various concentrations of gintonin, along with </w:t>
      </w:r>
      <w:r w:rsidRPr="00850CF4">
        <w:rPr>
          <w:rFonts w:eastAsia="Gulim"/>
          <w:kern w:val="0"/>
          <w:sz w:val="24"/>
          <w:szCs w:val="24"/>
        </w:rPr>
        <w:t>water-soluble tetrazolium salt-1 (</w:t>
      </w:r>
      <w:r w:rsidRPr="00850CF4">
        <w:rPr>
          <w:sz w:val="24"/>
          <w:szCs w:val="24"/>
          <w:lang w:eastAsia="ko-KR"/>
        </w:rPr>
        <w:t xml:space="preserve">WST-1). (A) Gintonin </w:t>
      </w:r>
      <w:r w:rsidRPr="00850CF4">
        <w:rPr>
          <w:rFonts w:eastAsia="Gulim"/>
          <w:bCs/>
          <w:kern w:val="0"/>
          <w:sz w:val="24"/>
          <w:szCs w:val="24"/>
          <w:lang w:eastAsia="ko-KR"/>
        </w:rPr>
        <w:t xml:space="preserve">stimulated cell survival in a concentration-dependent manner. </w:t>
      </w:r>
      <w:r w:rsidRPr="00850CF4">
        <w:rPr>
          <w:sz w:val="24"/>
          <w:szCs w:val="24"/>
          <w:lang w:eastAsia="ko-KR"/>
        </w:rPr>
        <w:t xml:space="preserve">The cells were pretreated with the indicated concentrations of gintonin 24 h before being treated with D-galactose (30 </w:t>
      </w:r>
      <w:proofErr w:type="spellStart"/>
      <w:r w:rsidRPr="00850CF4">
        <w:rPr>
          <w:sz w:val="24"/>
          <w:szCs w:val="24"/>
          <w:lang w:eastAsia="ko-KR"/>
        </w:rPr>
        <w:t>mM</w:t>
      </w:r>
      <w:proofErr w:type="spellEnd"/>
      <w:r w:rsidRPr="00850CF4">
        <w:rPr>
          <w:sz w:val="24"/>
          <w:szCs w:val="24"/>
          <w:lang w:eastAsia="ko-KR"/>
        </w:rPr>
        <w:t>), and the cell survival rate was measured, as described in the</w:t>
      </w:r>
      <w:r w:rsidRPr="00850CF4">
        <w:rPr>
          <w:rFonts w:eastAsia="Gulim"/>
          <w:kern w:val="0"/>
          <w:sz w:val="24"/>
          <w:szCs w:val="24"/>
          <w:lang w:eastAsia="ko-KR"/>
        </w:rPr>
        <w:t xml:space="preserve"> supplementary Materials and </w:t>
      </w:r>
      <w:r w:rsidRPr="00850CF4">
        <w:rPr>
          <w:sz w:val="24"/>
          <w:szCs w:val="24"/>
          <w:lang w:eastAsia="ko-KR"/>
        </w:rPr>
        <w:t xml:space="preserve">Methods section. </w:t>
      </w:r>
      <w:r w:rsidRPr="00850CF4">
        <w:rPr>
          <w:rFonts w:eastAsia="Gulim"/>
          <w:bCs/>
          <w:kern w:val="0"/>
          <w:sz w:val="24"/>
          <w:szCs w:val="24"/>
          <w:lang w:eastAsia="ko-KR"/>
        </w:rPr>
        <w:t xml:space="preserve">(B) Gintonin-mediated blocking of cell death was time-dependent. </w:t>
      </w:r>
      <w:r w:rsidRPr="00850CF4">
        <w:rPr>
          <w:rFonts w:eastAsia="Gulim"/>
          <w:kern w:val="0"/>
          <w:sz w:val="24"/>
          <w:szCs w:val="24"/>
          <w:lang w:eastAsia="ko-KR"/>
        </w:rPr>
        <w:t>Cells</w:t>
      </w:r>
      <w:r w:rsidRPr="00850CF4">
        <w:rPr>
          <w:rFonts w:eastAsia="Gulim"/>
          <w:b/>
          <w:bCs/>
          <w:kern w:val="0"/>
          <w:sz w:val="24"/>
          <w:szCs w:val="24"/>
          <w:lang w:eastAsia="ko-KR"/>
        </w:rPr>
        <w:t xml:space="preserve"> </w:t>
      </w:r>
      <w:r w:rsidRPr="00850CF4">
        <w:rPr>
          <w:rFonts w:eastAsia="Gulim"/>
          <w:kern w:val="0"/>
          <w:sz w:val="24"/>
          <w:szCs w:val="24"/>
          <w:lang w:eastAsia="ko-KR"/>
        </w:rPr>
        <w:t xml:space="preserve">were treated with 1 µg/ml gintonin and subjected to WST-1 assay, as described in the supplementary Materials and Methods section. Data are presented as mean ± </w:t>
      </w:r>
      <w:r w:rsidRPr="00850CF4">
        <w:rPr>
          <w:sz w:val="24"/>
          <w:szCs w:val="24"/>
        </w:rPr>
        <w:t>standard error of the mean</w:t>
      </w:r>
      <w:r w:rsidRPr="00850CF4">
        <w:rPr>
          <w:rFonts w:eastAsia="Gulim"/>
          <w:kern w:val="0"/>
          <w:sz w:val="24"/>
          <w:szCs w:val="24"/>
          <w:lang w:eastAsia="ko-KR"/>
        </w:rPr>
        <w:t xml:space="preserve"> (n = 9; </w:t>
      </w:r>
      <w:r w:rsidRPr="00850CF4">
        <w:rPr>
          <w:rFonts w:eastAsia="Gulim"/>
          <w:kern w:val="0"/>
          <w:sz w:val="24"/>
          <w:szCs w:val="24"/>
          <w:vertAlign w:val="superscript"/>
          <w:lang w:eastAsia="ko-KR"/>
        </w:rPr>
        <w:t>*</w:t>
      </w:r>
      <w:r w:rsidRPr="00850CF4">
        <w:rPr>
          <w:rFonts w:eastAsia="Gulim"/>
          <w:kern w:val="0"/>
          <w:sz w:val="24"/>
          <w:szCs w:val="24"/>
          <w:lang w:eastAsia="ko-KR"/>
        </w:rPr>
        <w:t>p</w:t>
      </w:r>
      <w:r w:rsidRPr="00272EEC">
        <w:rPr>
          <w:rFonts w:eastAsia="Gulim"/>
          <w:kern w:val="0"/>
          <w:sz w:val="24"/>
          <w:szCs w:val="24"/>
          <w:lang w:eastAsia="ko-KR"/>
        </w:rPr>
        <w:t xml:space="preserve"> &lt; 0.01, compared with </w:t>
      </w:r>
      <w:r w:rsidRPr="00617EF4">
        <w:rPr>
          <w:rFonts w:eastAsia="Gulim"/>
          <w:kern w:val="0"/>
          <w:sz w:val="24"/>
          <w:szCs w:val="24"/>
          <w:lang w:eastAsia="ko-KR"/>
        </w:rPr>
        <w:t>untreated controls).</w:t>
      </w:r>
    </w:p>
    <w:p w:rsidR="00367F54" w:rsidRPr="00850CF4" w:rsidRDefault="00367F54" w:rsidP="00367F54">
      <w:pPr>
        <w:pStyle w:val="Textkrper2"/>
        <w:rPr>
          <w:sz w:val="24"/>
          <w:szCs w:val="24"/>
          <w:lang w:eastAsia="ko-KR"/>
        </w:rPr>
      </w:pPr>
    </w:p>
    <w:p w:rsidR="00367F54" w:rsidRPr="00850CF4" w:rsidRDefault="00367F54" w:rsidP="00367F54">
      <w:pPr>
        <w:pStyle w:val="Textkrper2"/>
        <w:rPr>
          <w:sz w:val="24"/>
          <w:szCs w:val="24"/>
          <w:lang w:eastAsia="ko-KR"/>
        </w:rPr>
      </w:pPr>
      <w:r w:rsidRPr="00850CF4">
        <w:rPr>
          <w:b/>
          <w:sz w:val="24"/>
          <w:szCs w:val="24"/>
          <w:lang w:eastAsia="ko-KR"/>
        </w:rPr>
        <w:t xml:space="preserve">Supplementary </w:t>
      </w:r>
      <w:r w:rsidRPr="00850CF4">
        <w:rPr>
          <w:b/>
          <w:sz w:val="24"/>
          <w:szCs w:val="24"/>
        </w:rPr>
        <w:t>Fig</w:t>
      </w:r>
      <w:r w:rsidRPr="00850CF4">
        <w:rPr>
          <w:b/>
          <w:sz w:val="24"/>
          <w:szCs w:val="24"/>
          <w:lang w:eastAsia="ko-KR"/>
        </w:rPr>
        <w:t>ure</w:t>
      </w:r>
      <w:r w:rsidRPr="00850CF4">
        <w:rPr>
          <w:b/>
          <w:sz w:val="24"/>
          <w:szCs w:val="24"/>
        </w:rPr>
        <w:t xml:space="preserve"> </w:t>
      </w:r>
      <w:r w:rsidRPr="00850CF4">
        <w:rPr>
          <w:b/>
          <w:sz w:val="24"/>
          <w:szCs w:val="24"/>
          <w:lang w:eastAsia="ko-KR"/>
        </w:rPr>
        <w:t>S7</w:t>
      </w:r>
      <w:r w:rsidRPr="00850CF4">
        <w:rPr>
          <w:b/>
          <w:sz w:val="24"/>
          <w:szCs w:val="24"/>
        </w:rPr>
        <w:t xml:space="preserve">. </w:t>
      </w:r>
      <w:r w:rsidRPr="00850CF4">
        <w:rPr>
          <w:sz w:val="24"/>
          <w:szCs w:val="24"/>
          <w:lang w:eastAsia="ko-KR"/>
        </w:rPr>
        <w:t>Effects of gintonin on D-galactose-induced intracellular reactive oxygen species (ROS) generation.</w:t>
      </w:r>
      <w:r w:rsidRPr="00850CF4">
        <w:rPr>
          <w:b/>
          <w:sz w:val="24"/>
          <w:szCs w:val="24"/>
          <w:lang w:eastAsia="ko-KR"/>
        </w:rPr>
        <w:t xml:space="preserve"> </w:t>
      </w:r>
      <w:r w:rsidRPr="00850CF4">
        <w:rPr>
          <w:sz w:val="24"/>
          <w:szCs w:val="24"/>
          <w:lang w:eastAsia="ko-KR"/>
        </w:rPr>
        <w:t xml:space="preserve">(A) Gintonin attenuates D-galactose-induced ROS formation in a concentration-dependent manner. Cells were pretreated with the indicated concentrations of gintonin 24 h before being treated with D-galactose (30 </w:t>
      </w:r>
      <w:proofErr w:type="spellStart"/>
      <w:r w:rsidRPr="00850CF4">
        <w:rPr>
          <w:sz w:val="24"/>
          <w:szCs w:val="24"/>
          <w:lang w:eastAsia="ko-KR"/>
        </w:rPr>
        <w:t>mM</w:t>
      </w:r>
      <w:proofErr w:type="spellEnd"/>
      <w:r w:rsidRPr="00850CF4">
        <w:rPr>
          <w:sz w:val="24"/>
          <w:szCs w:val="24"/>
          <w:lang w:eastAsia="ko-KR"/>
        </w:rPr>
        <w:t>), and the level of ROS generated were measured as described in the</w:t>
      </w:r>
      <w:r w:rsidRPr="00850CF4">
        <w:rPr>
          <w:rFonts w:eastAsia="Gulim"/>
          <w:kern w:val="0"/>
          <w:sz w:val="24"/>
          <w:szCs w:val="24"/>
          <w:lang w:eastAsia="ko-KR"/>
        </w:rPr>
        <w:t xml:space="preserve"> supplementary Materials and </w:t>
      </w:r>
      <w:r w:rsidRPr="00850CF4">
        <w:rPr>
          <w:sz w:val="24"/>
          <w:szCs w:val="24"/>
          <w:lang w:eastAsia="ko-KR"/>
        </w:rPr>
        <w:t xml:space="preserve">Methods section. (B) The level of ROS generated was measured after the indicated duration of gintonin (10 </w:t>
      </w:r>
      <w:proofErr w:type="spellStart"/>
      <w:r w:rsidRPr="00850CF4">
        <w:rPr>
          <w:rFonts w:eastAsia="TT2AB1Ao00"/>
          <w:kern w:val="0"/>
          <w:sz w:val="24"/>
          <w:szCs w:val="24"/>
          <w:lang w:eastAsia="ko-KR"/>
        </w:rPr>
        <w:t>μg</w:t>
      </w:r>
      <w:proofErr w:type="spellEnd"/>
      <w:r w:rsidRPr="00850CF4">
        <w:rPr>
          <w:rFonts w:eastAsia="TT2AB1Ao00"/>
          <w:kern w:val="0"/>
          <w:sz w:val="24"/>
          <w:szCs w:val="24"/>
          <w:lang w:eastAsia="ko-KR"/>
        </w:rPr>
        <w:t>/ml)</w:t>
      </w:r>
      <w:r w:rsidRPr="00850CF4">
        <w:rPr>
          <w:sz w:val="24"/>
          <w:szCs w:val="24"/>
          <w:lang w:eastAsia="ko-KR"/>
        </w:rPr>
        <w:t xml:space="preserve"> and D-galactose (30 </w:t>
      </w:r>
      <w:proofErr w:type="spellStart"/>
      <w:r w:rsidRPr="00850CF4">
        <w:rPr>
          <w:sz w:val="24"/>
          <w:szCs w:val="24"/>
          <w:lang w:eastAsia="ko-KR"/>
        </w:rPr>
        <w:t>mM</w:t>
      </w:r>
      <w:proofErr w:type="spellEnd"/>
      <w:r w:rsidRPr="00850CF4">
        <w:rPr>
          <w:sz w:val="24"/>
          <w:szCs w:val="24"/>
          <w:lang w:eastAsia="ko-KR"/>
        </w:rPr>
        <w:t xml:space="preserve">) treatment. The maximal inhibitory effect of gintonin on D-galactose-induced ROS generation was observed after 24 h. </w:t>
      </w:r>
      <w:r w:rsidRPr="00850CF4">
        <w:rPr>
          <w:sz w:val="24"/>
          <w:szCs w:val="24"/>
          <w:vertAlign w:val="superscript"/>
          <w:lang w:eastAsia="ko-KR"/>
        </w:rPr>
        <w:t>*</w:t>
      </w:r>
      <w:r w:rsidRPr="00850CF4">
        <w:rPr>
          <w:sz w:val="24"/>
          <w:szCs w:val="24"/>
          <w:lang w:eastAsia="ko-KR"/>
        </w:rPr>
        <w:t>p</w:t>
      </w:r>
      <w:r w:rsidRPr="00272EEC">
        <w:rPr>
          <w:sz w:val="24"/>
          <w:szCs w:val="24"/>
          <w:lang w:eastAsia="ko-KR"/>
        </w:rPr>
        <w:t xml:space="preserve"> &lt; 0.01, compared with</w:t>
      </w:r>
      <w:r w:rsidRPr="00617EF4">
        <w:rPr>
          <w:sz w:val="24"/>
          <w:szCs w:val="24"/>
          <w:lang w:eastAsia="ko-KR"/>
        </w:rPr>
        <w:t xml:space="preserve"> control </w:t>
      </w:r>
      <w:r w:rsidRPr="00850CF4">
        <w:rPr>
          <w:sz w:val="24"/>
          <w:szCs w:val="24"/>
          <w:lang w:eastAsia="ko-KR"/>
        </w:rPr>
        <w:t>group (Con) (n = 9).</w:t>
      </w:r>
    </w:p>
    <w:p w:rsidR="00367F54" w:rsidRDefault="00367F54" w:rsidP="00367F54">
      <w:pPr>
        <w:spacing w:line="480" w:lineRule="auto"/>
        <w:rPr>
          <w:rFonts w:eastAsia="Gulim"/>
          <w:b/>
          <w:kern w:val="2"/>
          <w:sz w:val="24"/>
          <w:szCs w:val="24"/>
          <w:lang w:eastAsia="ko-KR"/>
        </w:rPr>
      </w:pPr>
    </w:p>
    <w:p w:rsidR="00A04D49" w:rsidRDefault="00A04D49" w:rsidP="00367F54">
      <w:pPr>
        <w:spacing w:line="480" w:lineRule="auto"/>
        <w:rPr>
          <w:rFonts w:eastAsia="Gulim"/>
          <w:b/>
          <w:kern w:val="2"/>
          <w:sz w:val="24"/>
          <w:szCs w:val="24"/>
          <w:lang w:eastAsia="ko-KR"/>
        </w:rPr>
      </w:pPr>
    </w:p>
    <w:p w:rsidR="00A04D49" w:rsidRDefault="00A04D49" w:rsidP="00367F54">
      <w:pPr>
        <w:spacing w:line="480" w:lineRule="auto"/>
        <w:rPr>
          <w:rFonts w:eastAsia="Gulim"/>
          <w:b/>
          <w:kern w:val="2"/>
          <w:sz w:val="24"/>
          <w:szCs w:val="24"/>
          <w:lang w:eastAsia="ko-KR"/>
        </w:rPr>
      </w:pPr>
    </w:p>
    <w:p w:rsidR="00A04D49" w:rsidRPr="00850CF4" w:rsidRDefault="00A04D49" w:rsidP="00367F54">
      <w:pPr>
        <w:spacing w:line="480" w:lineRule="auto"/>
        <w:rPr>
          <w:rFonts w:eastAsia="Gulim"/>
          <w:b/>
          <w:kern w:val="2"/>
          <w:sz w:val="24"/>
          <w:szCs w:val="24"/>
          <w:lang w:eastAsia="ko-KR"/>
        </w:rPr>
      </w:pPr>
      <w:bookmarkStart w:id="1" w:name="_GoBack"/>
      <w:bookmarkEnd w:id="1"/>
    </w:p>
    <w:p w:rsidR="00367F54" w:rsidRPr="00272EEC" w:rsidRDefault="00367F54" w:rsidP="00367F54">
      <w:pPr>
        <w:spacing w:line="480" w:lineRule="auto"/>
        <w:rPr>
          <w:rFonts w:eastAsia="Gulim"/>
          <w:b/>
          <w:kern w:val="2"/>
          <w:sz w:val="24"/>
          <w:szCs w:val="24"/>
          <w:lang w:eastAsia="ko-KR"/>
        </w:rPr>
      </w:pPr>
      <w:r w:rsidRPr="00850CF4">
        <w:rPr>
          <w:rFonts w:eastAsia="Gulim"/>
          <w:b/>
          <w:kern w:val="2"/>
          <w:sz w:val="24"/>
          <w:szCs w:val="24"/>
          <w:lang w:eastAsia="ko-KR"/>
        </w:rPr>
        <w:lastRenderedPageBreak/>
        <w:t>References</w:t>
      </w:r>
    </w:p>
    <w:p w:rsidR="00367F54" w:rsidRPr="00850CF4" w:rsidRDefault="00455FE5" w:rsidP="00367F54">
      <w:pPr>
        <w:adjustRightInd w:val="0"/>
        <w:spacing w:line="480" w:lineRule="auto"/>
        <w:ind w:left="480" w:hanging="480"/>
        <w:jc w:val="left"/>
        <w:rPr>
          <w:kern w:val="0"/>
          <w:sz w:val="24"/>
          <w:szCs w:val="24"/>
          <w:lang w:eastAsia="ko-KR"/>
        </w:rPr>
      </w:pPr>
      <w:r w:rsidRPr="00272EEC">
        <w:rPr>
          <w:sz w:val="24"/>
          <w:szCs w:val="24"/>
          <w:lang w:eastAsia="ko-KR"/>
        </w:rPr>
        <w:fldChar w:fldCharType="begin" w:fldLock="1"/>
      </w:r>
      <w:r w:rsidR="00367F54" w:rsidRPr="00850CF4">
        <w:rPr>
          <w:sz w:val="24"/>
          <w:szCs w:val="24"/>
          <w:lang w:eastAsia="ko-KR"/>
        </w:rPr>
        <w:instrText xml:space="preserve">ADDIN Mendeley Bibliography CSL_BIBLIOGRAPHY </w:instrText>
      </w:r>
      <w:r w:rsidRPr="00272EEC">
        <w:rPr>
          <w:sz w:val="24"/>
          <w:szCs w:val="24"/>
          <w:lang w:eastAsia="ko-KR"/>
        </w:rPr>
        <w:fldChar w:fldCharType="separate"/>
      </w:r>
      <w:r w:rsidR="00367F54" w:rsidRPr="00272EEC">
        <w:rPr>
          <w:kern w:val="0"/>
          <w:sz w:val="24"/>
          <w:szCs w:val="24"/>
        </w:rPr>
        <w:t>Kim</w:t>
      </w:r>
      <w:r w:rsidR="00367F54" w:rsidRPr="00617EF4">
        <w:rPr>
          <w:kern w:val="0"/>
          <w:sz w:val="24"/>
          <w:szCs w:val="24"/>
        </w:rPr>
        <w:t xml:space="preserve"> HJ, Shin EJ, Lee BH, Choi SH, Jung SW, Cho IH, Hwang SH, Kim JY, Han JS, Chung C, Jang CG, Rhim H, Kim HC, Nah S</w:t>
      </w:r>
      <w:r w:rsidR="00367F54" w:rsidRPr="00850CF4">
        <w:rPr>
          <w:kern w:val="0"/>
          <w:sz w:val="24"/>
          <w:szCs w:val="24"/>
        </w:rPr>
        <w:t>Y</w:t>
      </w:r>
      <w:r w:rsidR="00367F54" w:rsidRPr="00850CF4">
        <w:rPr>
          <w:kern w:val="0"/>
          <w:sz w:val="24"/>
          <w:szCs w:val="24"/>
          <w:lang w:eastAsia="ko-KR"/>
        </w:rPr>
        <w:t>:</w:t>
      </w:r>
      <w:r w:rsidR="00367F54" w:rsidRPr="00850CF4">
        <w:rPr>
          <w:kern w:val="0"/>
          <w:sz w:val="24"/>
          <w:szCs w:val="24"/>
        </w:rPr>
        <w:t xml:space="preserve"> Oral Administration of Gintonin Attenuates Cholinergic Impairments by Scopolamine, Amyloid-β Protein, and Mouse Model of Alzheimer’s Disease. Mol Cells </w:t>
      </w:r>
      <w:r w:rsidR="00367F54" w:rsidRPr="00850CF4">
        <w:rPr>
          <w:kern w:val="0"/>
          <w:sz w:val="24"/>
          <w:szCs w:val="24"/>
          <w:lang w:eastAsia="ko-KR"/>
        </w:rPr>
        <w:t>2015;</w:t>
      </w:r>
      <w:r w:rsidR="00367F54" w:rsidRPr="00850CF4">
        <w:rPr>
          <w:kern w:val="0"/>
          <w:sz w:val="24"/>
          <w:szCs w:val="24"/>
        </w:rPr>
        <w:t>38</w:t>
      </w:r>
      <w:r w:rsidR="00367F54" w:rsidRPr="00850CF4">
        <w:rPr>
          <w:kern w:val="0"/>
          <w:sz w:val="24"/>
          <w:szCs w:val="24"/>
          <w:lang w:eastAsia="ko-KR"/>
        </w:rPr>
        <w:t>:</w:t>
      </w:r>
      <w:r w:rsidR="00367F54" w:rsidRPr="00850CF4">
        <w:rPr>
          <w:kern w:val="0"/>
          <w:sz w:val="24"/>
          <w:szCs w:val="24"/>
        </w:rPr>
        <w:t>796</w:t>
      </w:r>
      <w:r w:rsidR="00367F54" w:rsidRPr="00850CF4">
        <w:rPr>
          <w:kern w:val="0"/>
          <w:sz w:val="24"/>
          <w:szCs w:val="24"/>
          <w:lang w:eastAsia="ko-KR"/>
        </w:rPr>
        <w:t>-</w:t>
      </w:r>
      <w:r w:rsidR="00367F54" w:rsidRPr="00850CF4">
        <w:rPr>
          <w:kern w:val="0"/>
          <w:sz w:val="24"/>
          <w:szCs w:val="24"/>
        </w:rPr>
        <w:t>805.</w:t>
      </w:r>
    </w:p>
    <w:p w:rsidR="00367F54" w:rsidRPr="00850CF4" w:rsidRDefault="00367F54" w:rsidP="00367F54">
      <w:pPr>
        <w:adjustRightInd w:val="0"/>
        <w:spacing w:line="480" w:lineRule="auto"/>
        <w:ind w:left="480" w:hanging="480"/>
        <w:jc w:val="left"/>
        <w:rPr>
          <w:kern w:val="0"/>
          <w:sz w:val="24"/>
          <w:szCs w:val="24"/>
        </w:rPr>
      </w:pPr>
      <w:r w:rsidRPr="00850CF4">
        <w:rPr>
          <w:bCs/>
          <w:sz w:val="24"/>
          <w:szCs w:val="24"/>
        </w:rPr>
        <w:t>Garg</w:t>
      </w:r>
      <w:r w:rsidRPr="00850CF4">
        <w:rPr>
          <w:sz w:val="24"/>
          <w:szCs w:val="24"/>
        </w:rPr>
        <w:t xml:space="preserve"> TK, </w:t>
      </w:r>
      <w:r w:rsidRPr="00850CF4">
        <w:rPr>
          <w:bCs/>
          <w:sz w:val="24"/>
          <w:szCs w:val="24"/>
        </w:rPr>
        <w:t>Chang</w:t>
      </w:r>
      <w:r w:rsidRPr="00850CF4">
        <w:rPr>
          <w:sz w:val="24"/>
          <w:szCs w:val="24"/>
        </w:rPr>
        <w:t xml:space="preserve"> JY</w:t>
      </w:r>
      <w:r w:rsidRPr="00850CF4">
        <w:rPr>
          <w:sz w:val="24"/>
          <w:szCs w:val="24"/>
          <w:lang w:eastAsia="ko-KR"/>
        </w:rPr>
        <w:t xml:space="preserve">: </w:t>
      </w:r>
      <w:hyperlink r:id="rId7" w:history="1">
        <w:r w:rsidRPr="00272EEC">
          <w:rPr>
            <w:sz w:val="24"/>
            <w:szCs w:val="24"/>
          </w:rPr>
          <w:t>15-deoxy-delta 12, 14-Prostaglandin J2 prevents reactive oxygen species generation and mitochondrial membrane depolarization ind</w:t>
        </w:r>
        <w:r w:rsidRPr="00617EF4">
          <w:rPr>
            <w:sz w:val="24"/>
            <w:szCs w:val="24"/>
          </w:rPr>
          <w:t>uced by oxidative stress.</w:t>
        </w:r>
      </w:hyperlink>
      <w:r w:rsidRPr="00272EEC">
        <w:rPr>
          <w:sz w:val="24"/>
          <w:szCs w:val="24"/>
          <w:lang w:eastAsia="ko-KR"/>
        </w:rPr>
        <w:t xml:space="preserve"> </w:t>
      </w:r>
      <w:r w:rsidRPr="00617EF4">
        <w:rPr>
          <w:rStyle w:val="jrnl"/>
          <w:sz w:val="24"/>
          <w:szCs w:val="24"/>
        </w:rPr>
        <w:t>BMC Pharmacol</w:t>
      </w:r>
      <w:r w:rsidRPr="00617EF4">
        <w:rPr>
          <w:sz w:val="24"/>
          <w:szCs w:val="24"/>
        </w:rPr>
        <w:t xml:space="preserve"> </w:t>
      </w:r>
      <w:r w:rsidRPr="00617EF4">
        <w:rPr>
          <w:bCs/>
          <w:sz w:val="24"/>
          <w:szCs w:val="24"/>
        </w:rPr>
        <w:t>2004</w:t>
      </w:r>
      <w:r w:rsidRPr="00850CF4">
        <w:rPr>
          <w:sz w:val="24"/>
          <w:szCs w:val="24"/>
        </w:rPr>
        <w:t>;4:6</w:t>
      </w:r>
    </w:p>
    <w:p w:rsidR="00367F54" w:rsidRPr="00850CF4" w:rsidRDefault="00367F54" w:rsidP="00367F54">
      <w:pPr>
        <w:spacing w:line="480" w:lineRule="auto"/>
        <w:rPr>
          <w:b/>
          <w:sz w:val="24"/>
          <w:szCs w:val="24"/>
          <w:lang w:eastAsia="ko-KR"/>
        </w:rPr>
      </w:pPr>
    </w:p>
    <w:p w:rsidR="00367F54" w:rsidRPr="00850CF4" w:rsidRDefault="00367F54" w:rsidP="00367F54">
      <w:pPr>
        <w:spacing w:line="480" w:lineRule="auto"/>
        <w:rPr>
          <w:b/>
          <w:sz w:val="24"/>
          <w:szCs w:val="24"/>
          <w:lang w:eastAsia="ko-KR"/>
        </w:rPr>
      </w:pPr>
    </w:p>
    <w:p w:rsidR="00367F54" w:rsidRPr="00850CF4" w:rsidRDefault="00367F54" w:rsidP="00367F54">
      <w:pPr>
        <w:spacing w:line="480" w:lineRule="auto"/>
        <w:rPr>
          <w:b/>
          <w:sz w:val="24"/>
          <w:szCs w:val="24"/>
          <w:lang w:eastAsia="ko-KR"/>
        </w:rPr>
      </w:pPr>
    </w:p>
    <w:p w:rsidR="00367F54" w:rsidRPr="00272EEC" w:rsidRDefault="00455FE5" w:rsidP="00367F54">
      <w:pPr>
        <w:pStyle w:val="desc2"/>
        <w:shd w:val="clear" w:color="auto" w:fill="FFFFFF"/>
        <w:rPr>
          <w:rFonts w:ascii="Times New Roman" w:hAnsi="Times New Roman" w:cs="Times New Roman"/>
          <w:sz w:val="24"/>
          <w:szCs w:val="24"/>
        </w:rPr>
      </w:pPr>
      <w:r w:rsidRPr="00272EEC">
        <w:rPr>
          <w:rFonts w:ascii="Times New Roman" w:hAnsi="Times New Roman" w:cs="Times New Roman"/>
          <w:sz w:val="24"/>
          <w:szCs w:val="24"/>
        </w:rPr>
        <w:fldChar w:fldCharType="end"/>
      </w:r>
    </w:p>
    <w:p w:rsidR="001330C4" w:rsidRDefault="001330C4"/>
    <w:sectPr w:rsidR="001330C4" w:rsidSect="008D3551">
      <w:footerReference w:type="even" r:id="rId8"/>
      <w:footerReference w:type="default" r:id="rId9"/>
      <w:pgSz w:w="11906" w:h="16838"/>
      <w:pgMar w:top="1418" w:right="1418" w:bottom="1418" w:left="1418"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A8" w:rsidRDefault="00BB5BA8" w:rsidP="00455FE5">
      <w:r>
        <w:separator/>
      </w:r>
    </w:p>
  </w:endnote>
  <w:endnote w:type="continuationSeparator" w:id="0">
    <w:p w:rsidR="00BB5BA8" w:rsidRDefault="00BB5BA8" w:rsidP="0045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Che">
    <w:altName w:val="Times New Roman"/>
    <w:panose1 w:val="00000000000000000000"/>
    <w:charset w:val="00"/>
    <w:family w:val="roman"/>
    <w:notTrueType/>
    <w:pitch w:val="default"/>
  </w:font>
  <w:font w:name="Gulim">
    <w:altName w:val="굴림"/>
    <w:panose1 w:val="020B0600000101010101"/>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00"/>
    <w:family w:val="roman"/>
    <w:notTrueType/>
    <w:pitch w:val="default"/>
  </w:font>
  <w:font w:name="TT2AB1Fo00">
    <w:altName w:val="Arial Unicode MS"/>
    <w:panose1 w:val="00000000000000000000"/>
    <w:charset w:val="81"/>
    <w:family w:val="auto"/>
    <w:notTrueType/>
    <w:pitch w:val="default"/>
    <w:sig w:usb0="00000000" w:usb1="09060000" w:usb2="00000010" w:usb3="00000000" w:csb0="00080000" w:csb1="00000000"/>
  </w:font>
  <w:font w:name="TT2AB1Ao00">
    <w:altName w:val="Arial Unicode MS"/>
    <w:panose1 w:val="00000000000000000000"/>
    <w:charset w:val="81"/>
    <w:family w:val="auto"/>
    <w:notTrueType/>
    <w:pitch w:val="default"/>
    <w:sig w:usb0="00000000" w:usb1="09060000" w:usb2="00000010" w:usb3="00000000" w:csb0="00080000" w:csb1="00000000"/>
  </w:font>
  <w:font w:name="TT2AB2Bo00">
    <w:altName w:val="Arial Unicode MS"/>
    <w:panose1 w:val="00000000000000000000"/>
    <w:charset w:val="81"/>
    <w:family w:val="auto"/>
    <w:notTrueType/>
    <w:pitch w:val="default"/>
    <w:sig w:usb0="00000000" w:usb1="09060000" w:usb2="00000010" w:usb3="00000000" w:csb0="00080000" w:csb1="00000000"/>
  </w:font>
  <w:font w:name="TT2AB2Co00">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51" w:rsidRDefault="00455FE5">
    <w:pPr>
      <w:pStyle w:val="Fuzeile"/>
      <w:framePr w:wrap="around" w:vAnchor="text" w:hAnchor="margin" w:xAlign="center" w:y="1"/>
      <w:rPr>
        <w:rStyle w:val="Seitenzahl"/>
      </w:rPr>
    </w:pPr>
    <w:r>
      <w:rPr>
        <w:rStyle w:val="Seitenzahl"/>
      </w:rPr>
      <w:fldChar w:fldCharType="begin"/>
    </w:r>
    <w:r w:rsidR="00367F54">
      <w:rPr>
        <w:rStyle w:val="Seitenzahl"/>
      </w:rPr>
      <w:instrText xml:space="preserve">PAGE  </w:instrText>
    </w:r>
    <w:r>
      <w:rPr>
        <w:rStyle w:val="Seitenzahl"/>
      </w:rPr>
      <w:fldChar w:fldCharType="end"/>
    </w:r>
  </w:p>
  <w:p w:rsidR="008D3551" w:rsidRDefault="00A04D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51" w:rsidRDefault="00455FE5">
    <w:pPr>
      <w:pStyle w:val="Fuzeile"/>
      <w:framePr w:wrap="around" w:vAnchor="text" w:hAnchor="margin" w:xAlign="center" w:y="1"/>
      <w:rPr>
        <w:rStyle w:val="Seitenzahl"/>
      </w:rPr>
    </w:pPr>
    <w:r>
      <w:rPr>
        <w:rStyle w:val="Seitenzahl"/>
      </w:rPr>
      <w:fldChar w:fldCharType="begin"/>
    </w:r>
    <w:r w:rsidR="00367F54">
      <w:rPr>
        <w:rStyle w:val="Seitenzahl"/>
      </w:rPr>
      <w:instrText xml:space="preserve">PAGE  </w:instrText>
    </w:r>
    <w:r>
      <w:rPr>
        <w:rStyle w:val="Seitenzahl"/>
      </w:rPr>
      <w:fldChar w:fldCharType="separate"/>
    </w:r>
    <w:r w:rsidR="00A04D49">
      <w:rPr>
        <w:rStyle w:val="Seitenzahl"/>
        <w:noProof/>
      </w:rPr>
      <w:t>8</w:t>
    </w:r>
    <w:r>
      <w:rPr>
        <w:rStyle w:val="Seitenzahl"/>
      </w:rPr>
      <w:fldChar w:fldCharType="end"/>
    </w:r>
  </w:p>
  <w:p w:rsidR="008D3551" w:rsidRDefault="00A04D49">
    <w:pPr>
      <w:pStyle w:val="Standardeinzug"/>
      <w:tabs>
        <w:tab w:val="left" w:pos="851"/>
        <w:tab w:val="left" w:pos="1702"/>
        <w:tab w:val="left" w:pos="2553"/>
        <w:tab w:val="left" w:pos="3404"/>
        <w:tab w:val="left" w:pos="4256"/>
        <w:tab w:val="left" w:pos="5107"/>
        <w:tab w:val="left" w:pos="5958"/>
        <w:tab w:val="left" w:pos="6809"/>
        <w:tab w:val="left" w:pos="7660"/>
      </w:tabs>
      <w:snapToGrid w:val="0"/>
      <w:spacing w:line="480" w:lineRule="auto"/>
      <w:ind w:left="0"/>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A8" w:rsidRDefault="00BB5BA8" w:rsidP="00455FE5">
      <w:r>
        <w:separator/>
      </w:r>
    </w:p>
  </w:footnote>
  <w:footnote w:type="continuationSeparator" w:id="0">
    <w:p w:rsidR="00BB5BA8" w:rsidRDefault="00BB5BA8" w:rsidP="0045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367F54"/>
    <w:rsid w:val="001330C4"/>
    <w:rsid w:val="00291284"/>
    <w:rsid w:val="0034132A"/>
    <w:rsid w:val="00357520"/>
    <w:rsid w:val="00367F54"/>
    <w:rsid w:val="00455FE5"/>
    <w:rsid w:val="00A04D49"/>
    <w:rsid w:val="00BB5BA8"/>
    <w:rsid w:val="00C940FC"/>
    <w:rsid w:val="00EA1A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984204A"/>
  <w15:docId w15:val="{0E0F6CCC-2013-4C7E-8806-4F52343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7F54"/>
    <w:pPr>
      <w:widowControl w:val="0"/>
      <w:suppressAutoHyphens/>
      <w:spacing w:after="0" w:line="240" w:lineRule="auto"/>
      <w:jc w:val="both"/>
    </w:pPr>
    <w:rPr>
      <w:rFonts w:ascii="Times New Roman" w:eastAsia="BatangChe" w:hAnsi="Times New Roman" w:cs="Times New Roman"/>
      <w:kern w:val="1"/>
      <w:sz w:val="20"/>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367F54"/>
    <w:pPr>
      <w:suppressAutoHyphens w:val="0"/>
      <w:wordWrap w:val="0"/>
      <w:ind w:left="851"/>
    </w:pPr>
    <w:rPr>
      <w:kern w:val="2"/>
      <w:lang w:eastAsia="ko-KR"/>
    </w:rPr>
  </w:style>
  <w:style w:type="character" w:styleId="Seitenzahl">
    <w:name w:val="page number"/>
    <w:basedOn w:val="Absatz-Standardschriftart"/>
    <w:semiHidden/>
    <w:rsid w:val="00367F54"/>
  </w:style>
  <w:style w:type="paragraph" w:styleId="Fuzeile">
    <w:name w:val="footer"/>
    <w:basedOn w:val="Standard"/>
    <w:link w:val="FuzeileZchn"/>
    <w:rsid w:val="00367F54"/>
    <w:pPr>
      <w:tabs>
        <w:tab w:val="center" w:pos="4252"/>
        <w:tab w:val="right" w:pos="8504"/>
      </w:tabs>
      <w:snapToGrid w:val="0"/>
    </w:pPr>
  </w:style>
  <w:style w:type="character" w:customStyle="1" w:styleId="FuzeileZchn">
    <w:name w:val="Fußzeile Zchn"/>
    <w:basedOn w:val="Absatz-Standardschriftart"/>
    <w:link w:val="Fuzeile"/>
    <w:rsid w:val="00367F54"/>
    <w:rPr>
      <w:rFonts w:ascii="Times New Roman" w:eastAsia="BatangChe" w:hAnsi="Times New Roman" w:cs="Times New Roman"/>
      <w:kern w:val="1"/>
      <w:sz w:val="20"/>
      <w:szCs w:val="20"/>
      <w:lang w:val="en-US" w:eastAsia="ar-SA"/>
    </w:rPr>
  </w:style>
  <w:style w:type="paragraph" w:styleId="Textkrper2">
    <w:name w:val="Body Text 2"/>
    <w:basedOn w:val="Standard"/>
    <w:link w:val="Textkrper2Zchn"/>
    <w:semiHidden/>
    <w:rsid w:val="00367F54"/>
    <w:pPr>
      <w:spacing w:after="180" w:line="480" w:lineRule="auto"/>
    </w:pPr>
  </w:style>
  <w:style w:type="character" w:customStyle="1" w:styleId="Textkrper2Zchn">
    <w:name w:val="Textkörper 2 Zchn"/>
    <w:basedOn w:val="Absatz-Standardschriftart"/>
    <w:link w:val="Textkrper2"/>
    <w:semiHidden/>
    <w:rsid w:val="00367F54"/>
    <w:rPr>
      <w:rFonts w:ascii="Times New Roman" w:eastAsia="BatangChe" w:hAnsi="Times New Roman" w:cs="Times New Roman"/>
      <w:kern w:val="1"/>
      <w:sz w:val="20"/>
      <w:szCs w:val="20"/>
      <w:lang w:val="en-US" w:eastAsia="ar-SA"/>
    </w:rPr>
  </w:style>
  <w:style w:type="paragraph" w:styleId="Listenabsatz">
    <w:name w:val="List Paragraph"/>
    <w:basedOn w:val="Standard"/>
    <w:uiPriority w:val="34"/>
    <w:qFormat/>
    <w:rsid w:val="00367F54"/>
    <w:pPr>
      <w:ind w:leftChars="400" w:left="800"/>
    </w:pPr>
  </w:style>
  <w:style w:type="character" w:styleId="Hyperlink">
    <w:name w:val="Hyperlink"/>
    <w:rsid w:val="00367F54"/>
    <w:rPr>
      <w:color w:val="0000FF"/>
      <w:u w:val="single"/>
    </w:rPr>
  </w:style>
  <w:style w:type="paragraph" w:customStyle="1" w:styleId="desc2">
    <w:name w:val="desc2"/>
    <w:basedOn w:val="Standard"/>
    <w:rsid w:val="00367F54"/>
    <w:pPr>
      <w:widowControl/>
      <w:suppressAutoHyphens w:val="0"/>
      <w:jc w:val="left"/>
    </w:pPr>
    <w:rPr>
      <w:rFonts w:ascii="Gulim" w:eastAsia="Gulim" w:hAnsi="Gulim" w:cs="Gulim"/>
      <w:kern w:val="0"/>
      <w:sz w:val="26"/>
      <w:szCs w:val="26"/>
      <w:lang w:eastAsia="ko-KR"/>
    </w:rPr>
  </w:style>
  <w:style w:type="character" w:customStyle="1" w:styleId="jrnl">
    <w:name w:val="jrnl"/>
    <w:basedOn w:val="Absatz-Standardschriftart"/>
    <w:rsid w:val="00367F54"/>
  </w:style>
  <w:style w:type="paragraph" w:customStyle="1" w:styleId="a">
    <w:name w:val="바탕글"/>
    <w:rsid w:val="00367F54"/>
    <w:pPr>
      <w:widowControl w:val="0"/>
      <w:suppressAutoHyphens/>
      <w:autoSpaceDE w:val="0"/>
      <w:spacing w:after="0" w:line="360" w:lineRule="atLeast"/>
      <w:jc w:val="both"/>
      <w:textAlignment w:val="baseline"/>
    </w:pPr>
    <w:rPr>
      <w:rFonts w:ascii="BatangChe" w:eastAsia="BatangChe" w:hAnsi="BatangChe" w:cs="Times New Roman"/>
      <w:color w:val="000000"/>
      <w:sz w:val="20"/>
      <w:szCs w:val="20"/>
      <w:lang w:val="en-US" w:eastAsia="ar-SA"/>
    </w:rPr>
  </w:style>
  <w:style w:type="paragraph" w:customStyle="1" w:styleId="legend">
    <w:name w:val="legend"/>
    <w:basedOn w:val="Standard"/>
    <w:rsid w:val="00367F54"/>
    <w:pPr>
      <w:suppressAutoHyphens w:val="0"/>
      <w:autoSpaceDE w:val="0"/>
      <w:autoSpaceDN w:val="0"/>
      <w:adjustRightInd w:val="0"/>
      <w:snapToGrid w:val="0"/>
      <w:spacing w:line="480" w:lineRule="auto"/>
      <w:ind w:left="567" w:hanging="567"/>
      <w:textAlignment w:val="baseline"/>
    </w:pPr>
    <w:rPr>
      <w:kern w:val="0"/>
      <w:lang w:eastAsia="ko-KR"/>
    </w:rPr>
  </w:style>
  <w:style w:type="character" w:styleId="Kommentarzeichen">
    <w:name w:val="annotation reference"/>
    <w:uiPriority w:val="99"/>
    <w:unhideWhenUsed/>
    <w:rsid w:val="00367F54"/>
    <w:rPr>
      <w:sz w:val="16"/>
      <w:szCs w:val="16"/>
    </w:rPr>
  </w:style>
  <w:style w:type="paragraph" w:styleId="Kommentartext">
    <w:name w:val="annotation text"/>
    <w:basedOn w:val="Standard"/>
    <w:link w:val="KommentartextZchn"/>
    <w:uiPriority w:val="99"/>
    <w:unhideWhenUsed/>
    <w:rsid w:val="00367F54"/>
  </w:style>
  <w:style w:type="character" w:customStyle="1" w:styleId="KommentartextZchn">
    <w:name w:val="Kommentartext Zchn"/>
    <w:basedOn w:val="Absatz-Standardschriftart"/>
    <w:link w:val="Kommentartext"/>
    <w:uiPriority w:val="99"/>
    <w:rsid w:val="00367F54"/>
    <w:rPr>
      <w:rFonts w:ascii="Times New Roman" w:eastAsia="BatangChe" w:hAnsi="Times New Roman" w:cs="Times New Roman"/>
      <w:kern w:val="1"/>
      <w:sz w:val="20"/>
      <w:szCs w:val="20"/>
      <w:lang w:val="en-US" w:eastAsia="ar-SA"/>
    </w:rPr>
  </w:style>
  <w:style w:type="paragraph" w:styleId="Sprechblasentext">
    <w:name w:val="Balloon Text"/>
    <w:basedOn w:val="Standard"/>
    <w:link w:val="SprechblasentextZchn"/>
    <w:uiPriority w:val="99"/>
    <w:semiHidden/>
    <w:unhideWhenUsed/>
    <w:rsid w:val="00367F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7F54"/>
    <w:rPr>
      <w:rFonts w:ascii="Segoe UI" w:eastAsia="BatangChe" w:hAnsi="Segoe UI" w:cs="Segoe UI"/>
      <w:kern w:val="1"/>
      <w:sz w:val="18"/>
      <w:szCs w:val="18"/>
      <w:lang w:val="en-US" w:eastAsia="ar-SA"/>
    </w:rPr>
  </w:style>
  <w:style w:type="paragraph" w:styleId="Kopfzeile">
    <w:name w:val="header"/>
    <w:basedOn w:val="Standard"/>
    <w:link w:val="KopfzeileZchn"/>
    <w:uiPriority w:val="99"/>
    <w:semiHidden/>
    <w:unhideWhenUsed/>
    <w:rsid w:val="00C940FC"/>
    <w:pPr>
      <w:tabs>
        <w:tab w:val="center" w:pos="4513"/>
        <w:tab w:val="right" w:pos="9026"/>
      </w:tabs>
      <w:snapToGrid w:val="0"/>
    </w:pPr>
  </w:style>
  <w:style w:type="character" w:customStyle="1" w:styleId="KopfzeileZchn">
    <w:name w:val="Kopfzeile Zchn"/>
    <w:basedOn w:val="Absatz-Standardschriftart"/>
    <w:link w:val="Kopfzeile"/>
    <w:uiPriority w:val="99"/>
    <w:semiHidden/>
    <w:rsid w:val="00C940FC"/>
    <w:rPr>
      <w:rFonts w:ascii="Times New Roman" w:eastAsia="BatangChe" w:hAnsi="Times New Roman"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cbi.nlm.nih.gov/pubmed/151495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anks%27_sal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2038</Words>
  <Characters>12842</Characters>
  <Application>Microsoft Office Word</Application>
  <DocSecurity>0</DocSecurity>
  <Lines>107</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Saettler, Juliane</cp:lastModifiedBy>
  <cp:revision>5</cp:revision>
  <dcterms:created xsi:type="dcterms:W3CDTF">2018-06-16T00:37:00Z</dcterms:created>
  <dcterms:modified xsi:type="dcterms:W3CDTF">2018-06-21T11:44:00Z</dcterms:modified>
</cp:coreProperties>
</file>