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620"/>
      </w:tblGrid>
      <w:tr w:rsidR="008250EB" w:rsidRPr="008250EB" w:rsidTr="0014160D">
        <w:trPr>
          <w:trHeight w:val="305"/>
        </w:trPr>
        <w:tc>
          <w:tcPr>
            <w:tcW w:w="6700" w:type="dxa"/>
            <w:gridSpan w:val="2"/>
            <w:tcBorders>
              <w:top w:val="nil"/>
              <w:bottom w:val="single" w:sz="12" w:space="0" w:color="auto"/>
            </w:tcBorders>
          </w:tcPr>
          <w:p w:rsidR="008250EB" w:rsidRPr="008250EB" w:rsidRDefault="008250EB" w:rsidP="008250EB">
            <w:pPr>
              <w:spacing w:after="0" w:line="240" w:lineRule="atLeast"/>
              <w:contextualSpacing/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b/>
                <w:color w:val="000000"/>
                <w:sz w:val="24"/>
                <w:lang w:val="en-US" w:eastAsia="ko-KR"/>
              </w:rPr>
              <w:t xml:space="preserve">Supplementary e-Table </w:t>
            </w:r>
            <w:r w:rsidRPr="008250EB">
              <w:rPr>
                <w:rFonts w:ascii="Times New Roman" w:eastAsia="Malgun Gothic" w:hAnsi="Times New Roman" w:cs="Times New Roman" w:hint="eastAsia"/>
                <w:b/>
                <w:color w:val="000000"/>
                <w:sz w:val="24"/>
                <w:lang w:val="en-US" w:eastAsia="ko-KR"/>
              </w:rPr>
              <w:t>1</w:t>
            </w:r>
            <w:r w:rsidRPr="008250EB">
              <w:rPr>
                <w:rFonts w:ascii="Times New Roman" w:eastAsia="Malgun Gothic" w:hAnsi="Times New Roman" w:cs="Times New Roman"/>
                <w:b/>
                <w:color w:val="000000"/>
                <w:sz w:val="24"/>
                <w:lang w:val="en-US" w:eastAsia="ko-KR"/>
              </w:rPr>
              <w:t xml:space="preserve">. </w:t>
            </w:r>
            <w:r w:rsidRPr="008250EB">
              <w:rPr>
                <w:rFonts w:ascii="Times New Roman" w:eastAsia="Malgun Gothic" w:hAnsi="Times New Roman" w:cs="Times New Roman"/>
                <w:color w:val="000000"/>
                <w:sz w:val="24"/>
                <w:lang w:val="en-US" w:eastAsia="ko-KR"/>
              </w:rPr>
              <w:t>Search strategy</w:t>
            </w:r>
          </w:p>
        </w:tc>
      </w:tr>
      <w:tr w:rsidR="008250EB" w:rsidRPr="008250EB" w:rsidTr="0014160D">
        <w:trPr>
          <w:trHeight w:val="1572"/>
        </w:trPr>
        <w:tc>
          <w:tcPr>
            <w:tcW w:w="1080" w:type="dxa"/>
            <w:tcBorders>
              <w:top w:val="single" w:sz="12" w:space="0" w:color="auto"/>
            </w:tcBorders>
            <w:hideMark/>
          </w:tcPr>
          <w:p w:rsidR="008250EB" w:rsidRPr="008250EB" w:rsidRDefault="008250EB" w:rsidP="008250EB">
            <w:pPr>
              <w:spacing w:after="0" w:line="240" w:lineRule="atLeast"/>
              <w:contextualSpacing/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16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16"/>
                <w:lang w:val="en-US" w:eastAsia="ko-KR"/>
              </w:rPr>
              <w:t>PubMed</w:t>
            </w:r>
          </w:p>
        </w:tc>
        <w:tc>
          <w:tcPr>
            <w:tcW w:w="5620" w:type="dxa"/>
            <w:tcBorders>
              <w:top w:val="single" w:sz="12" w:space="0" w:color="auto"/>
            </w:tcBorders>
            <w:hideMark/>
          </w:tcPr>
          <w:p w:rsidR="008250EB" w:rsidRPr="008250EB" w:rsidRDefault="008250EB" w:rsidP="008250EB">
            <w:pPr>
              <w:spacing w:after="0" w:line="240" w:lineRule="atLeast"/>
              <w:contextualSpacing/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(“Amyloid”[Mesh] AND “positron emission tomography”[Mesh] OR “PET” OR “PET imaging” OR “amyloid imaging”) AND ("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florbetapir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" [Supplementary Concept] OR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florbeta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*[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tw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] OR "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flutemetamol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"[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tw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]) OR (“Pittsburgh compound B” OR “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” OR “PIB” OR “11C Pittsburgh” or “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-PET” or “11C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-PET” OR “[11C]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") AND ("clinical setting" OR "clinical settings" OR "clinic*” OR "memory clinic" OR "memory clinics" OR "clinical application" OR "clinical applications") AND (“utility”[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tw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] OR “routine”[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tw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] OR “diagnosis”[Mesh] OR “diagnostic”[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tw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])</w:t>
            </w:r>
          </w:p>
        </w:tc>
      </w:tr>
      <w:tr w:rsidR="008250EB" w:rsidRPr="008250EB" w:rsidTr="0014160D">
        <w:trPr>
          <w:trHeight w:val="1707"/>
        </w:trPr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8250EB" w:rsidRPr="008250EB" w:rsidRDefault="008250EB" w:rsidP="008250EB">
            <w:pPr>
              <w:spacing w:after="0" w:line="240" w:lineRule="atLeast"/>
              <w:contextualSpacing/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16"/>
                <w:lang w:val="en-US" w:eastAsia="ko-KR"/>
              </w:rPr>
            </w:pPr>
            <w:proofErr w:type="spellStart"/>
            <w:r w:rsidRPr="008250EB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16"/>
                <w:lang w:val="en-US" w:eastAsia="ko-KR"/>
              </w:rPr>
              <w:t>Embase</w:t>
            </w:r>
            <w:proofErr w:type="spellEnd"/>
          </w:p>
        </w:tc>
        <w:tc>
          <w:tcPr>
            <w:tcW w:w="5620" w:type="dxa"/>
            <w:tcBorders>
              <w:bottom w:val="single" w:sz="4" w:space="0" w:color="auto"/>
            </w:tcBorders>
            <w:hideMark/>
          </w:tcPr>
          <w:p w:rsidR="008250EB" w:rsidRPr="008250EB" w:rsidRDefault="008250EB" w:rsidP="008250EB">
            <w:pPr>
              <w:spacing w:after="0" w:line="240" w:lineRule="atLeast"/>
              <w:contextualSpacing/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'amyloid':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AND ('positron emission tomography':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'pet':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'pet imaging':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'imaging':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) AND ('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florbetapir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flutemetamol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florbetaben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pittsburgh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compound b':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'11c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pittsburgh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-pet':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'11c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-pet':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'[11c]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) AND ('clinical setting':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'clinical settings':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'clinic*':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'memory clinic':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'memory clinics':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'clinical application':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'clinical applications':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) AND ('utility':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'routine':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'diagnosis':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OR 'diagnostic':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ti,ab,de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) AND [2012-201</w:t>
            </w:r>
            <w:r w:rsidRPr="008250EB">
              <w:rPr>
                <w:rFonts w:ascii="Times New Roman" w:eastAsia="Malgun Gothic" w:hAnsi="Times New Roman" w:cs="Times New Roman" w:hint="eastAsia"/>
                <w:color w:val="000000"/>
                <w:sz w:val="20"/>
                <w:szCs w:val="16"/>
                <w:lang w:val="en-US" w:eastAsia="ko-KR"/>
              </w:rPr>
              <w:t>8</w:t>
            </w:r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]/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py</w:t>
            </w:r>
            <w:proofErr w:type="spellEnd"/>
          </w:p>
        </w:tc>
      </w:tr>
      <w:tr w:rsidR="008250EB" w:rsidRPr="008250EB" w:rsidTr="0014160D">
        <w:trPr>
          <w:trHeight w:val="1958"/>
        </w:trPr>
        <w:tc>
          <w:tcPr>
            <w:tcW w:w="1080" w:type="dxa"/>
            <w:tcBorders>
              <w:bottom w:val="single" w:sz="2" w:space="0" w:color="auto"/>
            </w:tcBorders>
            <w:hideMark/>
          </w:tcPr>
          <w:p w:rsidR="008250EB" w:rsidRPr="008250EB" w:rsidRDefault="008250EB" w:rsidP="008250EB">
            <w:pPr>
              <w:spacing w:after="0" w:line="240" w:lineRule="atLeast"/>
              <w:contextualSpacing/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16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b/>
                <w:color w:val="000000"/>
                <w:sz w:val="20"/>
                <w:szCs w:val="16"/>
                <w:lang w:val="en-US" w:eastAsia="ko-KR"/>
              </w:rPr>
              <w:t>Scopus</w:t>
            </w:r>
          </w:p>
        </w:tc>
        <w:tc>
          <w:tcPr>
            <w:tcW w:w="5620" w:type="dxa"/>
            <w:tcBorders>
              <w:bottom w:val="single" w:sz="2" w:space="0" w:color="auto"/>
            </w:tcBorders>
            <w:hideMark/>
          </w:tcPr>
          <w:p w:rsidR="008250EB" w:rsidRPr="008250EB" w:rsidRDefault="008250EB" w:rsidP="008250EB">
            <w:pPr>
              <w:spacing w:after="0" w:line="240" w:lineRule="atLeast"/>
              <w:contextualSpacing/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( TITLE ( "Amyloid"  AND  "positron emission tomography"  OR  "PET"  OR  "PET imaging"  OR  "amyloid imaging" )  AND  TITLE-ABS-KEY ( "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florbetapir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"  OR 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florbeta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*  OR  "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flutemetamol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"  OR  "Pittsburgh compound B"  OR  "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"  OR  "PIB"  OR  "11C Pittsburgh"  OR  "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-PET"  OR  "11C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-PET"  OR  "[11C]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PiB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" )  AND  TITLE-ABS-KEY ( "clinical setting"  OR  "clinical settings"  OR  "clinic*"  OR  "memory clinic"  OR  "memory clinics"  OR  "clinical application"  OR  "clinical applications"  OR  "utility"  OR  "routine"  OR  "diagnosis"  OR  "diagnostic"  OR  "multicenter" ) )  AND  DOCTYPE (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>ar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sz w:val="20"/>
                <w:szCs w:val="16"/>
                <w:lang w:val="en-US" w:eastAsia="ko-KR"/>
              </w:rPr>
              <w:t xml:space="preserve"> )  AND  PUBYEAR  &gt;  2011</w:t>
            </w:r>
          </w:p>
        </w:tc>
      </w:tr>
    </w:tbl>
    <w:p w:rsidR="008250EB" w:rsidRPr="008250EB" w:rsidRDefault="008250EB" w:rsidP="008250EB">
      <w:pPr>
        <w:spacing w:after="0" w:line="240" w:lineRule="atLeast"/>
        <w:contextualSpacing/>
        <w:rPr>
          <w:rFonts w:ascii="Arial" w:eastAsia="Malgun Gothic" w:hAnsi="Arial" w:cs="Arial"/>
          <w:color w:val="000000"/>
          <w:lang w:val="en-US" w:eastAsia="ko-KR"/>
        </w:rPr>
      </w:pPr>
    </w:p>
    <w:p w:rsidR="008250EB" w:rsidRPr="008250EB" w:rsidRDefault="008250EB" w:rsidP="008250EB">
      <w:pPr>
        <w:spacing w:after="0" w:line="240" w:lineRule="atLeast"/>
        <w:contextualSpacing/>
        <w:rPr>
          <w:rFonts w:ascii="Arial" w:eastAsia="Malgun Gothic" w:hAnsi="Arial" w:cs="Arial"/>
          <w:color w:val="000000"/>
          <w:lang w:val="en-US" w:eastAsia="ko-KR"/>
        </w:rPr>
      </w:pPr>
    </w:p>
    <w:p w:rsidR="008250EB" w:rsidRPr="008250EB" w:rsidRDefault="008250EB" w:rsidP="008250EB">
      <w:pPr>
        <w:spacing w:after="0" w:line="240" w:lineRule="atLeast"/>
        <w:contextualSpacing/>
        <w:rPr>
          <w:rFonts w:ascii="Arial" w:eastAsia="Malgun Gothic" w:hAnsi="Arial" w:cs="Arial"/>
          <w:color w:val="000000"/>
          <w:lang w:val="en-US" w:eastAsia="ko-KR"/>
        </w:rPr>
      </w:pPr>
    </w:p>
    <w:p w:rsidR="008250EB" w:rsidRPr="008250EB" w:rsidRDefault="008250EB" w:rsidP="008250EB">
      <w:pPr>
        <w:spacing w:after="0" w:line="276" w:lineRule="auto"/>
        <w:rPr>
          <w:rFonts w:ascii="Times New Roman" w:eastAsia="Malgun Gothic" w:hAnsi="Times New Roman" w:cs="Times New Roman"/>
          <w:b/>
          <w:color w:val="000000"/>
          <w:sz w:val="24"/>
          <w:lang w:val="en-US" w:eastAsia="ko-KR"/>
        </w:rPr>
      </w:pPr>
      <w:r w:rsidRPr="008250EB">
        <w:rPr>
          <w:rFonts w:ascii="Times New Roman" w:eastAsia="Malgun Gothic" w:hAnsi="Times New Roman" w:cs="Times New Roman"/>
          <w:b/>
          <w:color w:val="000000"/>
          <w:sz w:val="24"/>
          <w:lang w:val="en-US" w:eastAsia="ko-KR"/>
        </w:rPr>
        <w:t>Supplementary e-Table 2</w:t>
      </w:r>
      <w:r w:rsidRPr="008250EB">
        <w:rPr>
          <w:rFonts w:ascii="Times New Roman" w:eastAsia="Malgun Gothic" w:hAnsi="Times New Roman" w:cs="Times New Roman" w:hint="eastAsia"/>
          <w:b/>
          <w:color w:val="000000"/>
          <w:sz w:val="24"/>
          <w:lang w:val="en-US" w:eastAsia="ko-KR"/>
        </w:rPr>
        <w:t>. Risk of bias assessment</w:t>
      </w:r>
    </w:p>
    <w:tbl>
      <w:tblPr>
        <w:tblStyle w:val="211"/>
        <w:tblW w:w="960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4492"/>
        <w:gridCol w:w="3402"/>
      </w:tblGrid>
      <w:tr w:rsidR="008250EB" w:rsidRPr="008250EB" w:rsidTr="00825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Merge w:val="restart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4492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Sponsorship bias</w:t>
            </w:r>
          </w:p>
        </w:tc>
        <w:tc>
          <w:tcPr>
            <w:tcW w:w="3402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Selection bias</w:t>
            </w:r>
          </w:p>
        </w:tc>
      </w:tr>
    </w:tbl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714"/>
        <w:gridCol w:w="1778"/>
        <w:gridCol w:w="1842"/>
        <w:gridCol w:w="1560"/>
      </w:tblGrid>
      <w:tr w:rsidR="008250EB" w:rsidRPr="008250EB" w:rsidTr="0014160D">
        <w:trPr>
          <w:trHeight w:val="231"/>
        </w:trPr>
        <w:tc>
          <w:tcPr>
            <w:tcW w:w="1712" w:type="dxa"/>
            <w:tcBorders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b/>
                <w:color w:val="000000"/>
                <w:lang w:val="en-US" w:eastAsia="ko-KR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b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b/>
                <w:color w:val="000000"/>
                <w:lang w:val="en-US" w:eastAsia="ko-KR"/>
              </w:rPr>
              <w:t>Funding Source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b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b/>
                <w:color w:val="000000"/>
                <w:lang w:val="en-US" w:eastAsia="ko-KR"/>
              </w:rPr>
              <w:t>Possibility of sponsorship bias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b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b/>
                <w:color w:val="000000"/>
                <w:lang w:val="en-US" w:eastAsia="ko-KR"/>
              </w:rPr>
              <w:t>Patients recruited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b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b/>
                <w:color w:val="000000"/>
                <w:lang w:val="en-US" w:eastAsia="ko-KR"/>
              </w:rPr>
              <w:t>Possibility of selection bias</w:t>
            </w:r>
          </w:p>
        </w:tc>
      </w:tr>
      <w:tr w:rsidR="008250EB" w:rsidRPr="008250EB" w:rsidTr="0014160D">
        <w:tc>
          <w:tcPr>
            <w:tcW w:w="1712" w:type="dxa"/>
            <w:tcBorders>
              <w:top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Apostolova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2016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1) National Institute of Health 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2) Easton Consortium for Alzheimer’s Drug Discovery and Biomarker Development.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All comers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N</w:t>
            </w:r>
          </w:p>
        </w:tc>
      </w:tr>
    </w:tbl>
    <w:tbl>
      <w:tblPr>
        <w:tblStyle w:val="211"/>
        <w:tblW w:w="960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2714"/>
        <w:gridCol w:w="1778"/>
        <w:gridCol w:w="1842"/>
        <w:gridCol w:w="1560"/>
      </w:tblGrid>
      <w:tr w:rsidR="008250EB" w:rsidRPr="008250EB" w:rsidTr="0014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250EB">
              <w:rPr>
                <w:rFonts w:ascii="Times New Roman" w:hAnsi="Times New Roman" w:cs="Times New Roman" w:hint="eastAsia"/>
              </w:rPr>
              <w:t>Bensaidane</w:t>
            </w:r>
            <w:proofErr w:type="spellEnd"/>
            <w:r w:rsidRPr="008250EB">
              <w:rPr>
                <w:rFonts w:ascii="Times New Roman" w:hAnsi="Times New Roman" w:cs="Times New Roman" w:hint="eastAsia"/>
              </w:rPr>
              <w:t xml:space="preserve"> 2016</w:t>
            </w:r>
          </w:p>
        </w:tc>
        <w:tc>
          <w:tcPr>
            <w:tcW w:w="2714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Nothing to disclose</w:t>
            </w:r>
          </w:p>
        </w:tc>
        <w:tc>
          <w:tcPr>
            <w:tcW w:w="1778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1842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Referred patients with uncertain diagnosis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Y</w:t>
            </w:r>
          </w:p>
        </w:tc>
      </w:tr>
    </w:tbl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714"/>
        <w:gridCol w:w="1778"/>
        <w:gridCol w:w="1842"/>
        <w:gridCol w:w="1560"/>
      </w:tblGrid>
      <w:tr w:rsidR="008250EB" w:rsidRPr="008250EB" w:rsidTr="0014160D">
        <w:tc>
          <w:tcPr>
            <w:tcW w:w="1712" w:type="dxa"/>
            <w:tcBorders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Boccadi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2016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1)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Istituto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di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Ricovero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e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Cura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a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Carattere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Scientifico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(IRCCS) 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2) Centro San Giovanni di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Dio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Fatebenefratelli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lastRenderedPageBreak/>
              <w:t xml:space="preserve">3) Avid Radiopharmaceuticals, Inc.* 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(funding, provision of [18F]-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florbetapir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)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*Avid 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lastRenderedPageBreak/>
              <w:t>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Consecutive patients with cognitive impairment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N</w:t>
            </w:r>
          </w:p>
        </w:tc>
      </w:tr>
      <w:tr w:rsidR="008250EB" w:rsidRPr="008250EB" w:rsidTr="0014160D"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Brendel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2017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1) Piramal Imaging provided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florbetaben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precursor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2) Partial financial support rested on philanthropic donations to the Department of Neurology (Adrian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Danek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).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Selected patients with MCI or dementia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Y</w:t>
            </w:r>
          </w:p>
        </w:tc>
      </w:tr>
      <w:tr w:rsidR="008250EB" w:rsidRPr="008250EB" w:rsidTr="0014160D">
        <w:tc>
          <w:tcPr>
            <w:tcW w:w="1712" w:type="dxa"/>
            <w:tcBorders>
              <w:top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Carswell 2017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No specific external funding was acquired. 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U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All comers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N</w:t>
            </w:r>
          </w:p>
        </w:tc>
      </w:tr>
    </w:tbl>
    <w:tbl>
      <w:tblPr>
        <w:tblStyle w:val="211"/>
        <w:tblW w:w="960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2714"/>
        <w:gridCol w:w="1778"/>
        <w:gridCol w:w="1842"/>
        <w:gridCol w:w="1560"/>
      </w:tblGrid>
      <w:tr w:rsidR="008250EB" w:rsidRPr="008250EB" w:rsidTr="0014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250EB">
              <w:rPr>
                <w:rFonts w:ascii="Times New Roman" w:hAnsi="Times New Roman" w:cs="Times New Roman" w:hint="eastAsia"/>
              </w:rPr>
              <w:t>Ceccaldi</w:t>
            </w:r>
            <w:proofErr w:type="spellEnd"/>
            <w:r w:rsidRPr="008250EB">
              <w:rPr>
                <w:rFonts w:ascii="Times New Roman" w:hAnsi="Times New Roman" w:cs="Times New Roman" w:hint="eastAsia"/>
              </w:rPr>
              <w:t xml:space="preserve"> 2017</w:t>
            </w:r>
          </w:p>
        </w:tc>
        <w:tc>
          <w:tcPr>
            <w:tcW w:w="2714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Funded by Piramal Imaging</w:t>
            </w:r>
          </w:p>
        </w:tc>
        <w:tc>
          <w:tcPr>
            <w:tcW w:w="1778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1842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Selected p</w:t>
            </w:r>
            <w:r w:rsidRPr="008250EB">
              <w:rPr>
                <w:rFonts w:ascii="Times New Roman" w:hAnsi="Times New Roman" w:cs="Times New Roman"/>
              </w:rPr>
              <w:t xml:space="preserve">atients with most complex </w:t>
            </w:r>
            <w:r w:rsidRPr="008250EB">
              <w:rPr>
                <w:rFonts w:ascii="Times New Roman" w:hAnsi="Times New Roman" w:cs="Times New Roman" w:hint="eastAsia"/>
              </w:rPr>
              <w:t xml:space="preserve">or atypical </w:t>
            </w:r>
            <w:r w:rsidRPr="008250EB">
              <w:rPr>
                <w:rFonts w:ascii="Times New Roman" w:hAnsi="Times New Roman" w:cs="Times New Roman"/>
              </w:rPr>
              <w:t xml:space="preserve">clinical situations 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Y</w:t>
            </w:r>
          </w:p>
        </w:tc>
      </w:tr>
    </w:tbl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714"/>
        <w:gridCol w:w="1778"/>
        <w:gridCol w:w="1842"/>
        <w:gridCol w:w="1560"/>
      </w:tblGrid>
      <w:tr w:rsidR="008250EB" w:rsidRPr="008250EB" w:rsidTr="0014160D">
        <w:tc>
          <w:tcPr>
            <w:tcW w:w="171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Frederiksen 2012</w:t>
            </w:r>
          </w:p>
        </w:tc>
        <w:tc>
          <w:tcPr>
            <w:tcW w:w="2714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Nothing to disclose</w:t>
            </w:r>
          </w:p>
        </w:tc>
        <w:tc>
          <w:tcPr>
            <w:tcW w:w="1778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N</w:t>
            </w:r>
          </w:p>
        </w:tc>
        <w:tc>
          <w:tcPr>
            <w:tcW w:w="184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Referred patients with uncertain etiology</w:t>
            </w:r>
          </w:p>
        </w:tc>
        <w:tc>
          <w:tcPr>
            <w:tcW w:w="1560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Y</w:t>
            </w:r>
          </w:p>
        </w:tc>
      </w:tr>
      <w:tr w:rsidR="008250EB" w:rsidRPr="008250EB" w:rsidTr="0014160D">
        <w:tc>
          <w:tcPr>
            <w:tcW w:w="171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Grundman 2013</w:t>
            </w:r>
          </w:p>
        </w:tc>
        <w:tc>
          <w:tcPr>
            <w:tcW w:w="2714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Avid Radiopharmaceuticals.</w:t>
            </w:r>
          </w:p>
        </w:tc>
        <w:tc>
          <w:tcPr>
            <w:tcW w:w="1778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Y</w:t>
            </w:r>
          </w:p>
        </w:tc>
        <w:tc>
          <w:tcPr>
            <w:tcW w:w="184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Selected patients with a history of cognitive decline or uncertain diagnosis</w:t>
            </w:r>
          </w:p>
        </w:tc>
        <w:tc>
          <w:tcPr>
            <w:tcW w:w="1560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Y</w:t>
            </w:r>
          </w:p>
        </w:tc>
      </w:tr>
      <w:tr w:rsidR="008250EB" w:rsidRPr="008250EB" w:rsidTr="0014160D">
        <w:tc>
          <w:tcPr>
            <w:tcW w:w="171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Mitsis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2014</w:t>
            </w:r>
          </w:p>
        </w:tc>
        <w:tc>
          <w:tcPr>
            <w:tcW w:w="2714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Icahn School of Medicine Alzheimer’s Disease Research Center grant (P50 AG05138.)</w:t>
            </w:r>
          </w:p>
        </w:tc>
        <w:tc>
          <w:tcPr>
            <w:tcW w:w="1778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N</w:t>
            </w:r>
          </w:p>
        </w:tc>
        <w:tc>
          <w:tcPr>
            <w:tcW w:w="184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All comers</w:t>
            </w:r>
          </w:p>
        </w:tc>
        <w:tc>
          <w:tcPr>
            <w:tcW w:w="1560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N</w:t>
            </w:r>
          </w:p>
        </w:tc>
      </w:tr>
      <w:tr w:rsidR="008250EB" w:rsidRPr="008250EB" w:rsidTr="0014160D">
        <w:tc>
          <w:tcPr>
            <w:tcW w:w="171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Ossenkoppele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2013</w:t>
            </w:r>
          </w:p>
        </w:tc>
        <w:tc>
          <w:tcPr>
            <w:tcW w:w="2714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Performed within the framework of CTMM, the Center for Translational Molecular Medicine (www.ctmm.nl), project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LeARN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(Grant 02N-101).</w:t>
            </w:r>
          </w:p>
        </w:tc>
        <w:tc>
          <w:tcPr>
            <w:tcW w:w="1778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N</w:t>
            </w:r>
          </w:p>
        </w:tc>
        <w:tc>
          <w:tcPr>
            <w:tcW w:w="184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All comers</w:t>
            </w:r>
          </w:p>
        </w:tc>
        <w:tc>
          <w:tcPr>
            <w:tcW w:w="1560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N</w:t>
            </w:r>
          </w:p>
        </w:tc>
      </w:tr>
    </w:tbl>
    <w:tbl>
      <w:tblPr>
        <w:tblStyle w:val="211"/>
        <w:tblW w:w="9606" w:type="dxa"/>
        <w:tblBorders>
          <w:top w:val="none" w:sz="0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714"/>
        <w:gridCol w:w="1778"/>
        <w:gridCol w:w="1842"/>
        <w:gridCol w:w="1560"/>
      </w:tblGrid>
      <w:tr w:rsidR="008250EB" w:rsidRPr="008250EB" w:rsidTr="0014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250EB">
              <w:rPr>
                <w:rFonts w:ascii="Times New Roman" w:hAnsi="Times New Roman" w:cs="Times New Roman" w:hint="eastAsia"/>
              </w:rPr>
              <w:t>Pontecorvo</w:t>
            </w:r>
            <w:proofErr w:type="spellEnd"/>
            <w:r w:rsidRPr="008250EB">
              <w:rPr>
                <w:rFonts w:ascii="Times New Roman" w:hAnsi="Times New Roman" w:cs="Times New Roman" w:hint="eastAsia"/>
              </w:rPr>
              <w:t xml:space="preserve"> 2017</w:t>
            </w:r>
          </w:p>
        </w:tc>
        <w:tc>
          <w:tcPr>
            <w:tcW w:w="2714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Registered clinical trial; Some authors are employee of or affiliated with Avid, Eli Lilly, etc.</w:t>
            </w:r>
          </w:p>
        </w:tc>
        <w:tc>
          <w:tcPr>
            <w:tcW w:w="1778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842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 xml:space="preserve">Selected patients with evidence of MCI or dementia; </w:t>
            </w:r>
          </w:p>
        </w:tc>
        <w:tc>
          <w:tcPr>
            <w:tcW w:w="1560" w:type="dxa"/>
            <w:tcBorders>
              <w:bottom w:val="none" w:sz="0" w:space="0" w:color="auto"/>
            </w:tcBorders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Y</w:t>
            </w: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1712"/>
        <w:gridCol w:w="2714"/>
        <w:gridCol w:w="1778"/>
        <w:gridCol w:w="1842"/>
        <w:gridCol w:w="1560"/>
      </w:tblGrid>
      <w:tr w:rsidR="008250EB" w:rsidRPr="008250EB" w:rsidTr="0014160D">
        <w:tc>
          <w:tcPr>
            <w:tcW w:w="171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Sanchez-Juan 2014</w:t>
            </w:r>
          </w:p>
        </w:tc>
        <w:tc>
          <w:tcPr>
            <w:tcW w:w="2714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1) Institute for Formation and Research of the Foundation “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Marqués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de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Valdecilla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,” Instituto de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Salud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Carlos III; European </w:t>
            </w: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lastRenderedPageBreak/>
              <w:t xml:space="preserve">Union Joint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Programme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—Neurodegenerative Disease Research; 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2) United States NIH 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3) State of California Department of Health Services Alzheimer’s Disease Research Center of California grant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4) Alzheimer’s Association grant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5) John Douglas French Alzheimer’s Foundation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6) Hellman Family Foundation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7) Tau Consortium</w:t>
            </w: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br/>
              <w:t xml:space="preserve">Some authors are affiliated with Eli Lilly, GE, etc. </w:t>
            </w: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br/>
            </w:r>
          </w:p>
        </w:tc>
        <w:tc>
          <w:tcPr>
            <w:tcW w:w="1778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lastRenderedPageBreak/>
              <w:t>Y</w:t>
            </w:r>
          </w:p>
        </w:tc>
        <w:tc>
          <w:tcPr>
            <w:tcW w:w="184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All comers who had undergone amyloid PET assessment</w:t>
            </w:r>
          </w:p>
        </w:tc>
        <w:tc>
          <w:tcPr>
            <w:tcW w:w="1560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N</w:t>
            </w:r>
          </w:p>
        </w:tc>
      </w:tr>
    </w:tbl>
    <w:tbl>
      <w:tblPr>
        <w:tblStyle w:val="211"/>
        <w:tblW w:w="9606" w:type="dxa"/>
        <w:tblLook w:val="04A0" w:firstRow="1" w:lastRow="0" w:firstColumn="1" w:lastColumn="0" w:noHBand="0" w:noVBand="1"/>
      </w:tblPr>
      <w:tblGrid>
        <w:gridCol w:w="1712"/>
        <w:gridCol w:w="2714"/>
        <w:gridCol w:w="1778"/>
        <w:gridCol w:w="1842"/>
        <w:gridCol w:w="1560"/>
      </w:tblGrid>
      <w:tr w:rsidR="008250EB" w:rsidRPr="008250EB" w:rsidTr="0014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:rsidR="008250EB" w:rsidRPr="008250EB" w:rsidRDefault="008250EB" w:rsidP="008250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Schipke 2012</w:t>
            </w:r>
          </w:p>
        </w:tc>
        <w:tc>
          <w:tcPr>
            <w:tcW w:w="2714" w:type="dxa"/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Not provided</w:t>
            </w:r>
          </w:p>
        </w:tc>
        <w:tc>
          <w:tcPr>
            <w:tcW w:w="1778" w:type="dxa"/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U</w:t>
            </w:r>
          </w:p>
        </w:tc>
        <w:tc>
          <w:tcPr>
            <w:tcW w:w="1842" w:type="dxa"/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 xml:space="preserve">Selected patients with probable AD or healthy controls; questionnaire study </w:t>
            </w:r>
          </w:p>
        </w:tc>
        <w:tc>
          <w:tcPr>
            <w:tcW w:w="1560" w:type="dxa"/>
          </w:tcPr>
          <w:p w:rsidR="008250EB" w:rsidRPr="008250EB" w:rsidRDefault="008250EB" w:rsidP="008250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Y</w:t>
            </w:r>
          </w:p>
        </w:tc>
      </w:tr>
      <w:tr w:rsidR="008250EB" w:rsidRPr="008250EB" w:rsidTr="001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:rsidR="008250EB" w:rsidRPr="008250EB" w:rsidRDefault="008250EB" w:rsidP="008250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>Weston 2016</w:t>
            </w:r>
          </w:p>
        </w:tc>
        <w:tc>
          <w:tcPr>
            <w:tcW w:w="2714" w:type="dxa"/>
          </w:tcPr>
          <w:p w:rsidR="008250EB" w:rsidRPr="008250EB" w:rsidRDefault="008250EB" w:rsidP="00825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>1) Wolfson Foundation</w:t>
            </w:r>
          </w:p>
          <w:p w:rsidR="008250EB" w:rsidRPr="008250EB" w:rsidRDefault="008250EB" w:rsidP="00825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>2) NIHR Queen Square Dementia BRU, UCL/H Biomedical Research Centre</w:t>
            </w:r>
          </w:p>
          <w:p w:rsidR="008250EB" w:rsidRPr="008250EB" w:rsidRDefault="008250EB" w:rsidP="00825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>3) UCL ECMC</w:t>
            </w:r>
          </w:p>
          <w:p w:rsidR="008250EB" w:rsidRPr="008250EB" w:rsidRDefault="008250EB" w:rsidP="00825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 xml:space="preserve">4) Alzheimer’s Research UK </w:t>
            </w:r>
          </w:p>
          <w:p w:rsidR="008250EB" w:rsidRPr="008250EB" w:rsidRDefault="008250EB" w:rsidP="00825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 xml:space="preserve">*AVID Radiopharmaceuticals provided </w:t>
            </w:r>
            <w:proofErr w:type="spellStart"/>
            <w:r w:rsidRPr="008250EB">
              <w:rPr>
                <w:rFonts w:ascii="Times New Roman" w:hAnsi="Times New Roman" w:cs="Times New Roman"/>
              </w:rPr>
              <w:t>florbetapir</w:t>
            </w:r>
            <w:proofErr w:type="spellEnd"/>
            <w:r w:rsidRPr="008250EB">
              <w:rPr>
                <w:rFonts w:ascii="Times New Roman" w:hAnsi="Times New Roman" w:cs="Times New Roman"/>
              </w:rPr>
              <w:t xml:space="preserve"> ligand </w:t>
            </w:r>
          </w:p>
        </w:tc>
        <w:tc>
          <w:tcPr>
            <w:tcW w:w="1778" w:type="dxa"/>
          </w:tcPr>
          <w:p w:rsidR="008250EB" w:rsidRPr="008250EB" w:rsidRDefault="008250EB" w:rsidP="00825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842" w:type="dxa"/>
          </w:tcPr>
          <w:p w:rsidR="008250EB" w:rsidRPr="008250EB" w:rsidRDefault="008250EB" w:rsidP="00825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 w:hint="eastAsia"/>
              </w:rPr>
              <w:t>All comers with previous assessment with CSF</w:t>
            </w:r>
          </w:p>
        </w:tc>
        <w:tc>
          <w:tcPr>
            <w:tcW w:w="1560" w:type="dxa"/>
          </w:tcPr>
          <w:p w:rsidR="008250EB" w:rsidRPr="008250EB" w:rsidRDefault="008250EB" w:rsidP="008250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>Y</w:t>
            </w: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1712"/>
        <w:gridCol w:w="2714"/>
        <w:gridCol w:w="1778"/>
        <w:gridCol w:w="1842"/>
        <w:gridCol w:w="1560"/>
      </w:tblGrid>
      <w:tr w:rsidR="008250EB" w:rsidRPr="008250EB" w:rsidTr="0014160D">
        <w:tc>
          <w:tcPr>
            <w:tcW w:w="171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Zwan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2017</w:t>
            </w:r>
          </w:p>
        </w:tc>
        <w:tc>
          <w:tcPr>
            <w:tcW w:w="2714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1) Dutch Alzheimer’s Society </w:t>
            </w:r>
          </w:p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2) Unrestricted grant of GE Healthcare to the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Stichting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 Alzheimer &amp; </w:t>
            </w:r>
            <w:proofErr w:type="spellStart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Neuropsychiatrie</w:t>
            </w:r>
            <w:proofErr w:type="spellEnd"/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 xml:space="preserve">, Amsterdam. </w:t>
            </w:r>
          </w:p>
        </w:tc>
        <w:tc>
          <w:tcPr>
            <w:tcW w:w="1778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  <w:t>Y</w:t>
            </w:r>
          </w:p>
        </w:tc>
        <w:tc>
          <w:tcPr>
            <w:tcW w:w="1842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Patients with mild or early-onset dementia</w:t>
            </w:r>
          </w:p>
        </w:tc>
        <w:tc>
          <w:tcPr>
            <w:tcW w:w="1560" w:type="dxa"/>
          </w:tcPr>
          <w:p w:rsidR="008250EB" w:rsidRPr="008250EB" w:rsidRDefault="008250EB" w:rsidP="008250EB">
            <w:pPr>
              <w:spacing w:after="0" w:line="276" w:lineRule="auto"/>
              <w:rPr>
                <w:rFonts w:ascii="Times New Roman" w:eastAsia="Malgun Gothic" w:hAnsi="Times New Roman" w:cs="Times New Roman"/>
                <w:color w:val="000000"/>
                <w:lang w:val="en-US" w:eastAsia="ko-KR"/>
              </w:rPr>
            </w:pPr>
            <w:r w:rsidRPr="008250EB">
              <w:rPr>
                <w:rFonts w:ascii="Times New Roman" w:eastAsia="Malgun Gothic" w:hAnsi="Times New Roman" w:cs="Times New Roman" w:hint="eastAsia"/>
                <w:color w:val="000000"/>
                <w:lang w:val="en-US" w:eastAsia="ko-KR"/>
              </w:rPr>
              <w:t>Y</w:t>
            </w:r>
          </w:p>
        </w:tc>
      </w:tr>
    </w:tbl>
    <w:tbl>
      <w:tblPr>
        <w:tblStyle w:val="21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250EB" w:rsidRPr="008250EB" w:rsidTr="0014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8250EB" w:rsidRPr="008250EB" w:rsidRDefault="008250EB" w:rsidP="008250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50EB">
              <w:rPr>
                <w:rFonts w:ascii="Times New Roman" w:hAnsi="Times New Roman" w:cs="Times New Roman"/>
              </w:rPr>
              <w:t>Y = yes, N = no, U = unclear</w:t>
            </w:r>
          </w:p>
        </w:tc>
      </w:tr>
    </w:tbl>
    <w:p w:rsidR="008250EB" w:rsidRPr="008250EB" w:rsidRDefault="008250EB" w:rsidP="008250EB">
      <w:pPr>
        <w:spacing w:after="0" w:line="276" w:lineRule="auto"/>
        <w:rPr>
          <w:rFonts w:ascii="Arial" w:eastAsia="Malgun Gothic" w:hAnsi="Arial" w:cs="Arial"/>
          <w:color w:val="000000"/>
          <w:lang w:val="en-US" w:eastAsia="ko-KR"/>
        </w:rPr>
      </w:pPr>
    </w:p>
    <w:p w:rsidR="00EE3915" w:rsidRPr="008250EB" w:rsidRDefault="008250EB">
      <w:pPr>
        <w:rPr>
          <w:lang w:val="en-US"/>
        </w:rPr>
      </w:pPr>
      <w:bookmarkStart w:id="0" w:name="_GoBack"/>
      <w:bookmarkEnd w:id="0"/>
    </w:p>
    <w:sectPr w:rsidR="00EE3915" w:rsidRPr="00825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EB"/>
    <w:rsid w:val="00217DC4"/>
    <w:rsid w:val="008250EB"/>
    <w:rsid w:val="00AA3DF9"/>
    <w:rsid w:val="00E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B0369F-A084-4805-92D2-91A1A362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211">
    <w:name w:val="일반 표 211"/>
    <w:basedOn w:val="NormaleTabelle"/>
    <w:uiPriority w:val="42"/>
    <w:rsid w:val="008250EB"/>
    <w:pPr>
      <w:spacing w:after="0" w:line="240" w:lineRule="auto"/>
    </w:pPr>
    <w:rPr>
      <w:rFonts w:ascii="Arial" w:eastAsia="Malgun Gothic" w:hAnsi="Arial" w:cs="Arial"/>
      <w:color w:val="000000"/>
      <w:lang w:val="en-US" w:eastAsia="ko-K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Sebuk</dc:creator>
  <cp:keywords/>
  <dc:description/>
  <cp:lastModifiedBy>Tanja Sebuk</cp:lastModifiedBy>
  <cp:revision>1</cp:revision>
  <dcterms:created xsi:type="dcterms:W3CDTF">2018-07-20T09:28:00Z</dcterms:created>
  <dcterms:modified xsi:type="dcterms:W3CDTF">2018-07-20T09:29:00Z</dcterms:modified>
</cp:coreProperties>
</file>