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102E" w14:textId="77777777" w:rsidR="00D2030F" w:rsidRPr="00D56130" w:rsidRDefault="00D2030F" w:rsidP="00D2030F">
      <w:pPr>
        <w:pStyle w:val="ACCNormal"/>
        <w:jc w:val="center"/>
        <w:rPr>
          <w:rFonts w:cstheme="minorHAnsi"/>
          <w:b/>
        </w:rPr>
      </w:pPr>
      <w:r w:rsidRPr="00D56130">
        <w:rPr>
          <w:rFonts w:cstheme="minorHAnsi"/>
          <w:b/>
        </w:rPr>
        <w:t>Non-antibiotic herbal therapy (BNO 1045) versus antibiotic therapy (fosfomycin trometamol) for the treatment of acute lower uncomplicated urinary tract infections in women: A double-blind, parallel-group, randomized, multicentre, non-inferiority Phase</w:t>
      </w:r>
      <w:r w:rsidRPr="00CD2529">
        <w:rPr>
          <w:rFonts w:cstheme="minorHAnsi"/>
          <w:b/>
        </w:rPr>
        <w:t> </w:t>
      </w:r>
      <w:r w:rsidRPr="00D56130">
        <w:rPr>
          <w:rFonts w:cstheme="minorHAnsi"/>
          <w:b/>
        </w:rPr>
        <w:t>III</w:t>
      </w:r>
      <w:r w:rsidRPr="00CD2529">
        <w:rPr>
          <w:rFonts w:cstheme="minorHAnsi"/>
          <w:b/>
        </w:rPr>
        <w:t> </w:t>
      </w:r>
      <w:r w:rsidRPr="00D56130">
        <w:rPr>
          <w:rFonts w:cstheme="minorHAnsi"/>
          <w:b/>
        </w:rPr>
        <w:t>trial</w:t>
      </w:r>
    </w:p>
    <w:p w14:paraId="1395857D" w14:textId="36CA4A5A" w:rsidR="00D2030F" w:rsidRPr="00D2030F" w:rsidRDefault="00D2030F" w:rsidP="00D2030F">
      <w:pPr>
        <w:pStyle w:val="ACCNormal"/>
        <w:jc w:val="center"/>
        <w:rPr>
          <w:rFonts w:cstheme="minorHAnsi"/>
          <w:b/>
        </w:rPr>
      </w:pPr>
      <w:r w:rsidRPr="00D2030F">
        <w:rPr>
          <w:rFonts w:cstheme="minorHAnsi"/>
          <w:b/>
        </w:rPr>
        <w:t>Supplementary Material</w:t>
      </w:r>
    </w:p>
    <w:p w14:paraId="3E70CE33" w14:textId="77777777" w:rsidR="00D2030F" w:rsidRPr="00CD2529" w:rsidRDefault="00D2030F" w:rsidP="00D2030F">
      <w:pPr>
        <w:pStyle w:val="ACCNormal"/>
        <w:jc w:val="center"/>
        <w:rPr>
          <w:rFonts w:cstheme="minorHAnsi"/>
        </w:rPr>
      </w:pPr>
    </w:p>
    <w:p w14:paraId="6A2EB88A" w14:textId="77777777" w:rsidR="00D2030F" w:rsidRPr="00D56130" w:rsidRDefault="00D2030F" w:rsidP="00D2030F">
      <w:pPr>
        <w:rPr>
          <w:rFonts w:cstheme="minorHAnsi"/>
          <w:b/>
          <w:vertAlign w:val="superscript"/>
        </w:rPr>
      </w:pPr>
      <w:r w:rsidRPr="00D56130">
        <w:rPr>
          <w:rFonts w:cstheme="minorHAnsi"/>
          <w:b/>
        </w:rPr>
        <w:t>Florian</w:t>
      </w:r>
      <w:r>
        <w:rPr>
          <w:rFonts w:cstheme="minorHAnsi"/>
          <w:b/>
        </w:rPr>
        <w:t xml:space="preserve"> M.</w:t>
      </w:r>
      <w:r w:rsidRPr="00D56130">
        <w:rPr>
          <w:rFonts w:cstheme="minorHAnsi"/>
          <w:b/>
        </w:rPr>
        <w:t xml:space="preserve"> </w:t>
      </w:r>
      <w:proofErr w:type="spellStart"/>
      <w:r w:rsidRPr="00D56130">
        <w:rPr>
          <w:rFonts w:cstheme="minorHAnsi"/>
          <w:b/>
        </w:rPr>
        <w:t>Wagenlehner</w:t>
      </w:r>
      <w:r w:rsidRPr="00D56130">
        <w:rPr>
          <w:rFonts w:cstheme="minorHAnsi"/>
          <w:b/>
          <w:vertAlign w:val="superscript"/>
        </w:rPr>
        <w:t>a</w:t>
      </w:r>
      <w:proofErr w:type="spellEnd"/>
      <w:r w:rsidRPr="00D56130">
        <w:rPr>
          <w:rFonts w:cstheme="minorHAnsi"/>
          <w:b/>
        </w:rPr>
        <w:t xml:space="preserve"> </w:t>
      </w:r>
      <w:r w:rsidRPr="00D56130">
        <w:rPr>
          <w:rFonts w:cstheme="minorHAnsi"/>
          <w:b/>
        </w:rPr>
        <w:br/>
        <w:t>Dimitri Abramov-</w:t>
      </w:r>
      <w:proofErr w:type="spellStart"/>
      <w:r w:rsidRPr="00D56130">
        <w:rPr>
          <w:rFonts w:cstheme="minorHAnsi"/>
          <w:b/>
        </w:rPr>
        <w:t>Sommariva</w:t>
      </w:r>
      <w:r w:rsidRPr="00D56130">
        <w:rPr>
          <w:rFonts w:cstheme="minorHAnsi"/>
          <w:b/>
          <w:vertAlign w:val="superscript"/>
        </w:rPr>
        <w:t>b</w:t>
      </w:r>
      <w:proofErr w:type="spellEnd"/>
      <w:r w:rsidRPr="00D56130">
        <w:rPr>
          <w:rFonts w:cstheme="minorHAnsi"/>
          <w:b/>
        </w:rPr>
        <w:t xml:space="preserve"> </w:t>
      </w:r>
      <w:r w:rsidRPr="00D56130">
        <w:rPr>
          <w:rFonts w:cstheme="minorHAnsi"/>
          <w:b/>
        </w:rPr>
        <w:br/>
        <w:t xml:space="preserve">Martina </w:t>
      </w:r>
      <w:proofErr w:type="spellStart"/>
      <w:r w:rsidRPr="00D56130">
        <w:rPr>
          <w:rFonts w:cstheme="minorHAnsi"/>
          <w:b/>
        </w:rPr>
        <w:t>Höller</w:t>
      </w:r>
      <w:r w:rsidRPr="00D56130">
        <w:rPr>
          <w:rFonts w:cstheme="minorHAnsi"/>
          <w:b/>
          <w:vertAlign w:val="superscript"/>
        </w:rPr>
        <w:t>b</w:t>
      </w:r>
      <w:proofErr w:type="spellEnd"/>
      <w:r w:rsidRPr="00D56130">
        <w:rPr>
          <w:rFonts w:cstheme="minorHAnsi"/>
          <w:b/>
        </w:rPr>
        <w:t xml:space="preserve"> </w:t>
      </w:r>
      <w:r w:rsidRPr="00D56130">
        <w:rPr>
          <w:rFonts w:cstheme="minorHAnsi"/>
          <w:b/>
        </w:rPr>
        <w:br/>
        <w:t xml:space="preserve">Hubert </w:t>
      </w:r>
      <w:proofErr w:type="spellStart"/>
      <w:r w:rsidRPr="00D56130">
        <w:rPr>
          <w:rFonts w:cstheme="minorHAnsi"/>
          <w:b/>
        </w:rPr>
        <w:t>Steindl</w:t>
      </w:r>
      <w:r w:rsidRPr="00D56130">
        <w:rPr>
          <w:rFonts w:cstheme="minorHAnsi"/>
          <w:b/>
          <w:vertAlign w:val="superscript"/>
        </w:rPr>
        <w:t>b</w:t>
      </w:r>
      <w:proofErr w:type="spellEnd"/>
      <w:r w:rsidRPr="00D56130">
        <w:rPr>
          <w:rFonts w:cstheme="minorHAnsi"/>
          <w:b/>
        </w:rPr>
        <w:t xml:space="preserve"> </w:t>
      </w:r>
      <w:r w:rsidRPr="00D56130">
        <w:rPr>
          <w:rFonts w:cstheme="minorHAnsi"/>
          <w:b/>
        </w:rPr>
        <w:br/>
        <w:t>Kurt G</w:t>
      </w:r>
      <w:r>
        <w:rPr>
          <w:rFonts w:cstheme="minorHAnsi"/>
          <w:b/>
        </w:rPr>
        <w:t>.</w:t>
      </w:r>
      <w:r w:rsidRPr="00D56130">
        <w:rPr>
          <w:rFonts w:cstheme="minorHAnsi"/>
          <w:b/>
        </w:rPr>
        <w:t xml:space="preserve"> </w:t>
      </w:r>
      <w:proofErr w:type="spellStart"/>
      <w:r w:rsidRPr="00D56130">
        <w:rPr>
          <w:rFonts w:cstheme="minorHAnsi"/>
          <w:b/>
        </w:rPr>
        <w:t>Naber</w:t>
      </w:r>
      <w:r w:rsidRPr="00D56130">
        <w:rPr>
          <w:rFonts w:cstheme="minorHAnsi"/>
          <w:b/>
          <w:vertAlign w:val="superscript"/>
        </w:rPr>
        <w:t>c</w:t>
      </w:r>
      <w:proofErr w:type="spellEnd"/>
    </w:p>
    <w:p w14:paraId="1D6A85D0" w14:textId="77777777" w:rsidR="00D2030F" w:rsidRPr="00D56130" w:rsidRDefault="00D2030F" w:rsidP="00D2030F">
      <w:pPr>
        <w:spacing w:after="0"/>
        <w:rPr>
          <w:rFonts w:cstheme="minorHAnsi"/>
        </w:rPr>
      </w:pPr>
      <w:bookmarkStart w:id="0" w:name="_Hlk511728126"/>
      <w:proofErr w:type="spellStart"/>
      <w:r w:rsidRPr="00D56130">
        <w:rPr>
          <w:rFonts w:cstheme="minorHAnsi"/>
          <w:vertAlign w:val="superscript"/>
        </w:rPr>
        <w:t>a</w:t>
      </w:r>
      <w:r w:rsidRPr="00D56130">
        <w:rPr>
          <w:rFonts w:cstheme="minorHAnsi"/>
        </w:rPr>
        <w:t>Clinic</w:t>
      </w:r>
      <w:proofErr w:type="spellEnd"/>
      <w:r w:rsidRPr="00D56130">
        <w:rPr>
          <w:rFonts w:cstheme="minorHAnsi"/>
        </w:rPr>
        <w:t xml:space="preserve"> for Urology, Pediatric Urology and Andrology, Justus-Liebig University, Giessen, Rudolf-Buchheim-Straße 7, 35392 Giessen, Germany; </w:t>
      </w:r>
    </w:p>
    <w:p w14:paraId="1A9C43D2" w14:textId="77777777" w:rsidR="00D2030F" w:rsidRPr="00D56130" w:rsidRDefault="00D2030F" w:rsidP="00D2030F">
      <w:pPr>
        <w:spacing w:after="0"/>
        <w:rPr>
          <w:rFonts w:cstheme="minorHAnsi"/>
          <w:lang w:val="de-DE"/>
        </w:rPr>
      </w:pPr>
      <w:r w:rsidRPr="00D56130">
        <w:rPr>
          <w:rFonts w:cstheme="minorHAnsi"/>
          <w:vertAlign w:val="superscript"/>
          <w:lang w:val="de-DE"/>
        </w:rPr>
        <w:t>b</w:t>
      </w:r>
      <w:r w:rsidRPr="00D56130">
        <w:rPr>
          <w:rFonts w:cstheme="minorHAnsi"/>
          <w:lang w:val="de-DE"/>
        </w:rPr>
        <w:t xml:space="preserve">Bionorica SE, Kerschensteinerstr. 11–15, 92318 Neumarkt, Germany; </w:t>
      </w:r>
    </w:p>
    <w:p w14:paraId="77E29F29" w14:textId="77777777" w:rsidR="00D2030F" w:rsidRPr="00D56130" w:rsidRDefault="00D2030F" w:rsidP="00D2030F">
      <w:pPr>
        <w:spacing w:after="0"/>
        <w:rPr>
          <w:rFonts w:cstheme="minorHAnsi"/>
        </w:rPr>
      </w:pPr>
      <w:proofErr w:type="spellStart"/>
      <w:r w:rsidRPr="00D56130">
        <w:rPr>
          <w:rFonts w:cstheme="minorHAnsi"/>
          <w:vertAlign w:val="superscript"/>
        </w:rPr>
        <w:t>c</w:t>
      </w:r>
      <w:r w:rsidRPr="00D56130">
        <w:rPr>
          <w:rFonts w:cstheme="minorHAnsi"/>
        </w:rPr>
        <w:t>Technical</w:t>
      </w:r>
      <w:proofErr w:type="spellEnd"/>
      <w:r w:rsidRPr="00D56130">
        <w:rPr>
          <w:rFonts w:cstheme="minorHAnsi"/>
        </w:rPr>
        <w:t xml:space="preserve"> University of Munich, PA: Karl-Bickleder Street 44c, 94315 Straubing, Germany.</w:t>
      </w:r>
    </w:p>
    <w:bookmarkEnd w:id="0"/>
    <w:p w14:paraId="6264F888" w14:textId="77777777" w:rsidR="00D2030F" w:rsidRPr="00D56130" w:rsidRDefault="00D2030F" w:rsidP="00D2030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49CB171" w14:textId="0A005248" w:rsidR="00585664" w:rsidRDefault="00D2030F" w:rsidP="00D2030F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D56130">
        <w:rPr>
          <w:rFonts w:cstheme="minorHAnsi"/>
          <w:b/>
        </w:rPr>
        <w:t>Corresponding author:</w:t>
      </w:r>
      <w:r w:rsidRPr="00CD2529"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</w:r>
      <w:r w:rsidRPr="00D56130">
        <w:rPr>
          <w:rFonts w:cstheme="minorHAnsi"/>
        </w:rPr>
        <w:t>Professor</w:t>
      </w:r>
      <w:r w:rsidRPr="00CD2529">
        <w:rPr>
          <w:rFonts w:cstheme="minorHAnsi"/>
          <w:b/>
        </w:rPr>
        <w:t xml:space="preserve"> </w:t>
      </w:r>
      <w:r w:rsidRPr="00D56130">
        <w:rPr>
          <w:rFonts w:cstheme="minorHAnsi"/>
        </w:rPr>
        <w:t>Florian M. Wagenlehner</w:t>
      </w:r>
      <w:r>
        <w:rPr>
          <w:rFonts w:cstheme="minorHAnsi"/>
        </w:rPr>
        <w:br/>
      </w:r>
      <w:r w:rsidRPr="00D56130">
        <w:rPr>
          <w:rFonts w:cstheme="minorHAnsi"/>
        </w:rPr>
        <w:t>Clinic for Urology, Pediatric Urology and Andrology, Justus-Liebig University, Giessen, Rudolf-Buchheim-Straße 7, 35392 Giessen</w:t>
      </w:r>
      <w:r>
        <w:rPr>
          <w:rFonts w:cstheme="minorHAnsi"/>
        </w:rPr>
        <w:t xml:space="preserve"> (</w:t>
      </w:r>
      <w:r w:rsidRPr="00D56130">
        <w:rPr>
          <w:rFonts w:cstheme="minorHAnsi"/>
        </w:rPr>
        <w:t>Germany</w:t>
      </w:r>
      <w:r>
        <w:rPr>
          <w:rFonts w:cstheme="minorHAnsi"/>
        </w:rPr>
        <w:t>)</w:t>
      </w:r>
      <w:r w:rsidRPr="00D56130">
        <w:rPr>
          <w:rFonts w:cstheme="minorHAnsi"/>
        </w:rPr>
        <w:br/>
        <w:t>E</w:t>
      </w:r>
      <w:r>
        <w:rPr>
          <w:rFonts w:cstheme="minorHAnsi"/>
        </w:rPr>
        <w:t>-M</w:t>
      </w:r>
      <w:r w:rsidRPr="00D56130">
        <w:rPr>
          <w:rFonts w:cstheme="minorHAnsi"/>
        </w:rPr>
        <w:t>ail</w:t>
      </w:r>
      <w:r>
        <w:rPr>
          <w:rFonts w:cstheme="minorHAnsi"/>
        </w:rPr>
        <w:t xml:space="preserve"> </w:t>
      </w:r>
      <w:r w:rsidRPr="00D56130">
        <w:rPr>
          <w:rFonts w:cstheme="minorHAnsi"/>
        </w:rPr>
        <w:t>Florian.Wagenlehner@chiru.med.uni-giessen.de</w:t>
      </w:r>
    </w:p>
    <w:p w14:paraId="73AB9A2C" w14:textId="77777777" w:rsidR="00585664" w:rsidRDefault="00585664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2B76EF48" w14:textId="085DD263" w:rsidR="007B1977" w:rsidRPr="00D2030F" w:rsidRDefault="00D2030F" w:rsidP="006C49CA">
      <w:pPr>
        <w:pStyle w:val="ACCNormal"/>
        <w:rPr>
          <w:b/>
        </w:rPr>
      </w:pPr>
      <w:r w:rsidRPr="00D2030F">
        <w:rPr>
          <w:b/>
        </w:rPr>
        <w:lastRenderedPageBreak/>
        <w:t>Supplementary Figure 1: Study Design</w:t>
      </w:r>
    </w:p>
    <w:p w14:paraId="6B40ACC0" w14:textId="77777777" w:rsidR="00450E4A" w:rsidRPr="00450E4A" w:rsidRDefault="00450E4A" w:rsidP="006344FB"/>
    <w:p w14:paraId="1C6D2E10" w14:textId="5EFAE9C7" w:rsidR="007B1977" w:rsidRPr="007B1977" w:rsidRDefault="007F7C1E" w:rsidP="007B1977">
      <w:r>
        <w:rPr>
          <w:noProof/>
          <w:lang w:val="de-DE" w:eastAsia="de-DE"/>
        </w:rPr>
        <w:drawing>
          <wp:inline distT="0" distB="0" distL="0" distR="0" wp14:anchorId="1FB35C63" wp14:editId="724A84AD">
            <wp:extent cx="6284522" cy="2400241"/>
            <wp:effectExtent l="0" t="0" r="0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486" cy="241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18FA0" w14:textId="11C0B4C1" w:rsidR="00E435BB" w:rsidRPr="00D540AC" w:rsidRDefault="00F9317F" w:rsidP="00E435BB">
      <w:r>
        <w:t>F</w:t>
      </w:r>
      <w:r w:rsidR="00E435BB">
        <w:t>T: fosfomycin trometamol; V: visit.</w:t>
      </w:r>
      <w:r w:rsidR="00E435BB" w:rsidRPr="00D540AC" w:rsidDel="00A21EEB">
        <w:t xml:space="preserve"> </w:t>
      </w:r>
    </w:p>
    <w:p w14:paraId="345404EC" w14:textId="77777777" w:rsidR="00CB2954" w:rsidRDefault="00CB2954">
      <w:r>
        <w:br w:type="page"/>
      </w:r>
    </w:p>
    <w:p w14:paraId="49ED73ED" w14:textId="658C0EA3" w:rsidR="00CB2954" w:rsidRPr="006C49CA" w:rsidRDefault="00547E3C" w:rsidP="006C49CA">
      <w:pPr>
        <w:pStyle w:val="ACCNormal"/>
      </w:pPr>
      <w:bookmarkStart w:id="1" w:name="_Toc514925606"/>
      <w:r w:rsidRPr="006C49CA">
        <w:lastRenderedPageBreak/>
        <w:t>SCHEDULE OF STUDY ASSESSMENTS</w:t>
      </w:r>
      <w:bookmarkEnd w:id="1"/>
    </w:p>
    <w:p w14:paraId="4E9F2B9A" w14:textId="77777777" w:rsidR="00CB2954" w:rsidRPr="00D2030F" w:rsidRDefault="00CB2954" w:rsidP="00547E3C">
      <w:pPr>
        <w:pStyle w:val="ACCNormal"/>
        <w:rPr>
          <w:sz w:val="10"/>
          <w:szCs w:val="10"/>
        </w:rPr>
      </w:pPr>
      <w:bookmarkStart w:id="2" w:name="_GoBack"/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9"/>
        <w:gridCol w:w="1151"/>
        <w:gridCol w:w="1152"/>
        <w:gridCol w:w="1152"/>
        <w:gridCol w:w="1152"/>
        <w:gridCol w:w="1150"/>
      </w:tblGrid>
      <w:tr w:rsidR="00462D2D" w14:paraId="3A782376" w14:textId="77777777" w:rsidTr="00462D2D">
        <w:tc>
          <w:tcPr>
            <w:tcW w:w="1807" w:type="pct"/>
            <w:vMerge w:val="restart"/>
            <w:vAlign w:val="center"/>
          </w:tcPr>
          <w:p w14:paraId="1A4EBEE4" w14:textId="7C012E6E" w:rsidR="00462D2D" w:rsidRDefault="00462D2D" w:rsidP="00462D2D">
            <w:r>
              <w:t>Assessments</w:t>
            </w:r>
          </w:p>
        </w:tc>
        <w:tc>
          <w:tcPr>
            <w:tcW w:w="1916" w:type="pct"/>
            <w:gridSpan w:val="3"/>
            <w:vAlign w:val="center"/>
          </w:tcPr>
          <w:p w14:paraId="2DD08CC5" w14:textId="4171C1CC" w:rsidR="00462D2D" w:rsidRDefault="00462D2D" w:rsidP="00462D2D">
            <w:pPr>
              <w:jc w:val="center"/>
            </w:pPr>
            <w:r>
              <w:t>Treatment</w:t>
            </w:r>
          </w:p>
        </w:tc>
        <w:tc>
          <w:tcPr>
            <w:tcW w:w="639" w:type="pct"/>
            <w:vAlign w:val="center"/>
          </w:tcPr>
          <w:p w14:paraId="34B52F1E" w14:textId="3C694692" w:rsidR="00462D2D" w:rsidRDefault="00462D2D" w:rsidP="00462D2D">
            <w:pPr>
              <w:jc w:val="center"/>
            </w:pPr>
            <w:r>
              <w:t>Follow-up</w:t>
            </w:r>
          </w:p>
        </w:tc>
        <w:tc>
          <w:tcPr>
            <w:tcW w:w="638" w:type="pct"/>
            <w:vMerge w:val="restart"/>
            <w:vAlign w:val="center"/>
          </w:tcPr>
          <w:p w14:paraId="25DD6BAA" w14:textId="1700C769" w:rsidR="00462D2D" w:rsidRPr="00462D2D" w:rsidRDefault="00462D2D" w:rsidP="00462D2D">
            <w:pPr>
              <w:jc w:val="center"/>
              <w:rPr>
                <w:vertAlign w:val="superscript"/>
              </w:rPr>
            </w:pPr>
            <w:r>
              <w:t>UV</w:t>
            </w:r>
            <w:r>
              <w:rPr>
                <w:vertAlign w:val="superscript"/>
              </w:rPr>
              <w:t>2</w:t>
            </w:r>
          </w:p>
        </w:tc>
      </w:tr>
      <w:tr w:rsidR="00462D2D" w14:paraId="0BA52B0F" w14:textId="77777777" w:rsidTr="00462D2D">
        <w:tc>
          <w:tcPr>
            <w:tcW w:w="1807" w:type="pct"/>
            <w:vMerge/>
          </w:tcPr>
          <w:p w14:paraId="2A4A377A" w14:textId="77777777" w:rsidR="00462D2D" w:rsidRDefault="00462D2D" w:rsidP="00A256A0"/>
        </w:tc>
        <w:tc>
          <w:tcPr>
            <w:tcW w:w="638" w:type="pct"/>
            <w:vAlign w:val="center"/>
          </w:tcPr>
          <w:p w14:paraId="7C3F0794" w14:textId="6EEAA6CE" w:rsidR="00462D2D" w:rsidRDefault="00462D2D" w:rsidP="00462D2D">
            <w:pPr>
              <w:jc w:val="center"/>
            </w:pPr>
            <w:r>
              <w:t>Visit 1</w:t>
            </w:r>
          </w:p>
        </w:tc>
        <w:tc>
          <w:tcPr>
            <w:tcW w:w="639" w:type="pct"/>
            <w:vAlign w:val="center"/>
          </w:tcPr>
          <w:p w14:paraId="1912A4D1" w14:textId="545F36F5" w:rsidR="00462D2D" w:rsidRPr="00462D2D" w:rsidRDefault="00462D2D" w:rsidP="00462D2D">
            <w:pPr>
              <w:jc w:val="center"/>
              <w:rPr>
                <w:vertAlign w:val="superscript"/>
              </w:rPr>
            </w:pPr>
            <w:r>
              <w:t>Visit 2</w:t>
            </w:r>
            <w:r>
              <w:rPr>
                <w:vertAlign w:val="superscript"/>
              </w:rPr>
              <w:t>1</w:t>
            </w:r>
          </w:p>
        </w:tc>
        <w:tc>
          <w:tcPr>
            <w:tcW w:w="639" w:type="pct"/>
            <w:vAlign w:val="center"/>
          </w:tcPr>
          <w:p w14:paraId="7B4996B3" w14:textId="1EA60865" w:rsidR="00462D2D" w:rsidRDefault="00462D2D" w:rsidP="00462D2D">
            <w:pPr>
              <w:jc w:val="center"/>
            </w:pPr>
            <w:r>
              <w:t>Visit 3</w:t>
            </w:r>
          </w:p>
        </w:tc>
        <w:tc>
          <w:tcPr>
            <w:tcW w:w="639" w:type="pct"/>
            <w:vAlign w:val="center"/>
          </w:tcPr>
          <w:p w14:paraId="51275ABF" w14:textId="2EAE9ED6" w:rsidR="00462D2D" w:rsidRDefault="00462D2D" w:rsidP="00462D2D">
            <w:pPr>
              <w:jc w:val="center"/>
            </w:pPr>
            <w:r>
              <w:t>Visit 4</w:t>
            </w:r>
          </w:p>
        </w:tc>
        <w:tc>
          <w:tcPr>
            <w:tcW w:w="638" w:type="pct"/>
            <w:vMerge/>
            <w:vAlign w:val="center"/>
          </w:tcPr>
          <w:p w14:paraId="6DD125D4" w14:textId="7C820C90" w:rsidR="00462D2D" w:rsidRDefault="00462D2D" w:rsidP="00462D2D">
            <w:pPr>
              <w:jc w:val="center"/>
            </w:pPr>
          </w:p>
        </w:tc>
      </w:tr>
      <w:tr w:rsidR="00A256A0" w14:paraId="60DB8EC9" w14:textId="77777777" w:rsidTr="00462D2D">
        <w:tc>
          <w:tcPr>
            <w:tcW w:w="1807" w:type="pct"/>
          </w:tcPr>
          <w:p w14:paraId="4C0DB7FE" w14:textId="77777777" w:rsidR="00A256A0" w:rsidRDefault="00A256A0" w:rsidP="00A256A0"/>
        </w:tc>
        <w:tc>
          <w:tcPr>
            <w:tcW w:w="638" w:type="pct"/>
            <w:vAlign w:val="center"/>
          </w:tcPr>
          <w:p w14:paraId="4558578D" w14:textId="2784C188" w:rsidR="00A256A0" w:rsidRDefault="00A256A0" w:rsidP="00462D2D">
            <w:pPr>
              <w:jc w:val="center"/>
            </w:pPr>
            <w:r>
              <w:t>Day 1</w:t>
            </w:r>
          </w:p>
        </w:tc>
        <w:tc>
          <w:tcPr>
            <w:tcW w:w="639" w:type="pct"/>
            <w:vAlign w:val="center"/>
          </w:tcPr>
          <w:p w14:paraId="6923929D" w14:textId="44FD50CE" w:rsidR="00A256A0" w:rsidRDefault="00A256A0" w:rsidP="00462D2D">
            <w:pPr>
              <w:jc w:val="center"/>
            </w:pPr>
            <w:r>
              <w:t>Day 4</w:t>
            </w:r>
            <w:r w:rsidR="00462D2D">
              <w:t xml:space="preserve"> ± 1</w:t>
            </w:r>
          </w:p>
        </w:tc>
        <w:tc>
          <w:tcPr>
            <w:tcW w:w="639" w:type="pct"/>
            <w:vAlign w:val="center"/>
          </w:tcPr>
          <w:p w14:paraId="14BC7B70" w14:textId="391FE0D3" w:rsidR="00A256A0" w:rsidRDefault="00A256A0" w:rsidP="00462D2D">
            <w:pPr>
              <w:jc w:val="center"/>
            </w:pPr>
            <w:r>
              <w:t>Day 8</w:t>
            </w:r>
            <w:r w:rsidR="00462D2D">
              <w:t xml:space="preserve"> ± 1</w:t>
            </w:r>
          </w:p>
        </w:tc>
        <w:tc>
          <w:tcPr>
            <w:tcW w:w="639" w:type="pct"/>
            <w:vAlign w:val="center"/>
          </w:tcPr>
          <w:p w14:paraId="1DD82878" w14:textId="16FFD4BB" w:rsidR="00A256A0" w:rsidRDefault="00A256A0" w:rsidP="00462D2D">
            <w:pPr>
              <w:jc w:val="center"/>
            </w:pPr>
            <w:r>
              <w:t>Day 38 ± 3</w:t>
            </w:r>
          </w:p>
        </w:tc>
        <w:tc>
          <w:tcPr>
            <w:tcW w:w="638" w:type="pct"/>
            <w:vAlign w:val="center"/>
          </w:tcPr>
          <w:p w14:paraId="08954097" w14:textId="77777777" w:rsidR="00A256A0" w:rsidRDefault="00A256A0" w:rsidP="00462D2D">
            <w:pPr>
              <w:jc w:val="center"/>
            </w:pPr>
          </w:p>
        </w:tc>
      </w:tr>
      <w:tr w:rsidR="00A256A0" w14:paraId="6B6A8826" w14:textId="77777777" w:rsidTr="00462D2D">
        <w:tc>
          <w:tcPr>
            <w:tcW w:w="1807" w:type="pct"/>
          </w:tcPr>
          <w:p w14:paraId="5B2120D2" w14:textId="15C068F8" w:rsidR="00A256A0" w:rsidRDefault="00A256A0" w:rsidP="00A256A0">
            <w:r>
              <w:t>Informed consent</w:t>
            </w:r>
          </w:p>
        </w:tc>
        <w:tc>
          <w:tcPr>
            <w:tcW w:w="638" w:type="pct"/>
            <w:vAlign w:val="center"/>
          </w:tcPr>
          <w:p w14:paraId="20F5119A" w14:textId="2EB724E5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74B0F757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440DBFDD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5E86537B" w14:textId="77777777" w:rsidR="00A256A0" w:rsidRDefault="00A256A0" w:rsidP="00462D2D">
            <w:pPr>
              <w:jc w:val="center"/>
            </w:pPr>
          </w:p>
        </w:tc>
        <w:tc>
          <w:tcPr>
            <w:tcW w:w="638" w:type="pct"/>
            <w:vAlign w:val="center"/>
          </w:tcPr>
          <w:p w14:paraId="623D797C" w14:textId="77777777" w:rsidR="00A256A0" w:rsidRDefault="00A256A0" w:rsidP="00462D2D">
            <w:pPr>
              <w:jc w:val="center"/>
            </w:pPr>
          </w:p>
        </w:tc>
      </w:tr>
      <w:tr w:rsidR="00A256A0" w14:paraId="1280EF1C" w14:textId="77777777" w:rsidTr="00462D2D">
        <w:tc>
          <w:tcPr>
            <w:tcW w:w="1807" w:type="pct"/>
          </w:tcPr>
          <w:p w14:paraId="3F129371" w14:textId="1CCE943D" w:rsidR="00A256A0" w:rsidRDefault="00A256A0" w:rsidP="00A256A0">
            <w:r>
              <w:t>Inclusion/ exclusion criteria</w:t>
            </w:r>
          </w:p>
        </w:tc>
        <w:tc>
          <w:tcPr>
            <w:tcW w:w="638" w:type="pct"/>
            <w:vAlign w:val="center"/>
          </w:tcPr>
          <w:p w14:paraId="46AF3EA7" w14:textId="38C9BF28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4C03617D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8BFC390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FBE4C45" w14:textId="77777777" w:rsidR="00A256A0" w:rsidRDefault="00A256A0" w:rsidP="00462D2D">
            <w:pPr>
              <w:jc w:val="center"/>
            </w:pPr>
          </w:p>
        </w:tc>
        <w:tc>
          <w:tcPr>
            <w:tcW w:w="638" w:type="pct"/>
            <w:vAlign w:val="center"/>
          </w:tcPr>
          <w:p w14:paraId="3280CE8E" w14:textId="77777777" w:rsidR="00A256A0" w:rsidRDefault="00A256A0" w:rsidP="00462D2D">
            <w:pPr>
              <w:jc w:val="center"/>
            </w:pPr>
          </w:p>
        </w:tc>
      </w:tr>
      <w:tr w:rsidR="00A256A0" w14:paraId="12BD7878" w14:textId="77777777" w:rsidTr="00462D2D">
        <w:tc>
          <w:tcPr>
            <w:tcW w:w="1807" w:type="pct"/>
          </w:tcPr>
          <w:p w14:paraId="032D53C3" w14:textId="41B9CEDE" w:rsidR="00A256A0" w:rsidRDefault="00A256A0" w:rsidP="00A256A0">
            <w:r>
              <w:t>Demographic data</w:t>
            </w:r>
          </w:p>
        </w:tc>
        <w:tc>
          <w:tcPr>
            <w:tcW w:w="638" w:type="pct"/>
            <w:vAlign w:val="center"/>
          </w:tcPr>
          <w:p w14:paraId="7CF314BC" w14:textId="1AA4A139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146F79A5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39A7766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7E35055" w14:textId="77777777" w:rsidR="00A256A0" w:rsidRDefault="00A256A0" w:rsidP="00462D2D">
            <w:pPr>
              <w:jc w:val="center"/>
            </w:pPr>
          </w:p>
        </w:tc>
        <w:tc>
          <w:tcPr>
            <w:tcW w:w="638" w:type="pct"/>
            <w:vAlign w:val="center"/>
          </w:tcPr>
          <w:p w14:paraId="568DA345" w14:textId="77777777" w:rsidR="00A256A0" w:rsidRDefault="00A256A0" w:rsidP="00462D2D">
            <w:pPr>
              <w:jc w:val="center"/>
            </w:pPr>
          </w:p>
        </w:tc>
      </w:tr>
      <w:tr w:rsidR="00A256A0" w14:paraId="0398CDDC" w14:textId="77777777" w:rsidTr="00462D2D">
        <w:tc>
          <w:tcPr>
            <w:tcW w:w="1807" w:type="pct"/>
          </w:tcPr>
          <w:p w14:paraId="0EDAFA99" w14:textId="2169B58E" w:rsidR="00A256A0" w:rsidRDefault="00A256A0" w:rsidP="00A256A0">
            <w:r>
              <w:t>Medical history</w:t>
            </w:r>
          </w:p>
        </w:tc>
        <w:tc>
          <w:tcPr>
            <w:tcW w:w="638" w:type="pct"/>
            <w:vAlign w:val="center"/>
          </w:tcPr>
          <w:p w14:paraId="01CC8AAA" w14:textId="132C0410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1EF04F63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04224237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152F9C5" w14:textId="77777777" w:rsidR="00A256A0" w:rsidRDefault="00A256A0" w:rsidP="00462D2D">
            <w:pPr>
              <w:jc w:val="center"/>
            </w:pPr>
          </w:p>
        </w:tc>
        <w:tc>
          <w:tcPr>
            <w:tcW w:w="638" w:type="pct"/>
            <w:vAlign w:val="center"/>
          </w:tcPr>
          <w:p w14:paraId="5744C079" w14:textId="77777777" w:rsidR="00A256A0" w:rsidRDefault="00A256A0" w:rsidP="00462D2D">
            <w:pPr>
              <w:jc w:val="center"/>
            </w:pPr>
          </w:p>
        </w:tc>
      </w:tr>
      <w:tr w:rsidR="00A256A0" w14:paraId="44C91A28" w14:textId="77777777" w:rsidTr="00462D2D">
        <w:tc>
          <w:tcPr>
            <w:tcW w:w="1807" w:type="pct"/>
          </w:tcPr>
          <w:p w14:paraId="01950273" w14:textId="6149B7FC" w:rsidR="00A256A0" w:rsidRDefault="00A256A0" w:rsidP="00A256A0">
            <w:r>
              <w:t>Prior/ concomitant medication</w:t>
            </w:r>
          </w:p>
        </w:tc>
        <w:tc>
          <w:tcPr>
            <w:tcW w:w="638" w:type="pct"/>
            <w:vAlign w:val="center"/>
          </w:tcPr>
          <w:p w14:paraId="4C8BA2E2" w14:textId="22EDADA9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23F49F48" w14:textId="04D5481A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7A8F50AA" w14:textId="3F3AA044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67167CD8" w14:textId="7E3390C3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8" w:type="pct"/>
            <w:vAlign w:val="center"/>
          </w:tcPr>
          <w:p w14:paraId="64C06AAB" w14:textId="324F1B0D" w:rsidR="00462D2D" w:rsidRDefault="00462D2D" w:rsidP="00462D2D">
            <w:pPr>
              <w:jc w:val="center"/>
            </w:pPr>
            <w:r>
              <w:t>X</w:t>
            </w:r>
          </w:p>
        </w:tc>
      </w:tr>
      <w:tr w:rsidR="00A256A0" w14:paraId="08916A1F" w14:textId="77777777" w:rsidTr="00462D2D">
        <w:tc>
          <w:tcPr>
            <w:tcW w:w="1807" w:type="pct"/>
          </w:tcPr>
          <w:p w14:paraId="67383F51" w14:textId="13EEC8EF" w:rsidR="00A256A0" w:rsidRPr="00462D2D" w:rsidRDefault="00A256A0" w:rsidP="00A256A0">
            <w:pPr>
              <w:rPr>
                <w:vertAlign w:val="superscript"/>
              </w:rPr>
            </w:pPr>
            <w:r>
              <w:t>Physical examination</w:t>
            </w:r>
            <w:r w:rsidR="00462D2D">
              <w:rPr>
                <w:vertAlign w:val="superscript"/>
              </w:rPr>
              <w:t>3</w:t>
            </w:r>
          </w:p>
        </w:tc>
        <w:tc>
          <w:tcPr>
            <w:tcW w:w="638" w:type="pct"/>
            <w:vAlign w:val="center"/>
          </w:tcPr>
          <w:p w14:paraId="73E1E20F" w14:textId="5FB44CA8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3BAA5F46" w14:textId="053BD2AF" w:rsidR="00A256A0" w:rsidRPr="00462D2D" w:rsidRDefault="00462D2D" w:rsidP="00462D2D">
            <w:pPr>
              <w:jc w:val="center"/>
              <w:rPr>
                <w:vertAlign w:val="superscript"/>
              </w:rPr>
            </w:pPr>
            <w:r>
              <w:t>X</w:t>
            </w:r>
            <w:r>
              <w:rPr>
                <w:vertAlign w:val="superscript"/>
              </w:rPr>
              <w:t>4</w:t>
            </w:r>
          </w:p>
        </w:tc>
        <w:tc>
          <w:tcPr>
            <w:tcW w:w="639" w:type="pct"/>
            <w:vAlign w:val="center"/>
          </w:tcPr>
          <w:p w14:paraId="1215C3CB" w14:textId="472325D2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68050189" w14:textId="1B457AF5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8" w:type="pct"/>
            <w:vAlign w:val="center"/>
          </w:tcPr>
          <w:p w14:paraId="2318C6DA" w14:textId="1C9AD2FD" w:rsidR="00A256A0" w:rsidRDefault="00462D2D" w:rsidP="00462D2D">
            <w:pPr>
              <w:jc w:val="center"/>
            </w:pPr>
            <w:r>
              <w:t>(X)</w:t>
            </w:r>
          </w:p>
        </w:tc>
      </w:tr>
      <w:tr w:rsidR="00A256A0" w14:paraId="27C471CF" w14:textId="77777777" w:rsidTr="00462D2D">
        <w:tc>
          <w:tcPr>
            <w:tcW w:w="1807" w:type="pct"/>
          </w:tcPr>
          <w:p w14:paraId="6E2F1F06" w14:textId="0B9C6EAA" w:rsidR="00A256A0" w:rsidRDefault="00A256A0" w:rsidP="00A256A0">
            <w:r>
              <w:t>Vital signs</w:t>
            </w:r>
          </w:p>
        </w:tc>
        <w:tc>
          <w:tcPr>
            <w:tcW w:w="638" w:type="pct"/>
            <w:vAlign w:val="center"/>
          </w:tcPr>
          <w:p w14:paraId="20C61800" w14:textId="2F836B33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6A93845A" w14:textId="630E30C1" w:rsidR="00A256A0" w:rsidRPr="00462D2D" w:rsidRDefault="00462D2D" w:rsidP="00462D2D">
            <w:pPr>
              <w:jc w:val="center"/>
              <w:rPr>
                <w:vertAlign w:val="superscript"/>
              </w:rPr>
            </w:pPr>
            <w:r>
              <w:t>X</w:t>
            </w:r>
            <w:r>
              <w:rPr>
                <w:vertAlign w:val="superscript"/>
              </w:rPr>
              <w:t>4</w:t>
            </w:r>
          </w:p>
        </w:tc>
        <w:tc>
          <w:tcPr>
            <w:tcW w:w="639" w:type="pct"/>
            <w:vAlign w:val="center"/>
          </w:tcPr>
          <w:p w14:paraId="38494E0F" w14:textId="2A6ED051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6F44555C" w14:textId="538AD50E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8" w:type="pct"/>
            <w:vAlign w:val="center"/>
          </w:tcPr>
          <w:p w14:paraId="2B8BA84E" w14:textId="3ACE6F91" w:rsidR="00A256A0" w:rsidRDefault="00462D2D" w:rsidP="00462D2D">
            <w:pPr>
              <w:jc w:val="center"/>
            </w:pPr>
            <w:r>
              <w:t>(X)</w:t>
            </w:r>
          </w:p>
        </w:tc>
      </w:tr>
      <w:tr w:rsidR="00A256A0" w14:paraId="45EE98C7" w14:textId="77777777" w:rsidTr="00462D2D">
        <w:tc>
          <w:tcPr>
            <w:tcW w:w="1807" w:type="pct"/>
          </w:tcPr>
          <w:p w14:paraId="0641C6C4" w14:textId="639E3F8C" w:rsidR="00A256A0" w:rsidRDefault="00A256A0" w:rsidP="00A256A0">
            <w:r>
              <w:t>ACSS questionnaire</w:t>
            </w:r>
          </w:p>
        </w:tc>
        <w:tc>
          <w:tcPr>
            <w:tcW w:w="638" w:type="pct"/>
            <w:vAlign w:val="center"/>
          </w:tcPr>
          <w:p w14:paraId="24731343" w14:textId="5E243EA0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6DB6C4CF" w14:textId="32714A42" w:rsidR="00A256A0" w:rsidRPr="00462D2D" w:rsidRDefault="00462D2D" w:rsidP="00462D2D">
            <w:pPr>
              <w:jc w:val="center"/>
              <w:rPr>
                <w:vertAlign w:val="superscript"/>
              </w:rPr>
            </w:pPr>
            <w:r>
              <w:t>X</w:t>
            </w:r>
            <w:r>
              <w:rPr>
                <w:vertAlign w:val="superscript"/>
              </w:rPr>
              <w:t>5</w:t>
            </w:r>
          </w:p>
        </w:tc>
        <w:tc>
          <w:tcPr>
            <w:tcW w:w="639" w:type="pct"/>
            <w:vAlign w:val="center"/>
          </w:tcPr>
          <w:p w14:paraId="17A92061" w14:textId="783A83E5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4E4BE15C" w14:textId="101C61F1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8" w:type="pct"/>
            <w:vAlign w:val="center"/>
          </w:tcPr>
          <w:p w14:paraId="50116222" w14:textId="2CB3620C" w:rsidR="00A256A0" w:rsidRDefault="00462D2D" w:rsidP="00462D2D">
            <w:pPr>
              <w:jc w:val="center"/>
            </w:pPr>
            <w:r>
              <w:t>X</w:t>
            </w:r>
          </w:p>
        </w:tc>
      </w:tr>
      <w:tr w:rsidR="00A256A0" w14:paraId="1F655A72" w14:textId="77777777" w:rsidTr="00462D2D">
        <w:tc>
          <w:tcPr>
            <w:tcW w:w="1807" w:type="pct"/>
          </w:tcPr>
          <w:p w14:paraId="3277E5AD" w14:textId="2C5555B5" w:rsidR="00A256A0" w:rsidRDefault="00A256A0" w:rsidP="00A256A0">
            <w:r>
              <w:t>Pregnancy test (urine)</w:t>
            </w:r>
          </w:p>
        </w:tc>
        <w:tc>
          <w:tcPr>
            <w:tcW w:w="638" w:type="pct"/>
            <w:vAlign w:val="center"/>
          </w:tcPr>
          <w:p w14:paraId="3CB2F357" w14:textId="379805D3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382E341C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5F91F867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7DF36646" w14:textId="2BE60496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8" w:type="pct"/>
            <w:vAlign w:val="center"/>
          </w:tcPr>
          <w:p w14:paraId="7DA789FB" w14:textId="3EF792FB" w:rsidR="00A256A0" w:rsidRDefault="00462D2D" w:rsidP="00462D2D">
            <w:pPr>
              <w:jc w:val="center"/>
            </w:pPr>
            <w:r>
              <w:t>(X)</w:t>
            </w:r>
          </w:p>
        </w:tc>
      </w:tr>
      <w:tr w:rsidR="00A256A0" w14:paraId="0368ACA5" w14:textId="77777777" w:rsidTr="00462D2D">
        <w:tc>
          <w:tcPr>
            <w:tcW w:w="1807" w:type="pct"/>
          </w:tcPr>
          <w:p w14:paraId="60DA8390" w14:textId="71524FDF" w:rsidR="00A256A0" w:rsidRDefault="00A256A0" w:rsidP="00A256A0">
            <w:r>
              <w:t>Sexual activity status</w:t>
            </w:r>
          </w:p>
        </w:tc>
        <w:tc>
          <w:tcPr>
            <w:tcW w:w="638" w:type="pct"/>
            <w:vAlign w:val="center"/>
          </w:tcPr>
          <w:p w14:paraId="39F60587" w14:textId="60BFC290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2E3EDA32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C4574F3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4FA45E60" w14:textId="79619D25" w:rsidR="00A256A0" w:rsidRDefault="00A256A0" w:rsidP="00462D2D">
            <w:pPr>
              <w:jc w:val="center"/>
            </w:pPr>
          </w:p>
        </w:tc>
        <w:tc>
          <w:tcPr>
            <w:tcW w:w="638" w:type="pct"/>
            <w:vAlign w:val="center"/>
          </w:tcPr>
          <w:p w14:paraId="6FC56961" w14:textId="77777777" w:rsidR="00A256A0" w:rsidRDefault="00A256A0" w:rsidP="00462D2D">
            <w:pPr>
              <w:jc w:val="center"/>
            </w:pPr>
          </w:p>
        </w:tc>
      </w:tr>
      <w:tr w:rsidR="00A256A0" w14:paraId="24B734C4" w14:textId="77777777" w:rsidTr="00462D2D">
        <w:tc>
          <w:tcPr>
            <w:tcW w:w="1807" w:type="pct"/>
          </w:tcPr>
          <w:p w14:paraId="62358FF7" w14:textId="414DEFF8" w:rsidR="00A256A0" w:rsidRDefault="00A256A0" w:rsidP="00A256A0">
            <w:r>
              <w:t>Urinalysis (dipstick and microbiological culture, including antibiogram)</w:t>
            </w:r>
          </w:p>
        </w:tc>
        <w:tc>
          <w:tcPr>
            <w:tcW w:w="638" w:type="pct"/>
            <w:vAlign w:val="center"/>
          </w:tcPr>
          <w:p w14:paraId="3BE0E8EC" w14:textId="0A75B57A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3E5478AE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49A687F9" w14:textId="77E2EB8A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14BB305B" w14:textId="30D68031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8" w:type="pct"/>
            <w:vAlign w:val="center"/>
          </w:tcPr>
          <w:p w14:paraId="6C3ABED0" w14:textId="6D524710" w:rsidR="00A256A0" w:rsidRDefault="00462D2D" w:rsidP="00462D2D">
            <w:pPr>
              <w:jc w:val="center"/>
            </w:pPr>
            <w:r>
              <w:t>X</w:t>
            </w:r>
          </w:p>
        </w:tc>
      </w:tr>
      <w:tr w:rsidR="00A256A0" w14:paraId="59977674" w14:textId="77777777" w:rsidTr="00462D2D">
        <w:tc>
          <w:tcPr>
            <w:tcW w:w="1807" w:type="pct"/>
          </w:tcPr>
          <w:p w14:paraId="778CA372" w14:textId="0ED94687" w:rsidR="00A256A0" w:rsidRDefault="00A256A0" w:rsidP="00A256A0">
            <w:r>
              <w:t>Cytokines, prostaglandins and creatinine in urine (selected centres only)</w:t>
            </w:r>
          </w:p>
        </w:tc>
        <w:tc>
          <w:tcPr>
            <w:tcW w:w="638" w:type="pct"/>
            <w:vAlign w:val="center"/>
          </w:tcPr>
          <w:p w14:paraId="696755FB" w14:textId="40D019AC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3C5A6AE8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73C40F42" w14:textId="5772F701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438A5408" w14:textId="77777777" w:rsidR="00A256A0" w:rsidRDefault="00A256A0" w:rsidP="00462D2D">
            <w:pPr>
              <w:jc w:val="center"/>
            </w:pPr>
          </w:p>
        </w:tc>
        <w:tc>
          <w:tcPr>
            <w:tcW w:w="638" w:type="pct"/>
            <w:vAlign w:val="center"/>
          </w:tcPr>
          <w:p w14:paraId="2CC696E4" w14:textId="77777777" w:rsidR="00A256A0" w:rsidRDefault="00A256A0" w:rsidP="00462D2D">
            <w:pPr>
              <w:jc w:val="center"/>
            </w:pPr>
          </w:p>
        </w:tc>
      </w:tr>
      <w:tr w:rsidR="00A256A0" w14:paraId="3022FDC9" w14:textId="77777777" w:rsidTr="00462D2D">
        <w:tc>
          <w:tcPr>
            <w:tcW w:w="1807" w:type="pct"/>
          </w:tcPr>
          <w:p w14:paraId="508B187D" w14:textId="03E93B19" w:rsidR="00A256A0" w:rsidRDefault="00A256A0" w:rsidP="00A256A0">
            <w:r>
              <w:t>Safety laboratory (blood)</w:t>
            </w:r>
          </w:p>
        </w:tc>
        <w:tc>
          <w:tcPr>
            <w:tcW w:w="638" w:type="pct"/>
            <w:vAlign w:val="center"/>
          </w:tcPr>
          <w:p w14:paraId="03375B7D" w14:textId="77317E88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7DBD8959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B4B0B5A" w14:textId="707AD487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38FF5B61" w14:textId="30009312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8" w:type="pct"/>
            <w:vAlign w:val="center"/>
          </w:tcPr>
          <w:p w14:paraId="3761706E" w14:textId="5DCA8FB2" w:rsidR="00A256A0" w:rsidRDefault="00462D2D" w:rsidP="00462D2D">
            <w:pPr>
              <w:jc w:val="center"/>
            </w:pPr>
            <w:r>
              <w:t>(X)</w:t>
            </w:r>
          </w:p>
        </w:tc>
      </w:tr>
      <w:tr w:rsidR="00A256A0" w14:paraId="077BE693" w14:textId="77777777" w:rsidTr="00462D2D">
        <w:tc>
          <w:tcPr>
            <w:tcW w:w="1807" w:type="pct"/>
          </w:tcPr>
          <w:p w14:paraId="7FF42207" w14:textId="7F6EFB34" w:rsidR="00A256A0" w:rsidRDefault="00A256A0" w:rsidP="00A256A0">
            <w:r>
              <w:t>Randomization</w:t>
            </w:r>
          </w:p>
        </w:tc>
        <w:tc>
          <w:tcPr>
            <w:tcW w:w="638" w:type="pct"/>
            <w:vAlign w:val="center"/>
          </w:tcPr>
          <w:p w14:paraId="53CA6266" w14:textId="3413D079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162DC6A3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752A1E0C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BCFB375" w14:textId="77777777" w:rsidR="00A256A0" w:rsidRDefault="00A256A0" w:rsidP="00462D2D">
            <w:pPr>
              <w:jc w:val="center"/>
            </w:pPr>
          </w:p>
        </w:tc>
        <w:tc>
          <w:tcPr>
            <w:tcW w:w="638" w:type="pct"/>
            <w:vAlign w:val="center"/>
          </w:tcPr>
          <w:p w14:paraId="1A248E83" w14:textId="77777777" w:rsidR="00A256A0" w:rsidRDefault="00A256A0" w:rsidP="00462D2D">
            <w:pPr>
              <w:jc w:val="center"/>
            </w:pPr>
          </w:p>
        </w:tc>
      </w:tr>
      <w:tr w:rsidR="00A256A0" w14:paraId="017260F3" w14:textId="77777777" w:rsidTr="00462D2D">
        <w:tc>
          <w:tcPr>
            <w:tcW w:w="1807" w:type="pct"/>
          </w:tcPr>
          <w:p w14:paraId="4F08440A" w14:textId="7CD96207" w:rsidR="00A256A0" w:rsidRDefault="00A256A0" w:rsidP="00A256A0">
            <w:r>
              <w:t>Dispense of IMPs*</w:t>
            </w:r>
          </w:p>
        </w:tc>
        <w:tc>
          <w:tcPr>
            <w:tcW w:w="638" w:type="pct"/>
            <w:vAlign w:val="center"/>
          </w:tcPr>
          <w:p w14:paraId="0B2706F5" w14:textId="69D1E38F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734297E1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5CC97963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842C579" w14:textId="77777777" w:rsidR="00A256A0" w:rsidRDefault="00A256A0" w:rsidP="00462D2D">
            <w:pPr>
              <w:jc w:val="center"/>
            </w:pPr>
          </w:p>
        </w:tc>
        <w:tc>
          <w:tcPr>
            <w:tcW w:w="638" w:type="pct"/>
            <w:vAlign w:val="center"/>
          </w:tcPr>
          <w:p w14:paraId="749E8C1E" w14:textId="77777777" w:rsidR="00A256A0" w:rsidRDefault="00A256A0" w:rsidP="00462D2D">
            <w:pPr>
              <w:jc w:val="center"/>
            </w:pPr>
          </w:p>
        </w:tc>
      </w:tr>
      <w:tr w:rsidR="00A256A0" w14:paraId="57DCED5A" w14:textId="77777777" w:rsidTr="00462D2D">
        <w:tc>
          <w:tcPr>
            <w:tcW w:w="1807" w:type="pct"/>
          </w:tcPr>
          <w:p w14:paraId="6457D23D" w14:textId="2295E9EB" w:rsidR="00A256A0" w:rsidRDefault="00A256A0" w:rsidP="00A256A0">
            <w:r>
              <w:t>Adverse events</w:t>
            </w:r>
          </w:p>
        </w:tc>
        <w:tc>
          <w:tcPr>
            <w:tcW w:w="638" w:type="pct"/>
            <w:vAlign w:val="center"/>
          </w:tcPr>
          <w:p w14:paraId="182963A7" w14:textId="1233D728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06E0A9F4" w14:textId="430F23FB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73E4B687" w14:textId="33381FDA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283B3E6C" w14:textId="2116E704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8" w:type="pct"/>
            <w:vAlign w:val="center"/>
          </w:tcPr>
          <w:p w14:paraId="03D685F0" w14:textId="4632D3C0" w:rsidR="00A256A0" w:rsidRDefault="00462D2D" w:rsidP="00462D2D">
            <w:pPr>
              <w:jc w:val="center"/>
            </w:pPr>
            <w:r>
              <w:t>X</w:t>
            </w:r>
          </w:p>
        </w:tc>
      </w:tr>
      <w:tr w:rsidR="00A256A0" w14:paraId="66AA28D7" w14:textId="77777777" w:rsidTr="00462D2D">
        <w:tc>
          <w:tcPr>
            <w:tcW w:w="1807" w:type="pct"/>
          </w:tcPr>
          <w:p w14:paraId="3FCFD853" w14:textId="008000B3" w:rsidR="00A256A0" w:rsidRDefault="00A256A0" w:rsidP="00A256A0">
            <w:r>
              <w:t>Use of additional antibiotic(s)</w:t>
            </w:r>
          </w:p>
        </w:tc>
        <w:tc>
          <w:tcPr>
            <w:tcW w:w="638" w:type="pct"/>
            <w:vAlign w:val="center"/>
          </w:tcPr>
          <w:p w14:paraId="23AACD75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A98CB28" w14:textId="36E43644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02B6AC94" w14:textId="0B2ABBC0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35076496" w14:textId="06A95741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8" w:type="pct"/>
            <w:vAlign w:val="center"/>
          </w:tcPr>
          <w:p w14:paraId="77AA9885" w14:textId="26F236EE" w:rsidR="00A256A0" w:rsidRDefault="00462D2D" w:rsidP="00462D2D">
            <w:pPr>
              <w:jc w:val="center"/>
            </w:pPr>
            <w:r>
              <w:t>X</w:t>
            </w:r>
          </w:p>
        </w:tc>
      </w:tr>
      <w:tr w:rsidR="00A256A0" w14:paraId="588AB8F3" w14:textId="77777777" w:rsidTr="00462D2D">
        <w:tc>
          <w:tcPr>
            <w:tcW w:w="1807" w:type="pct"/>
          </w:tcPr>
          <w:p w14:paraId="34D9E921" w14:textId="720298FD" w:rsidR="00A256A0" w:rsidRDefault="00A256A0" w:rsidP="00A256A0">
            <w:r>
              <w:t>Drug compliance</w:t>
            </w:r>
          </w:p>
        </w:tc>
        <w:tc>
          <w:tcPr>
            <w:tcW w:w="638" w:type="pct"/>
            <w:vAlign w:val="center"/>
          </w:tcPr>
          <w:p w14:paraId="26D179E5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4D3E170A" w14:textId="3BB29D8F" w:rsidR="00A256A0" w:rsidRPr="00462D2D" w:rsidRDefault="00462D2D" w:rsidP="00462D2D">
            <w:pPr>
              <w:jc w:val="center"/>
              <w:rPr>
                <w:vertAlign w:val="superscript"/>
              </w:rPr>
            </w:pPr>
            <w:r>
              <w:t>X</w:t>
            </w:r>
            <w:r>
              <w:rPr>
                <w:vertAlign w:val="superscript"/>
              </w:rPr>
              <w:t>4</w:t>
            </w:r>
          </w:p>
        </w:tc>
        <w:tc>
          <w:tcPr>
            <w:tcW w:w="639" w:type="pct"/>
            <w:vAlign w:val="center"/>
          </w:tcPr>
          <w:p w14:paraId="6206B418" w14:textId="01716828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3637F847" w14:textId="75DA82F9" w:rsidR="00A256A0" w:rsidRPr="00462D2D" w:rsidRDefault="00462D2D" w:rsidP="00462D2D">
            <w:pPr>
              <w:jc w:val="center"/>
              <w:rPr>
                <w:vertAlign w:val="superscript"/>
              </w:rPr>
            </w:pPr>
            <w:r>
              <w:t>X</w:t>
            </w:r>
            <w:r>
              <w:rPr>
                <w:vertAlign w:val="superscript"/>
              </w:rPr>
              <w:t>7</w:t>
            </w:r>
          </w:p>
        </w:tc>
        <w:tc>
          <w:tcPr>
            <w:tcW w:w="638" w:type="pct"/>
            <w:vAlign w:val="center"/>
          </w:tcPr>
          <w:p w14:paraId="1C3C836D" w14:textId="5E580148" w:rsidR="00A256A0" w:rsidRPr="00462D2D" w:rsidRDefault="00462D2D" w:rsidP="00462D2D">
            <w:pPr>
              <w:jc w:val="center"/>
              <w:rPr>
                <w:vertAlign w:val="superscript"/>
              </w:rPr>
            </w:pPr>
            <w:r>
              <w:t>X</w:t>
            </w:r>
            <w:r>
              <w:rPr>
                <w:vertAlign w:val="superscript"/>
              </w:rPr>
              <w:t>6</w:t>
            </w:r>
          </w:p>
        </w:tc>
      </w:tr>
      <w:tr w:rsidR="00A256A0" w14:paraId="62C60185" w14:textId="77777777" w:rsidTr="00462D2D">
        <w:tc>
          <w:tcPr>
            <w:tcW w:w="1807" w:type="pct"/>
          </w:tcPr>
          <w:p w14:paraId="070519E9" w14:textId="38C89221" w:rsidR="00A256A0" w:rsidRDefault="00A256A0" w:rsidP="00A256A0">
            <w:r>
              <w:t>Investigator’s and patient’s overall assessment of efficacy</w:t>
            </w:r>
          </w:p>
        </w:tc>
        <w:tc>
          <w:tcPr>
            <w:tcW w:w="638" w:type="pct"/>
            <w:vAlign w:val="center"/>
          </w:tcPr>
          <w:p w14:paraId="69BFC733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7D49DB45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56DEDEA" w14:textId="76B56ADE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354CE99F" w14:textId="6E871309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8" w:type="pct"/>
            <w:vAlign w:val="center"/>
          </w:tcPr>
          <w:p w14:paraId="62AB5AC4" w14:textId="77777777" w:rsidR="00A256A0" w:rsidRDefault="00A256A0" w:rsidP="00462D2D">
            <w:pPr>
              <w:jc w:val="center"/>
            </w:pPr>
          </w:p>
        </w:tc>
      </w:tr>
      <w:tr w:rsidR="00A256A0" w14:paraId="35BD322E" w14:textId="77777777" w:rsidTr="00462D2D">
        <w:tc>
          <w:tcPr>
            <w:tcW w:w="1807" w:type="pct"/>
          </w:tcPr>
          <w:p w14:paraId="73348ADB" w14:textId="7E5EA45F" w:rsidR="00A256A0" w:rsidRDefault="00A256A0" w:rsidP="00A256A0">
            <w:r>
              <w:t>Investigator’s and patient’s overall assessment of tolerability</w:t>
            </w:r>
          </w:p>
        </w:tc>
        <w:tc>
          <w:tcPr>
            <w:tcW w:w="638" w:type="pct"/>
            <w:vAlign w:val="center"/>
          </w:tcPr>
          <w:p w14:paraId="41BFE6B9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7A032816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625CEDF" w14:textId="28D1CA86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537E3D04" w14:textId="4EF23801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8" w:type="pct"/>
            <w:vAlign w:val="center"/>
          </w:tcPr>
          <w:p w14:paraId="2CF7B3E5" w14:textId="77777777" w:rsidR="00A256A0" w:rsidRDefault="00A256A0" w:rsidP="00462D2D">
            <w:pPr>
              <w:jc w:val="center"/>
            </w:pPr>
          </w:p>
        </w:tc>
      </w:tr>
      <w:tr w:rsidR="00A256A0" w14:paraId="5DDC616C" w14:textId="77777777" w:rsidTr="00462D2D">
        <w:tc>
          <w:tcPr>
            <w:tcW w:w="1807" w:type="pct"/>
          </w:tcPr>
          <w:p w14:paraId="2322D25A" w14:textId="765981D0" w:rsidR="00A256A0" w:rsidRDefault="00A256A0" w:rsidP="00A256A0">
            <w:r>
              <w:t>Return of unused IMPs/ empty package</w:t>
            </w:r>
          </w:p>
        </w:tc>
        <w:tc>
          <w:tcPr>
            <w:tcW w:w="638" w:type="pct"/>
            <w:vAlign w:val="center"/>
          </w:tcPr>
          <w:p w14:paraId="09EC9CDE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554A9FC7" w14:textId="77777777" w:rsidR="00A256A0" w:rsidRDefault="00A256A0" w:rsidP="00462D2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AE078CD" w14:textId="13535012" w:rsidR="00A256A0" w:rsidRDefault="00462D2D" w:rsidP="00462D2D">
            <w:pPr>
              <w:jc w:val="center"/>
            </w:pPr>
            <w:r>
              <w:t>X</w:t>
            </w:r>
          </w:p>
        </w:tc>
        <w:tc>
          <w:tcPr>
            <w:tcW w:w="639" w:type="pct"/>
            <w:vAlign w:val="center"/>
          </w:tcPr>
          <w:p w14:paraId="00870C58" w14:textId="5ADF72D5" w:rsidR="00A256A0" w:rsidRPr="00462D2D" w:rsidRDefault="00462D2D" w:rsidP="00462D2D">
            <w:pPr>
              <w:jc w:val="center"/>
              <w:rPr>
                <w:vertAlign w:val="superscript"/>
              </w:rPr>
            </w:pPr>
            <w:r>
              <w:t>X</w:t>
            </w:r>
            <w:r>
              <w:rPr>
                <w:vertAlign w:val="superscript"/>
              </w:rPr>
              <w:t>7</w:t>
            </w:r>
          </w:p>
        </w:tc>
        <w:tc>
          <w:tcPr>
            <w:tcW w:w="638" w:type="pct"/>
            <w:vAlign w:val="center"/>
          </w:tcPr>
          <w:p w14:paraId="57F14477" w14:textId="2897ACBD" w:rsidR="00A256A0" w:rsidRDefault="00462D2D" w:rsidP="00462D2D">
            <w:pPr>
              <w:jc w:val="center"/>
            </w:pPr>
            <w:r>
              <w:t>(X)</w:t>
            </w:r>
          </w:p>
        </w:tc>
      </w:tr>
    </w:tbl>
    <w:p w14:paraId="3FF3230B" w14:textId="77777777" w:rsidR="00462D2D" w:rsidRDefault="00462D2D" w:rsidP="00462D2D">
      <w:pPr>
        <w:spacing w:after="0"/>
      </w:pPr>
      <w:r>
        <w:t>ACSS: Acute Cystitis Symptom Score; IMP: investigational medicinal product; UV: unscheduled visit.</w:t>
      </w:r>
    </w:p>
    <w:p w14:paraId="6BE133C8" w14:textId="0C238401" w:rsidR="00462D2D" w:rsidRDefault="00462D2D" w:rsidP="00462D2D">
      <w:pPr>
        <w:spacing w:after="0"/>
      </w:pPr>
      <w:r>
        <w:t>*Record date and time of last meal (Fosfomycin trometamol 2 hours’ interval to meal)</w:t>
      </w:r>
    </w:p>
    <w:p w14:paraId="66F0B441" w14:textId="62A62131" w:rsidR="00EC7850" w:rsidRDefault="00462D2D" w:rsidP="00462D2D">
      <w:pPr>
        <w:spacing w:after="0"/>
        <w:rPr>
          <w:color w:val="1F3763" w:themeColor="accent1" w:themeShade="7F"/>
          <w:sz w:val="24"/>
          <w:szCs w:val="24"/>
        </w:rPr>
      </w:pPr>
      <w:r>
        <w:rPr>
          <w:vertAlign w:val="superscript"/>
        </w:rPr>
        <w:t>1</w:t>
      </w:r>
      <w:r>
        <w:t xml:space="preserve">The visit could be conducted at the site or on the phone. </w:t>
      </w:r>
      <w:r>
        <w:rPr>
          <w:vertAlign w:val="superscript"/>
        </w:rPr>
        <w:t>2</w:t>
      </w:r>
      <w:r>
        <w:t xml:space="preserve">UV could be performed at any time between Visit 1 and Visit 4 if deemed necessary by the investigator. Assessments which were not mandatory but could be performed at the discretion of the investigator are indicated in brackets, (X). </w:t>
      </w:r>
      <w:r>
        <w:rPr>
          <w:vertAlign w:val="superscript"/>
        </w:rPr>
        <w:t>3</w:t>
      </w:r>
      <w:r>
        <w:t xml:space="preserve">Standard physical examination was performed at Visit 1 and Visit 4; at other visits disease oriented physical examination could be performed. </w:t>
      </w:r>
      <w:r>
        <w:rPr>
          <w:vertAlign w:val="superscript"/>
        </w:rPr>
        <w:t>4</w:t>
      </w:r>
      <w:r>
        <w:t xml:space="preserve">Applied only if Visit 2 took place on-site. </w:t>
      </w:r>
      <w:r>
        <w:rPr>
          <w:vertAlign w:val="superscript"/>
        </w:rPr>
        <w:t>5</w:t>
      </w:r>
      <w:r>
        <w:t xml:space="preserve">In case of a telephone visit, ACSS questionnaire were to be filled in by the patient at home and sent promptly to the </w:t>
      </w:r>
      <w:r w:rsidR="00C957CD">
        <w:t>i</w:t>
      </w:r>
      <w:r>
        <w:t>nvestigator by mail</w:t>
      </w:r>
      <w:r w:rsidR="00C957CD">
        <w:t xml:space="preserve">. </w:t>
      </w:r>
      <w:r w:rsidR="00C957CD">
        <w:rPr>
          <w:vertAlign w:val="superscript"/>
        </w:rPr>
        <w:t>6</w:t>
      </w:r>
      <w:r w:rsidR="00C957CD">
        <w:t xml:space="preserve">Applied only if UV took place between Visit 1 and Visit 3. </w:t>
      </w:r>
      <w:r w:rsidR="00C957CD">
        <w:rPr>
          <w:vertAlign w:val="superscript"/>
        </w:rPr>
        <w:t>7</w:t>
      </w:r>
      <w:r w:rsidR="00C957CD">
        <w:t>Applied only if not already done at Visit 3.</w:t>
      </w:r>
      <w:r w:rsidR="00EC7850">
        <w:br w:type="page"/>
      </w:r>
    </w:p>
    <w:p w14:paraId="6E6B0717" w14:textId="4265DCDF" w:rsidR="00C82A11" w:rsidRPr="006C49CA" w:rsidRDefault="00547E3C" w:rsidP="006C49CA">
      <w:pPr>
        <w:pStyle w:val="ACCNormal"/>
      </w:pPr>
      <w:bookmarkStart w:id="3" w:name="_Toc514925607"/>
      <w:r w:rsidRPr="006C49CA">
        <w:lastRenderedPageBreak/>
        <w:t>ADDITIONAL SECONDARY ENDPOINTS</w:t>
      </w:r>
      <w:bookmarkEnd w:id="3"/>
    </w:p>
    <w:p w14:paraId="0EE4F91B" w14:textId="4DE8390B" w:rsidR="00C82A11" w:rsidRDefault="00C82A11" w:rsidP="00C82A11">
      <w:pPr>
        <w:spacing w:after="0"/>
      </w:pPr>
      <w:r>
        <w:t>Secondary efficacy variables analy</w:t>
      </w:r>
      <w:r w:rsidR="00607A2C">
        <w:t>s</w:t>
      </w:r>
      <w:r>
        <w:t>ed in the study were:</w:t>
      </w:r>
    </w:p>
    <w:p w14:paraId="7D57DC0D" w14:textId="77777777" w:rsidR="00C82A11" w:rsidRDefault="00C82A11" w:rsidP="00C82A11">
      <w:pPr>
        <w:spacing w:after="0"/>
      </w:pPr>
    </w:p>
    <w:p w14:paraId="01352767" w14:textId="120E722C" w:rsidR="00C82A11" w:rsidRDefault="00C82A11" w:rsidP="00C82A11">
      <w:pPr>
        <w:spacing w:after="0"/>
        <w:ind w:left="720" w:hanging="720"/>
      </w:pPr>
      <w:r>
        <w:t>•</w:t>
      </w:r>
      <w:r>
        <w:tab/>
        <w:t>AB</w:t>
      </w:r>
      <w:r w:rsidR="00E435BB">
        <w:t xml:space="preserve"> (antibiotic)</w:t>
      </w:r>
      <w:r>
        <w:t>-rate</w:t>
      </w:r>
      <w:r w:rsidR="006A5FBC">
        <w:t xml:space="preserve">, </w:t>
      </w:r>
      <w:r>
        <w:t>i</w:t>
      </w:r>
      <w:r w:rsidR="001739B7">
        <w:t>.</w:t>
      </w:r>
      <w:r>
        <w:t>e</w:t>
      </w:r>
      <w:r w:rsidR="001739B7">
        <w:t>.</w:t>
      </w:r>
      <w:r>
        <w:t xml:space="preserve"> proportion of patients who received additional AB for the treatment of acute lower </w:t>
      </w:r>
      <w:r w:rsidR="00E435BB">
        <w:t>uncomplicated urinary tract infections (</w:t>
      </w:r>
      <w:r>
        <w:t>uUTIs</w:t>
      </w:r>
      <w:r w:rsidR="00E435BB">
        <w:t>)</w:t>
      </w:r>
      <w:r>
        <w:t xml:space="preserve"> and/or for worsening of uUTI between Day</w:t>
      </w:r>
      <w:r w:rsidR="00E435BB">
        <w:t>s</w:t>
      </w:r>
      <w:r>
        <w:t xml:space="preserve"> 1 and 38, and did not receive any other AB during this period</w:t>
      </w:r>
      <w:r w:rsidR="006A5FBC">
        <w:t>,</w:t>
      </w:r>
      <w:r>
        <w:t xml:space="preserve"> by reason of persistent symptoms (assessed by the investigator) </w:t>
      </w:r>
    </w:p>
    <w:p w14:paraId="6F353C6F" w14:textId="2E5DE4EE" w:rsidR="00C82A11" w:rsidRDefault="00C82A11" w:rsidP="00C82A11">
      <w:pPr>
        <w:spacing w:after="0"/>
      </w:pPr>
      <w:r>
        <w:t>•</w:t>
      </w:r>
      <w:r>
        <w:tab/>
        <w:t>AB-rate by reason of recurrent symptoms (assessed by investigator)</w:t>
      </w:r>
    </w:p>
    <w:p w14:paraId="0B76BD79" w14:textId="09DD343E" w:rsidR="00C82A11" w:rsidRDefault="00C82A11" w:rsidP="006E0939">
      <w:pPr>
        <w:spacing w:after="0"/>
        <w:ind w:left="720" w:hanging="720"/>
      </w:pPr>
      <w:r>
        <w:t>•</w:t>
      </w:r>
      <w:r>
        <w:tab/>
        <w:t xml:space="preserve">Efficacy endpoints based on </w:t>
      </w:r>
      <w:r w:rsidR="00E435BB">
        <w:t>Acute Cystitis Symptom Score (</w:t>
      </w:r>
      <w:r>
        <w:t>ACSS</w:t>
      </w:r>
      <w:r w:rsidR="00E435BB">
        <w:t>)</w:t>
      </w:r>
      <w:r>
        <w:t xml:space="preserve"> questionnaire results at</w:t>
      </w:r>
      <w:r w:rsidR="00E435BB">
        <w:t xml:space="preserve"> </w:t>
      </w:r>
      <w:r>
        <w:t>Visit</w:t>
      </w:r>
      <w:r w:rsidR="006A5FBC">
        <w:t>s</w:t>
      </w:r>
      <w:r>
        <w:t xml:space="preserve"> 2, 3 and 4, including:</w:t>
      </w:r>
    </w:p>
    <w:p w14:paraId="6C0475B5" w14:textId="77777777" w:rsidR="00C82A11" w:rsidRDefault="00C82A11" w:rsidP="00C82A11">
      <w:pPr>
        <w:pStyle w:val="ListParagraph"/>
        <w:numPr>
          <w:ilvl w:val="0"/>
          <w:numId w:val="3"/>
        </w:numPr>
        <w:spacing w:after="0"/>
      </w:pPr>
      <w:r>
        <w:t>Severity of each uUTI symptom reported on the ACSS-Typical domain at each visit</w:t>
      </w:r>
    </w:p>
    <w:p w14:paraId="01F6D111" w14:textId="77777777" w:rsidR="00C82A11" w:rsidRDefault="00C82A11" w:rsidP="00C82A11">
      <w:pPr>
        <w:pStyle w:val="ListParagraph"/>
        <w:numPr>
          <w:ilvl w:val="0"/>
          <w:numId w:val="3"/>
        </w:numPr>
        <w:spacing w:after="0"/>
      </w:pPr>
      <w:r>
        <w:t>Sum-score of the ACSS-Typical domain at each visit</w:t>
      </w:r>
    </w:p>
    <w:p w14:paraId="58AAAF63" w14:textId="77777777" w:rsidR="00C82A11" w:rsidRDefault="00C82A11" w:rsidP="00C82A11">
      <w:pPr>
        <w:pStyle w:val="ListParagraph"/>
        <w:numPr>
          <w:ilvl w:val="0"/>
          <w:numId w:val="3"/>
        </w:numPr>
        <w:spacing w:after="0"/>
      </w:pPr>
      <w:r>
        <w:t>Sum-score of the main uUTI symptoms (dysuria, pollakisuria, and urgency) reported on the ACSS-Typical domain at each visit</w:t>
      </w:r>
    </w:p>
    <w:p w14:paraId="7D07DBBE" w14:textId="79A237DC" w:rsidR="00C82A11" w:rsidRDefault="00C82A11" w:rsidP="00C82A11">
      <w:pPr>
        <w:pStyle w:val="ListParagraph"/>
        <w:numPr>
          <w:ilvl w:val="0"/>
          <w:numId w:val="3"/>
        </w:numPr>
        <w:spacing w:after="0"/>
      </w:pPr>
      <w:r>
        <w:t>Clearance of the uUTI symptoms reported on the ACSS-Typical domain (defined as none of the uUTI symptoms score being &gt;1) at each visit</w:t>
      </w:r>
    </w:p>
    <w:p w14:paraId="3F3A742A" w14:textId="2FA1AB0F" w:rsidR="00C82A11" w:rsidRDefault="00C82A11" w:rsidP="00C82A11">
      <w:pPr>
        <w:pStyle w:val="ListParagraph"/>
        <w:numPr>
          <w:ilvl w:val="0"/>
          <w:numId w:val="3"/>
        </w:numPr>
        <w:spacing w:after="0"/>
      </w:pPr>
      <w:r>
        <w:t>Clinical changes defined as clinical cure (sum-score of the main uUTI symptoms - reported on the ACSS-Typical domain ≤3 and none of the symptoms score &gt;1), clinical failure (sum-score of the main uUTI symptoms reported on the ACSS-Typical domain ≥6), and improved (neither the criteria of clinical cure nor the criteria of clinical failure were met) on Days 4, 8 and 38</w:t>
      </w:r>
    </w:p>
    <w:p w14:paraId="14F32A90" w14:textId="2AA0BE4B" w:rsidR="00C82A11" w:rsidRDefault="00C82A11" w:rsidP="00C82A11">
      <w:pPr>
        <w:pStyle w:val="ListParagraph"/>
        <w:numPr>
          <w:ilvl w:val="0"/>
          <w:numId w:val="3"/>
        </w:numPr>
        <w:spacing w:after="0"/>
      </w:pPr>
      <w:r>
        <w:t>Single-item ACSS-Dynamics domain scores on Days 4, 8 and 38</w:t>
      </w:r>
    </w:p>
    <w:p w14:paraId="4A2F0AE2" w14:textId="74BB1975" w:rsidR="00C82A11" w:rsidRDefault="00C82A11" w:rsidP="00C82A11">
      <w:pPr>
        <w:pStyle w:val="ListParagraph"/>
        <w:numPr>
          <w:ilvl w:val="0"/>
          <w:numId w:val="3"/>
        </w:numPr>
        <w:spacing w:after="0"/>
      </w:pPr>
      <w:r>
        <w:t>Single-item ACSS-</w:t>
      </w:r>
      <w:r w:rsidR="00E435BB">
        <w:t>quality of life (</w:t>
      </w:r>
      <w:r>
        <w:t>QoL</w:t>
      </w:r>
      <w:r w:rsidR="00E435BB">
        <w:t>)</w:t>
      </w:r>
      <w:r>
        <w:t xml:space="preserve"> domain scores at each visit</w:t>
      </w:r>
    </w:p>
    <w:p w14:paraId="326CEDCE" w14:textId="2F8631BE" w:rsidR="00C82A11" w:rsidRDefault="00C82A11" w:rsidP="00C82A11">
      <w:pPr>
        <w:pStyle w:val="ListParagraph"/>
        <w:numPr>
          <w:ilvl w:val="0"/>
          <w:numId w:val="3"/>
        </w:numPr>
        <w:spacing w:after="0"/>
      </w:pPr>
      <w:r>
        <w:t>Sum-score of the ACSS-QoL domain at each visit</w:t>
      </w:r>
    </w:p>
    <w:p w14:paraId="17EBBD00" w14:textId="4F3EACB1" w:rsidR="00C82A11" w:rsidRDefault="00C82A11" w:rsidP="00C82A11">
      <w:pPr>
        <w:spacing w:after="0"/>
      </w:pPr>
      <w:r>
        <w:t>•</w:t>
      </w:r>
      <w:r>
        <w:tab/>
        <w:t xml:space="preserve">Amount of bacteriuria </w:t>
      </w:r>
      <w:r w:rsidR="00E435BB">
        <w:t>[colony forming units (</w:t>
      </w:r>
      <w:r>
        <w:t>CFU</w:t>
      </w:r>
      <w:r w:rsidR="00E435BB">
        <w:t>)</w:t>
      </w:r>
      <w:r>
        <w:t>/mL</w:t>
      </w:r>
      <w:r w:rsidR="00E435BB">
        <w:t>]</w:t>
      </w:r>
      <w:r>
        <w:t xml:space="preserve"> on Day</w:t>
      </w:r>
      <w:r w:rsidR="006A5FBC">
        <w:t>s</w:t>
      </w:r>
      <w:r>
        <w:t xml:space="preserve"> 8 and 38</w:t>
      </w:r>
    </w:p>
    <w:p w14:paraId="49BE5AB7" w14:textId="3273F0AC" w:rsidR="00C82A11" w:rsidRDefault="00C82A11" w:rsidP="00C82A11">
      <w:pPr>
        <w:spacing w:after="0"/>
        <w:ind w:left="720" w:hanging="720"/>
      </w:pPr>
      <w:r>
        <w:t>•</w:t>
      </w:r>
      <w:r>
        <w:tab/>
        <w:t>Significant bacteriuria (≥10</w:t>
      </w:r>
      <w:r w:rsidRPr="006E0939">
        <w:rPr>
          <w:vertAlign w:val="superscript"/>
        </w:rPr>
        <w:t>3</w:t>
      </w:r>
      <w:r>
        <w:t xml:space="preserve"> CFU/mL), non-significant bacteriuria, and unknown bacteriuria (i</w:t>
      </w:r>
      <w:r w:rsidR="00E435BB">
        <w:t>.</w:t>
      </w:r>
      <w:r>
        <w:t>e</w:t>
      </w:r>
      <w:r w:rsidR="00E435BB">
        <w:t>.</w:t>
      </w:r>
      <w:r>
        <w:t xml:space="preserve"> microbiological tests were not available for a certain reason, such as too small urine sample) on Days 1, 8 and 38</w:t>
      </w:r>
    </w:p>
    <w:p w14:paraId="26AAF908" w14:textId="49990643" w:rsidR="00C82A11" w:rsidRDefault="00C82A11" w:rsidP="00C82A11">
      <w:pPr>
        <w:spacing w:after="0"/>
      </w:pPr>
      <w:r>
        <w:t>•</w:t>
      </w:r>
      <w:r>
        <w:tab/>
        <w:t>Leukocyturia (positive dipstick) on Day</w:t>
      </w:r>
      <w:r w:rsidR="00E435BB">
        <w:t>s</w:t>
      </w:r>
      <w:r>
        <w:t xml:space="preserve"> 8 and 38</w:t>
      </w:r>
    </w:p>
    <w:p w14:paraId="08208246" w14:textId="10FA989F" w:rsidR="00C82A11" w:rsidRDefault="00C82A11" w:rsidP="00C82A11">
      <w:pPr>
        <w:spacing w:after="0"/>
      </w:pPr>
      <w:r>
        <w:t>•</w:t>
      </w:r>
      <w:r>
        <w:tab/>
        <w:t>Paracetamol intake for acute lower uUTI symptoms between Day</w:t>
      </w:r>
      <w:r w:rsidR="006E0939">
        <w:t>s</w:t>
      </w:r>
      <w:r>
        <w:t xml:space="preserve"> 1 and 38</w:t>
      </w:r>
    </w:p>
    <w:p w14:paraId="62326D27" w14:textId="78BDC574" w:rsidR="00C82A11" w:rsidRDefault="00C82A11" w:rsidP="00C82A11">
      <w:pPr>
        <w:spacing w:after="0"/>
      </w:pPr>
      <w:r>
        <w:t>•</w:t>
      </w:r>
      <w:r>
        <w:tab/>
        <w:t>Investigator’s and patient’s overall assessments of efficacy on Day</w:t>
      </w:r>
      <w:r w:rsidR="006E0939">
        <w:t>s</w:t>
      </w:r>
      <w:r>
        <w:t xml:space="preserve"> 1 and 38</w:t>
      </w:r>
    </w:p>
    <w:p w14:paraId="670CCF78" w14:textId="4267293F" w:rsidR="00C82A11" w:rsidRDefault="00C82A11" w:rsidP="00C82A11">
      <w:pPr>
        <w:spacing w:after="0"/>
        <w:ind w:left="720" w:hanging="720"/>
      </w:pPr>
      <w:r>
        <w:t>•</w:t>
      </w:r>
      <w:r>
        <w:tab/>
        <w:t>IL-6, IL-8, PGE2, and creatinine levels (for normalization) in urine collected on Day</w:t>
      </w:r>
      <w:r w:rsidR="00E435BB">
        <w:t>s</w:t>
      </w:r>
      <w:r>
        <w:t xml:space="preserve"> 1 and 8 (for a subset of patients in selected investigational </w:t>
      </w:r>
      <w:r w:rsidRPr="00A15C35">
        <w:t>sites)</w:t>
      </w:r>
      <w:r w:rsidR="00185B42">
        <w:t xml:space="preserve"> </w:t>
      </w:r>
      <w:r w:rsidR="00F42673" w:rsidRPr="00A15C35">
        <w:t>(</w:t>
      </w:r>
      <w:r w:rsidR="00A15C35">
        <w:t>d</w:t>
      </w:r>
      <w:r w:rsidR="00F42673" w:rsidRPr="00A15C35">
        <w:t>ata reported elsewhere)</w:t>
      </w:r>
    </w:p>
    <w:p w14:paraId="5CAC614E" w14:textId="77777777" w:rsidR="00C82A11" w:rsidRPr="00C82A11" w:rsidRDefault="00C82A11" w:rsidP="00C82A11">
      <w:pPr>
        <w:spacing w:after="0"/>
        <w:ind w:left="720" w:hanging="720"/>
      </w:pPr>
    </w:p>
    <w:p w14:paraId="22420FEF" w14:textId="77777777" w:rsidR="00EC7850" w:rsidRDefault="00EC7850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109C5828" w14:textId="26D803E5" w:rsidR="007535BE" w:rsidRPr="006C49CA" w:rsidRDefault="00547E3C" w:rsidP="006C49CA">
      <w:pPr>
        <w:pStyle w:val="ACCNormal"/>
      </w:pPr>
      <w:bookmarkStart w:id="4" w:name="_Toc514925608"/>
      <w:r w:rsidRPr="006C49CA">
        <w:lastRenderedPageBreak/>
        <w:t>INCLUSION CRITERIA</w:t>
      </w:r>
      <w:bookmarkEnd w:id="4"/>
    </w:p>
    <w:p w14:paraId="4782BC80" w14:textId="77777777" w:rsidR="007535BE" w:rsidRDefault="007535BE" w:rsidP="007535BE">
      <w:pPr>
        <w:spacing w:after="0"/>
      </w:pPr>
      <w:r>
        <w:t>The inclusion criteria were:</w:t>
      </w:r>
    </w:p>
    <w:p w14:paraId="7D865D41" w14:textId="5988ADA4" w:rsidR="007535BE" w:rsidRDefault="007535BE" w:rsidP="007535BE">
      <w:pPr>
        <w:spacing w:after="0"/>
      </w:pPr>
      <w:r>
        <w:t>1.</w:t>
      </w:r>
      <w:r>
        <w:tab/>
        <w:t>Signed informed consent and data protection declaration</w:t>
      </w:r>
    </w:p>
    <w:p w14:paraId="26B46FE4" w14:textId="595711C4" w:rsidR="007535BE" w:rsidRDefault="007535BE" w:rsidP="007535BE">
      <w:pPr>
        <w:spacing w:after="0"/>
      </w:pPr>
      <w:r>
        <w:t>2.</w:t>
      </w:r>
      <w:r>
        <w:tab/>
        <w:t>Female outpatients aged 18</w:t>
      </w:r>
      <w:r w:rsidR="006006BD">
        <w:t>–</w:t>
      </w:r>
      <w:r>
        <w:t>70 years</w:t>
      </w:r>
    </w:p>
    <w:p w14:paraId="7335393E" w14:textId="5DBB3804" w:rsidR="007535BE" w:rsidRDefault="007535BE" w:rsidP="007535BE">
      <w:pPr>
        <w:spacing w:after="0"/>
        <w:ind w:left="720" w:hanging="720"/>
      </w:pPr>
      <w:r>
        <w:t>3.</w:t>
      </w:r>
      <w:r>
        <w:tab/>
        <w:t>Sum-score of the three main uUTI symptoms (dysuria [</w:t>
      </w:r>
      <w:r w:rsidR="006D2A66">
        <w:t>‘</w:t>
      </w:r>
      <w:r>
        <w:t>feeling pain or burning when passing urine</w:t>
      </w:r>
      <w:r w:rsidR="006D2A66">
        <w:t>’</w:t>
      </w:r>
      <w:r>
        <w:t xml:space="preserve"> No.3], pollakisuria [</w:t>
      </w:r>
      <w:r w:rsidR="006D2A66">
        <w:t>‘</w:t>
      </w:r>
      <w:r>
        <w:t>frequent urination of small volumes of urine</w:t>
      </w:r>
      <w:r w:rsidR="006D2A66">
        <w:t>’</w:t>
      </w:r>
      <w:r>
        <w:t>, No. 1], and urgency [</w:t>
      </w:r>
      <w:r w:rsidR="006D2A66">
        <w:t>‘</w:t>
      </w:r>
      <w:r>
        <w:t>Urgent urination</w:t>
      </w:r>
      <w:r w:rsidR="006D2A66">
        <w:t>’</w:t>
      </w:r>
      <w:r>
        <w:t xml:space="preserve">, No. 2]) reported on the ACSS-Typical domain </w:t>
      </w:r>
      <w:r w:rsidR="00C82A11">
        <w:t>on Day 1</w:t>
      </w:r>
      <w:r>
        <w:t xml:space="preserve"> is ≥ 6</w:t>
      </w:r>
    </w:p>
    <w:p w14:paraId="5BE2014C" w14:textId="7260CDFD" w:rsidR="007535BE" w:rsidRDefault="007535BE" w:rsidP="007535BE">
      <w:pPr>
        <w:spacing w:after="0"/>
        <w:ind w:left="720" w:hanging="720"/>
      </w:pPr>
      <w:r>
        <w:t>4.</w:t>
      </w:r>
      <w:r>
        <w:tab/>
        <w:t xml:space="preserve">Symptoms of the acute episode of lower uUTI were developed within </w:t>
      </w:r>
      <w:r w:rsidR="006006BD">
        <w:rPr>
          <w:rFonts w:cstheme="minorHAnsi"/>
        </w:rPr>
        <w:t>≤</w:t>
      </w:r>
      <w:r>
        <w:t xml:space="preserve">6 days prior to </w:t>
      </w:r>
      <w:r w:rsidR="00C82A11">
        <w:t>Day 1</w:t>
      </w:r>
    </w:p>
    <w:p w14:paraId="0858B188" w14:textId="6FD419AE" w:rsidR="007535BE" w:rsidRDefault="007535BE" w:rsidP="007535BE">
      <w:pPr>
        <w:spacing w:after="0"/>
      </w:pPr>
      <w:r>
        <w:t>5.</w:t>
      </w:r>
      <w:r>
        <w:tab/>
        <w:t xml:space="preserve">Leukocyturia </w:t>
      </w:r>
      <w:r w:rsidR="00C82A11">
        <w:t>on Day 1</w:t>
      </w:r>
      <w:r>
        <w:t>, confirmed by positive dipstick</w:t>
      </w:r>
    </w:p>
    <w:p w14:paraId="4D9F579E" w14:textId="7DFD0C76" w:rsidR="007535BE" w:rsidRDefault="007535BE" w:rsidP="007535BE">
      <w:pPr>
        <w:spacing w:after="0"/>
        <w:ind w:left="720" w:hanging="720"/>
      </w:pPr>
      <w:r>
        <w:t>6.</w:t>
      </w:r>
      <w:r>
        <w:tab/>
        <w:t>Patients willing to refrain from consuming prohibited concomitant medications and products</w:t>
      </w:r>
    </w:p>
    <w:p w14:paraId="5BFF9AF6" w14:textId="553090FE" w:rsidR="007535BE" w:rsidRDefault="007535BE" w:rsidP="007535BE">
      <w:pPr>
        <w:spacing w:after="0"/>
        <w:ind w:left="720" w:hanging="720"/>
      </w:pPr>
      <w:r>
        <w:t>7.</w:t>
      </w:r>
      <w:r>
        <w:tab/>
        <w:t xml:space="preserve">Non-lactating female patients who were surgically sterile (had a documented sterilization, bilateral oophorectomy </w:t>
      </w:r>
      <w:r w:rsidR="006006BD">
        <w:rPr>
          <w:rFonts w:cstheme="minorHAnsi"/>
        </w:rPr>
        <w:t>≥</w:t>
      </w:r>
      <w:r>
        <w:t xml:space="preserve">3 months before the start of the trial and/or hysterectomy), or postmenopausal (cessation of menses for </w:t>
      </w:r>
      <w:r w:rsidR="006006BD">
        <w:rPr>
          <w:rFonts w:cstheme="minorHAnsi"/>
        </w:rPr>
        <w:t>≥</w:t>
      </w:r>
      <w:r>
        <w:t xml:space="preserve">12 months), or women of childbearing potential with a negative pregnancy test </w:t>
      </w:r>
      <w:r w:rsidR="00C82A11">
        <w:t>on Day 1</w:t>
      </w:r>
      <w:r>
        <w:t xml:space="preserve"> willing to use highly effective (failure rate less than 1% per year, i</w:t>
      </w:r>
      <w:r w:rsidR="006006BD">
        <w:t>.</w:t>
      </w:r>
      <w:r>
        <w:t>e</w:t>
      </w:r>
      <w:r w:rsidR="006006BD">
        <w:t>.</w:t>
      </w:r>
      <w:r>
        <w:t>, Pearl Index &lt;1) contraception methods, e</w:t>
      </w:r>
      <w:r w:rsidR="006006BD">
        <w:t>.</w:t>
      </w:r>
      <w:r>
        <w:t>g</w:t>
      </w:r>
      <w:r w:rsidR="006006BD">
        <w:t>.</w:t>
      </w:r>
      <w:r>
        <w:t xml:space="preserve"> contraceptive patch, oral, injected or implanted hormonal methods of contraception, or one of the following double-barrier method methods:</w:t>
      </w:r>
    </w:p>
    <w:p w14:paraId="079C99C4" w14:textId="4337467A" w:rsidR="007535BE" w:rsidRDefault="006006BD" w:rsidP="007535BE">
      <w:pPr>
        <w:pStyle w:val="ListParagraph"/>
        <w:numPr>
          <w:ilvl w:val="0"/>
          <w:numId w:val="1"/>
        </w:numPr>
        <w:spacing w:after="0"/>
      </w:pPr>
      <w:r>
        <w:t>C</w:t>
      </w:r>
      <w:r w:rsidR="007535BE">
        <w:t xml:space="preserve">ondom* AND occlusive cap (diaphragm or </w:t>
      </w:r>
      <w:proofErr w:type="spellStart"/>
      <w:r w:rsidR="007535BE">
        <w:t>Portio</w:t>
      </w:r>
      <w:proofErr w:type="spellEnd"/>
      <w:r w:rsidR="007535BE">
        <w:t xml:space="preserve"> cap or Lea </w:t>
      </w:r>
      <w:proofErr w:type="spellStart"/>
      <w:r w:rsidR="007535BE">
        <w:t>Contraceptivum</w:t>
      </w:r>
      <w:proofErr w:type="spellEnd"/>
      <w:r w:rsidR="007535BE">
        <w:t>) with spermicidal foam/gel/film/cream/suppository (*A female condom and a male condom were not to be used together as friction between the two can result in either product failing.), OR</w:t>
      </w:r>
    </w:p>
    <w:p w14:paraId="2BCE861B" w14:textId="3A9786DE" w:rsidR="007535BE" w:rsidRDefault="006006BD" w:rsidP="007535BE">
      <w:pPr>
        <w:pStyle w:val="ListParagraph"/>
        <w:numPr>
          <w:ilvl w:val="0"/>
          <w:numId w:val="1"/>
        </w:numPr>
        <w:spacing w:after="0"/>
      </w:pPr>
      <w:r>
        <w:t>H</w:t>
      </w:r>
      <w:r w:rsidR="007535BE">
        <w:t>ormone-free intra uterine device (IUD) AND condom, OR</w:t>
      </w:r>
    </w:p>
    <w:p w14:paraId="3F57BCFE" w14:textId="621DD69A" w:rsidR="007535BE" w:rsidRDefault="006006BD" w:rsidP="007535BE">
      <w:pPr>
        <w:pStyle w:val="ListParagraph"/>
        <w:numPr>
          <w:ilvl w:val="0"/>
          <w:numId w:val="1"/>
        </w:numPr>
        <w:spacing w:after="0"/>
      </w:pPr>
      <w:r>
        <w:t>H</w:t>
      </w:r>
      <w:r w:rsidR="007535BE">
        <w:t>ormone-free IUD AND sponge, OR</w:t>
      </w:r>
    </w:p>
    <w:p w14:paraId="6220F510" w14:textId="2DBEB7A0" w:rsidR="007535BE" w:rsidRDefault="006006BD" w:rsidP="007535BE">
      <w:pPr>
        <w:pStyle w:val="ListParagraph"/>
        <w:numPr>
          <w:ilvl w:val="0"/>
          <w:numId w:val="1"/>
        </w:numPr>
        <w:spacing w:after="0"/>
      </w:pPr>
      <w:r>
        <w:t>H</w:t>
      </w:r>
      <w:r w:rsidR="007535BE">
        <w:t>ormone-free IUD AND spermicidal foam/gel/film/cream/suppository OR</w:t>
      </w:r>
    </w:p>
    <w:p w14:paraId="356A3BF0" w14:textId="77777777" w:rsidR="007535BE" w:rsidRDefault="007535BE" w:rsidP="007535BE">
      <w:pPr>
        <w:pStyle w:val="ListParagraph"/>
        <w:numPr>
          <w:ilvl w:val="0"/>
          <w:numId w:val="1"/>
        </w:numPr>
        <w:spacing w:after="0"/>
      </w:pPr>
      <w:r>
        <w:t>Intrauterine System (hormonal coil, Mirena® or similar)</w:t>
      </w:r>
    </w:p>
    <w:p w14:paraId="584FD462" w14:textId="08973B43" w:rsidR="007535BE" w:rsidRDefault="006006BD" w:rsidP="007535BE">
      <w:pPr>
        <w:pStyle w:val="ListParagraph"/>
        <w:numPr>
          <w:ilvl w:val="0"/>
          <w:numId w:val="1"/>
        </w:numPr>
        <w:spacing w:after="0"/>
      </w:pPr>
      <w:r>
        <w:t>V</w:t>
      </w:r>
      <w:r w:rsidR="007535BE">
        <w:t>asectomized partner (at least three months before the start of the trial) OR</w:t>
      </w:r>
    </w:p>
    <w:p w14:paraId="3CF78F28" w14:textId="2CC92D6B" w:rsidR="007535BE" w:rsidRDefault="006006BD" w:rsidP="007535BE">
      <w:pPr>
        <w:pStyle w:val="ListParagraph"/>
        <w:numPr>
          <w:ilvl w:val="0"/>
          <w:numId w:val="1"/>
        </w:numPr>
        <w:spacing w:after="0"/>
      </w:pPr>
      <w:r>
        <w:t>S</w:t>
      </w:r>
      <w:r w:rsidR="007535BE">
        <w:t>exual abstinence during the trial including the follow-up period</w:t>
      </w:r>
    </w:p>
    <w:p w14:paraId="7D8ECF3E" w14:textId="4A680C2F" w:rsidR="007535BE" w:rsidRDefault="007535BE" w:rsidP="007535BE">
      <w:pPr>
        <w:spacing w:after="0"/>
      </w:pPr>
    </w:p>
    <w:p w14:paraId="0D018279" w14:textId="77777777" w:rsidR="00EC7850" w:rsidRDefault="00EC7850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14A84C01" w14:textId="0901AC41" w:rsidR="007535BE" w:rsidRPr="006C49CA" w:rsidRDefault="00547E3C" w:rsidP="006C49CA">
      <w:pPr>
        <w:pStyle w:val="ACCNormal"/>
      </w:pPr>
      <w:bookmarkStart w:id="5" w:name="_Toc514925609"/>
      <w:r w:rsidRPr="006C49CA">
        <w:lastRenderedPageBreak/>
        <w:t>EXCLUSION CRITERIA</w:t>
      </w:r>
      <w:bookmarkEnd w:id="5"/>
    </w:p>
    <w:p w14:paraId="5CCF2F6B" w14:textId="77777777" w:rsidR="007535BE" w:rsidRDefault="007535BE" w:rsidP="007535BE">
      <w:pPr>
        <w:spacing w:after="0"/>
      </w:pPr>
      <w:r>
        <w:t>The exclusion criteria were:</w:t>
      </w:r>
    </w:p>
    <w:p w14:paraId="135AFE08" w14:textId="501F869F" w:rsidR="007535BE" w:rsidRDefault="007535BE" w:rsidP="00D2030F">
      <w:pPr>
        <w:spacing w:after="0" w:line="240" w:lineRule="auto"/>
        <w:ind w:left="720" w:hanging="720"/>
      </w:pPr>
      <w:r>
        <w:t>1.</w:t>
      </w:r>
      <w:r>
        <w:tab/>
        <w:t>Any signs of complicated UTIs, pyelonephritis (i</w:t>
      </w:r>
      <w:r w:rsidR="000440D9">
        <w:t>.</w:t>
      </w:r>
      <w:r>
        <w:t>e</w:t>
      </w:r>
      <w:r w:rsidR="000440D9">
        <w:t>.</w:t>
      </w:r>
      <w:r>
        <w:t>, fever temperature ≥38</w:t>
      </w:r>
      <w:r w:rsidR="006C49CA">
        <w:t>·</w:t>
      </w:r>
      <w:r>
        <w:t xml:space="preserve">0°C [grade 2], flank and/or back pain, chills and shivers), and/or vulvo-vaginitis with vaginal and/or with urethral discharge (without urination) </w:t>
      </w:r>
      <w:r w:rsidR="00C82A11">
        <w:t>on Day 1</w:t>
      </w:r>
    </w:p>
    <w:p w14:paraId="24D02A70" w14:textId="3CE01E90" w:rsidR="007535BE" w:rsidRDefault="007535BE" w:rsidP="00D2030F">
      <w:pPr>
        <w:spacing w:after="0" w:line="240" w:lineRule="auto"/>
        <w:ind w:left="720" w:hanging="720"/>
      </w:pPr>
      <w:r>
        <w:t>2.</w:t>
      </w:r>
      <w:r>
        <w:tab/>
        <w:t>Any conditions that may lead to complicated infections (i</w:t>
      </w:r>
      <w:r w:rsidR="000440D9">
        <w:t>.</w:t>
      </w:r>
      <w:r>
        <w:t>e</w:t>
      </w:r>
      <w:r w:rsidR="000440D9">
        <w:t>.</w:t>
      </w:r>
      <w:r>
        <w:t xml:space="preserve"> renal diseases, urinary tract abnormalities or past urinary surgery, urine catheterization, uncontrolled diabetes mellitus, spinal cord injury, etc.)</w:t>
      </w:r>
    </w:p>
    <w:p w14:paraId="60F8C0A2" w14:textId="196A0AD0" w:rsidR="007535BE" w:rsidRDefault="007535BE" w:rsidP="00D2030F">
      <w:pPr>
        <w:spacing w:after="0" w:line="240" w:lineRule="auto"/>
      </w:pPr>
      <w:r>
        <w:t>3.</w:t>
      </w:r>
      <w:r>
        <w:tab/>
      </w:r>
      <w:r w:rsidR="00CB2954">
        <w:t xml:space="preserve">Recurrent </w:t>
      </w:r>
      <w:r>
        <w:t>infection of the urinary tract known from medical history</w:t>
      </w:r>
    </w:p>
    <w:p w14:paraId="4202FEA9" w14:textId="7D015918" w:rsidR="007535BE" w:rsidRDefault="007535BE" w:rsidP="00D2030F">
      <w:pPr>
        <w:spacing w:after="0" w:line="240" w:lineRule="auto"/>
        <w:ind w:left="720" w:hanging="720"/>
      </w:pPr>
      <w:r>
        <w:t>4.</w:t>
      </w:r>
      <w:r>
        <w:tab/>
        <w:t>Persisting signs or symptoms of severe, progressive, or uncontrolled systemic disease (i</w:t>
      </w:r>
      <w:r w:rsidR="000440D9">
        <w:t>.</w:t>
      </w:r>
      <w:r>
        <w:t>e</w:t>
      </w:r>
      <w:r w:rsidR="000440D9">
        <w:t>.</w:t>
      </w:r>
      <w:r>
        <w:t xml:space="preserve"> renal, hepatic, biliary, hematological, gastro-intestinal, endocrine, pulmonary, cardiac, neurological, or cerebral disease)</w:t>
      </w:r>
    </w:p>
    <w:p w14:paraId="07F0843F" w14:textId="37C3E54E" w:rsidR="007535BE" w:rsidRDefault="007535BE" w:rsidP="00D2030F">
      <w:pPr>
        <w:spacing w:after="0" w:line="240" w:lineRule="auto"/>
      </w:pPr>
      <w:r>
        <w:t>5.</w:t>
      </w:r>
      <w:r>
        <w:tab/>
        <w:t xml:space="preserve">Uncontrolled hypertension (a diastolic blood pressure &gt;95 mmHg </w:t>
      </w:r>
      <w:r w:rsidR="00C82A11">
        <w:t>on Day 1</w:t>
      </w:r>
      <w:r>
        <w:t>)</w:t>
      </w:r>
    </w:p>
    <w:p w14:paraId="310E191D" w14:textId="4082A2CA" w:rsidR="007535BE" w:rsidRDefault="007535BE" w:rsidP="00D2030F">
      <w:pPr>
        <w:spacing w:after="0" w:line="240" w:lineRule="auto"/>
        <w:ind w:left="720" w:hanging="720"/>
      </w:pPr>
      <w:r>
        <w:t>6.</w:t>
      </w:r>
      <w:r>
        <w:tab/>
        <w:t xml:space="preserve">Known severe cardiac insufficiency, coronary heart disease, valvular heart disease, cardiac arrhythmia, QT interval prolongation or other severe cardiac disease at </w:t>
      </w:r>
      <w:r w:rsidR="00C82A11">
        <w:t>Day 1</w:t>
      </w:r>
    </w:p>
    <w:p w14:paraId="04E6382B" w14:textId="54CE685B" w:rsidR="007535BE" w:rsidRDefault="007535BE" w:rsidP="00D2030F">
      <w:pPr>
        <w:spacing w:after="0" w:line="240" w:lineRule="auto"/>
      </w:pPr>
      <w:r>
        <w:t>7.</w:t>
      </w:r>
      <w:r>
        <w:tab/>
        <w:t xml:space="preserve">Any AB therapy within 30 days prior </w:t>
      </w:r>
      <w:r w:rsidR="00C82A11">
        <w:t>to Day 1</w:t>
      </w:r>
    </w:p>
    <w:p w14:paraId="0F0579CE" w14:textId="688555BA" w:rsidR="007535BE" w:rsidRDefault="007535BE" w:rsidP="00D2030F">
      <w:pPr>
        <w:spacing w:after="0" w:line="240" w:lineRule="auto"/>
      </w:pPr>
      <w:r>
        <w:t>8.</w:t>
      </w:r>
      <w:r>
        <w:tab/>
        <w:t xml:space="preserve">Other acute infections (except uUTIs) requiring AB treatment </w:t>
      </w:r>
      <w:r w:rsidR="00C82A11">
        <w:t>on Day 1</w:t>
      </w:r>
    </w:p>
    <w:p w14:paraId="601E7F71" w14:textId="6114FFC9" w:rsidR="007535BE" w:rsidRDefault="007535BE" w:rsidP="00D2030F">
      <w:pPr>
        <w:spacing w:after="0" w:line="240" w:lineRule="auto"/>
        <w:ind w:left="720" w:hanging="720"/>
      </w:pPr>
      <w:r>
        <w:t>9.</w:t>
      </w:r>
      <w:r>
        <w:tab/>
        <w:t xml:space="preserve">Patients receiving treatment for suspected or confirmed UTI (AB or phytopharmaceutical) within 30 days prior to </w:t>
      </w:r>
      <w:r w:rsidR="00C82A11">
        <w:t>Day 1</w:t>
      </w:r>
    </w:p>
    <w:p w14:paraId="0D0C0751" w14:textId="6A3A8E83" w:rsidR="007535BE" w:rsidRDefault="007535BE" w:rsidP="00D2030F">
      <w:pPr>
        <w:spacing w:after="0" w:line="240" w:lineRule="auto"/>
        <w:ind w:left="720" w:hanging="720"/>
      </w:pPr>
      <w:r>
        <w:t>10.</w:t>
      </w:r>
      <w:r>
        <w:tab/>
        <w:t>Patients who took anti-inflammatory or analgesic drugs (e</w:t>
      </w:r>
      <w:r w:rsidR="000440D9">
        <w:t>.</w:t>
      </w:r>
      <w:r>
        <w:t>g</w:t>
      </w:r>
      <w:r w:rsidR="000440D9">
        <w:t>.</w:t>
      </w:r>
      <w:r>
        <w:t xml:space="preserve"> ibuprofen, paracetamol, acetylsalicylic acid) or spasmolytics for any reason within 24 hours prior to Visit 1, and/or were not willing to stop the intake of any of the following medication not permitted for use during the trial: </w:t>
      </w:r>
      <w:r w:rsidRPr="007535BE">
        <w:rPr>
          <w:i/>
        </w:rPr>
        <w:t>Rosmarini folium, Levistici radix,</w:t>
      </w:r>
      <w:r>
        <w:t xml:space="preserve"> and </w:t>
      </w:r>
      <w:r w:rsidRPr="007535BE">
        <w:rPr>
          <w:i/>
        </w:rPr>
        <w:t>Centaurii herba</w:t>
      </w:r>
      <w:r>
        <w:t xml:space="preserve"> supplements other than the CLR </w:t>
      </w:r>
      <w:r w:rsidR="006A5FBC">
        <w:t>[</w:t>
      </w:r>
      <w:r>
        <w:t xml:space="preserve">investigational medicinal product </w:t>
      </w:r>
      <w:r w:rsidR="006A5FBC">
        <w:t>(</w:t>
      </w:r>
      <w:r>
        <w:t>IMP)</w:t>
      </w:r>
      <w:r w:rsidR="006A5FBC">
        <w:t>]</w:t>
      </w:r>
      <w:r>
        <w:t>, anti-inflammatory or analgesic drugs (e</w:t>
      </w:r>
      <w:r w:rsidR="006A5FBC">
        <w:t>.</w:t>
      </w:r>
      <w:r>
        <w:t>g</w:t>
      </w:r>
      <w:r w:rsidR="006A5FBC">
        <w:t>.</w:t>
      </w:r>
      <w:r>
        <w:t xml:space="preserve"> ibuprofen, acetylsalicylic acid, with exception of paracetamol), spasmolytics, herbal drugs or supplements, cranberry juice, and kidney or bladder teas</w:t>
      </w:r>
    </w:p>
    <w:p w14:paraId="21816C2B" w14:textId="5AC405BE" w:rsidR="007535BE" w:rsidRDefault="007535BE" w:rsidP="00D2030F">
      <w:pPr>
        <w:spacing w:after="0" w:line="240" w:lineRule="auto"/>
      </w:pPr>
      <w:r>
        <w:t>11.</w:t>
      </w:r>
      <w:r>
        <w:tab/>
        <w:t>Known severe impaired renal function (creatinine clearance &lt;20 mL/min)</w:t>
      </w:r>
    </w:p>
    <w:p w14:paraId="7D1F7ADE" w14:textId="637A25CF" w:rsidR="007535BE" w:rsidRDefault="007535BE" w:rsidP="00D2030F">
      <w:pPr>
        <w:spacing w:after="0" w:line="240" w:lineRule="auto"/>
        <w:ind w:left="720" w:hanging="720"/>
      </w:pPr>
      <w:r>
        <w:t>12.</w:t>
      </w:r>
      <w:r>
        <w:tab/>
        <w:t xml:space="preserve">Known history of oncological disease which had not been cured or was not stable within </w:t>
      </w:r>
      <w:r w:rsidR="006A5FBC">
        <w:t>12 </w:t>
      </w:r>
      <w:r>
        <w:t xml:space="preserve">months prior to </w:t>
      </w:r>
      <w:r w:rsidR="00C82A11">
        <w:t>Day 1</w:t>
      </w:r>
    </w:p>
    <w:p w14:paraId="3BB9A144" w14:textId="30755A48" w:rsidR="007535BE" w:rsidRDefault="007535BE" w:rsidP="00D2030F">
      <w:pPr>
        <w:spacing w:after="0" w:line="240" w:lineRule="auto"/>
      </w:pPr>
      <w:r>
        <w:t>13.</w:t>
      </w:r>
      <w:r>
        <w:tab/>
        <w:t>Active peptic ulcers</w:t>
      </w:r>
    </w:p>
    <w:p w14:paraId="5B6C890A" w14:textId="2F2F1929" w:rsidR="007535BE" w:rsidRDefault="007535BE" w:rsidP="00D2030F">
      <w:pPr>
        <w:spacing w:after="0" w:line="240" w:lineRule="auto"/>
        <w:ind w:left="720" w:hanging="720"/>
      </w:pPr>
      <w:r>
        <w:t>14.</w:t>
      </w:r>
      <w:r>
        <w:tab/>
        <w:t xml:space="preserve">Immunosuppressive or immunostimulant (including vaccines) therapy within 30 days prior to </w:t>
      </w:r>
      <w:r w:rsidR="00C82A11">
        <w:t>Day 1</w:t>
      </w:r>
    </w:p>
    <w:p w14:paraId="6DD22E94" w14:textId="60095774" w:rsidR="007535BE" w:rsidRDefault="007535BE" w:rsidP="00D2030F">
      <w:pPr>
        <w:spacing w:after="0" w:line="240" w:lineRule="auto"/>
        <w:ind w:left="720" w:hanging="720"/>
      </w:pPr>
      <w:r>
        <w:t>15.</w:t>
      </w:r>
      <w:r>
        <w:tab/>
        <w:t xml:space="preserve">Hypersensitivity to CLR (active substances or any of the excipients), to other plants of the </w:t>
      </w:r>
      <w:proofErr w:type="spellStart"/>
      <w:r w:rsidRPr="007535BE">
        <w:rPr>
          <w:i/>
        </w:rPr>
        <w:t>Apiaceae</w:t>
      </w:r>
      <w:proofErr w:type="spellEnd"/>
      <w:r w:rsidRPr="007535BE">
        <w:rPr>
          <w:i/>
        </w:rPr>
        <w:t xml:space="preserve"> (</w:t>
      </w:r>
      <w:proofErr w:type="spellStart"/>
      <w:r w:rsidRPr="007535BE">
        <w:rPr>
          <w:i/>
        </w:rPr>
        <w:t>Umbelliferae</w:t>
      </w:r>
      <w:proofErr w:type="spellEnd"/>
      <w:r w:rsidRPr="007535BE">
        <w:rPr>
          <w:i/>
        </w:rPr>
        <w:t>)</w:t>
      </w:r>
      <w:r>
        <w:t xml:space="preserve"> family (e</w:t>
      </w:r>
      <w:r w:rsidR="000440D9">
        <w:t>.</w:t>
      </w:r>
      <w:r>
        <w:t>g</w:t>
      </w:r>
      <w:r w:rsidR="000440D9">
        <w:t>.</w:t>
      </w:r>
      <w:r>
        <w:t xml:space="preserve"> anise, fennel), and to anethole (i</w:t>
      </w:r>
      <w:r w:rsidR="000440D9">
        <w:t>.</w:t>
      </w:r>
      <w:r>
        <w:t>e</w:t>
      </w:r>
      <w:r w:rsidR="000440D9">
        <w:t>.</w:t>
      </w:r>
      <w:r>
        <w:t xml:space="preserve"> a component of the essential oils of anise, fennel, etc.)</w:t>
      </w:r>
    </w:p>
    <w:p w14:paraId="3351DDD3" w14:textId="587560E0" w:rsidR="007535BE" w:rsidRDefault="007535BE" w:rsidP="00D2030F">
      <w:pPr>
        <w:spacing w:after="0" w:line="240" w:lineRule="auto"/>
      </w:pPr>
      <w:r>
        <w:t>16.</w:t>
      </w:r>
      <w:r>
        <w:tab/>
        <w:t>Hypersensitivity to FT or to any of the excipients</w:t>
      </w:r>
    </w:p>
    <w:p w14:paraId="66B7BD71" w14:textId="2A1258ED" w:rsidR="007535BE" w:rsidRDefault="007535BE" w:rsidP="00D2030F">
      <w:pPr>
        <w:spacing w:after="0" w:line="240" w:lineRule="auto"/>
      </w:pPr>
      <w:r>
        <w:t>17.</w:t>
      </w:r>
      <w:r>
        <w:tab/>
        <w:t>History of severe drug allergy or hypersensitivity</w:t>
      </w:r>
    </w:p>
    <w:p w14:paraId="31EB976E" w14:textId="1CEA56FD" w:rsidR="007535BE" w:rsidRDefault="007535BE" w:rsidP="00D2030F">
      <w:pPr>
        <w:spacing w:after="0" w:line="240" w:lineRule="auto"/>
        <w:ind w:left="720" w:hanging="720"/>
      </w:pPr>
      <w:r>
        <w:t>18.</w:t>
      </w:r>
      <w:r>
        <w:tab/>
        <w:t xml:space="preserve">Hereditary fructose intolerance, glucose-galactose malabsorption, </w:t>
      </w:r>
      <w:proofErr w:type="spellStart"/>
      <w:r>
        <w:t>saccharase-isomaltase</w:t>
      </w:r>
      <w:proofErr w:type="spellEnd"/>
      <w:r>
        <w:t xml:space="preserve"> insufficiency, galactose intolerance, or lactase deficiency</w:t>
      </w:r>
    </w:p>
    <w:p w14:paraId="361D28B5" w14:textId="6517E80C" w:rsidR="007535BE" w:rsidRDefault="007535BE" w:rsidP="00D2030F">
      <w:pPr>
        <w:spacing w:after="0" w:line="240" w:lineRule="auto"/>
      </w:pPr>
      <w:r>
        <w:t>19.</w:t>
      </w:r>
      <w:r>
        <w:tab/>
        <w:t>Known human immunodeficiency virus-positive infection</w:t>
      </w:r>
    </w:p>
    <w:p w14:paraId="17AF881D" w14:textId="612E00C7" w:rsidR="007535BE" w:rsidRDefault="007535BE" w:rsidP="00D2030F">
      <w:pPr>
        <w:spacing w:after="0" w:line="240" w:lineRule="auto"/>
      </w:pPr>
      <w:r>
        <w:t>20.</w:t>
      </w:r>
      <w:r>
        <w:tab/>
        <w:t>History of or current alcohol or drug abuse</w:t>
      </w:r>
    </w:p>
    <w:p w14:paraId="44058AA4" w14:textId="324426D6" w:rsidR="007535BE" w:rsidRDefault="007535BE" w:rsidP="00D2030F">
      <w:pPr>
        <w:spacing w:after="0" w:line="240" w:lineRule="auto"/>
      </w:pPr>
      <w:r>
        <w:t>21.</w:t>
      </w:r>
      <w:r>
        <w:tab/>
        <w:t xml:space="preserve">Pregnancy (as confirmed by urine pregnancy test </w:t>
      </w:r>
      <w:r w:rsidR="00C82A11">
        <w:t>on Day 1</w:t>
      </w:r>
      <w:r>
        <w:t>)</w:t>
      </w:r>
    </w:p>
    <w:p w14:paraId="23A481B5" w14:textId="7B929BC2" w:rsidR="007535BE" w:rsidRDefault="007535BE" w:rsidP="00D2030F">
      <w:pPr>
        <w:spacing w:after="0" w:line="240" w:lineRule="auto"/>
      </w:pPr>
      <w:r>
        <w:t>22.</w:t>
      </w:r>
      <w:r>
        <w:tab/>
        <w:t>Breast-feeding</w:t>
      </w:r>
    </w:p>
    <w:p w14:paraId="7910C535" w14:textId="426E4E46" w:rsidR="007535BE" w:rsidRDefault="007535BE" w:rsidP="00D2030F">
      <w:pPr>
        <w:spacing w:after="0" w:line="240" w:lineRule="auto"/>
        <w:ind w:left="720" w:hanging="720"/>
      </w:pPr>
      <w:r>
        <w:t>23.</w:t>
      </w:r>
      <w:r>
        <w:tab/>
        <w:t>Legal incapacity and/or other circumstances rendering the patient unable to understand the nature, scope, and possible impact of the trial</w:t>
      </w:r>
    </w:p>
    <w:p w14:paraId="136A74E6" w14:textId="1CBDA361" w:rsidR="007535BE" w:rsidRDefault="007535BE" w:rsidP="00D2030F">
      <w:pPr>
        <w:spacing w:after="0" w:line="240" w:lineRule="auto"/>
      </w:pPr>
      <w:r>
        <w:t>24.</w:t>
      </w:r>
      <w:r>
        <w:tab/>
        <w:t>Known to be, or suspected of being unable to comply with the trial protocol</w:t>
      </w:r>
    </w:p>
    <w:p w14:paraId="76134BBB" w14:textId="323192CF" w:rsidR="007535BE" w:rsidRDefault="007535BE" w:rsidP="00D2030F">
      <w:pPr>
        <w:spacing w:after="0" w:line="240" w:lineRule="auto"/>
        <w:ind w:left="720" w:hanging="720"/>
      </w:pPr>
      <w:r>
        <w:t>25.</w:t>
      </w:r>
      <w:r>
        <w:tab/>
        <w:t>Patients who were currently participating or had participated in another clinical trial within 30 days prior to Visit 1 or had previously participated in the current clinical trial</w:t>
      </w:r>
    </w:p>
    <w:p w14:paraId="5B6B17BC" w14:textId="1ADFB611" w:rsidR="00EC7850" w:rsidRPr="00A15C35" w:rsidRDefault="007535BE" w:rsidP="00D2030F">
      <w:pPr>
        <w:spacing w:after="0" w:line="240" w:lineRule="auto"/>
        <w:ind w:left="720" w:hanging="720"/>
      </w:pPr>
      <w:r>
        <w:t>26.</w:t>
      </w:r>
      <w:r>
        <w:tab/>
        <w:t>Patients dependent from the sponsor, contract research organization, or the investigator (e</w:t>
      </w:r>
      <w:r w:rsidR="003E1DEB">
        <w:t>.</w:t>
      </w:r>
      <w:r>
        <w:t>g</w:t>
      </w:r>
      <w:r w:rsidR="003E1DEB">
        <w:t>.</w:t>
      </w:r>
      <w:r>
        <w:t xml:space="preserve"> employees, relatives, etc.)</w:t>
      </w:r>
    </w:p>
    <w:sectPr w:rsidR="00EC7850" w:rsidRPr="00A15C3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C403" w14:textId="77777777" w:rsidR="00222707" w:rsidRDefault="00222707" w:rsidP="00EC7850">
      <w:pPr>
        <w:spacing w:after="0" w:line="240" w:lineRule="auto"/>
      </w:pPr>
      <w:r>
        <w:separator/>
      </w:r>
    </w:p>
  </w:endnote>
  <w:endnote w:type="continuationSeparator" w:id="0">
    <w:p w14:paraId="15083C73" w14:textId="77777777" w:rsidR="00222707" w:rsidRDefault="00222707" w:rsidP="00EC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456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363200" w14:textId="3502ED1F" w:rsidR="00783F94" w:rsidRDefault="00783F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B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B4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8AD1FB" w14:textId="77777777" w:rsidR="00783F94" w:rsidRDefault="0078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ABA1" w14:textId="77777777" w:rsidR="00222707" w:rsidRDefault="00222707" w:rsidP="00EC7850">
      <w:pPr>
        <w:spacing w:after="0" w:line="240" w:lineRule="auto"/>
      </w:pPr>
      <w:r>
        <w:separator/>
      </w:r>
    </w:p>
  </w:footnote>
  <w:footnote w:type="continuationSeparator" w:id="0">
    <w:p w14:paraId="15F25C4A" w14:textId="77777777" w:rsidR="00222707" w:rsidRDefault="00222707" w:rsidP="00EC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C1CB1"/>
    <w:multiLevelType w:val="hybridMultilevel"/>
    <w:tmpl w:val="E1984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73A02"/>
    <w:multiLevelType w:val="hybridMultilevel"/>
    <w:tmpl w:val="252C90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E3707"/>
    <w:multiLevelType w:val="hybridMultilevel"/>
    <w:tmpl w:val="A844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74BD1"/>
    <w:multiLevelType w:val="hybridMultilevel"/>
    <w:tmpl w:val="8A544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0C3786"/>
    <w:multiLevelType w:val="hybridMultilevel"/>
    <w:tmpl w:val="9034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BE"/>
    <w:rsid w:val="00021F2D"/>
    <w:rsid w:val="000370EA"/>
    <w:rsid w:val="000440D9"/>
    <w:rsid w:val="00155157"/>
    <w:rsid w:val="001739B7"/>
    <w:rsid w:val="00185B42"/>
    <w:rsid w:val="00222707"/>
    <w:rsid w:val="00235D34"/>
    <w:rsid w:val="002668D7"/>
    <w:rsid w:val="002F6F41"/>
    <w:rsid w:val="00324264"/>
    <w:rsid w:val="00344D1A"/>
    <w:rsid w:val="00361C7E"/>
    <w:rsid w:val="003C7315"/>
    <w:rsid w:val="003E1DEB"/>
    <w:rsid w:val="00444292"/>
    <w:rsid w:val="00450E4A"/>
    <w:rsid w:val="00462D2D"/>
    <w:rsid w:val="004E7EFE"/>
    <w:rsid w:val="004F6686"/>
    <w:rsid w:val="00547E3C"/>
    <w:rsid w:val="00577130"/>
    <w:rsid w:val="00585664"/>
    <w:rsid w:val="005A549C"/>
    <w:rsid w:val="005F2149"/>
    <w:rsid w:val="006006BD"/>
    <w:rsid w:val="00607A2C"/>
    <w:rsid w:val="006344FB"/>
    <w:rsid w:val="006406AF"/>
    <w:rsid w:val="006A5FBC"/>
    <w:rsid w:val="006B019A"/>
    <w:rsid w:val="006C49CA"/>
    <w:rsid w:val="006D2A66"/>
    <w:rsid w:val="006E0939"/>
    <w:rsid w:val="007535BE"/>
    <w:rsid w:val="0076242A"/>
    <w:rsid w:val="00770BFA"/>
    <w:rsid w:val="00783F94"/>
    <w:rsid w:val="007A7DE9"/>
    <w:rsid w:val="007B1977"/>
    <w:rsid w:val="007F7C1E"/>
    <w:rsid w:val="008556C9"/>
    <w:rsid w:val="008909CA"/>
    <w:rsid w:val="008E00CA"/>
    <w:rsid w:val="008F0427"/>
    <w:rsid w:val="00A06C89"/>
    <w:rsid w:val="00A15C35"/>
    <w:rsid w:val="00A24BB2"/>
    <w:rsid w:val="00A256A0"/>
    <w:rsid w:val="00A3347E"/>
    <w:rsid w:val="00A61585"/>
    <w:rsid w:val="00A821AA"/>
    <w:rsid w:val="00AF009D"/>
    <w:rsid w:val="00B2002F"/>
    <w:rsid w:val="00B30FD9"/>
    <w:rsid w:val="00B707DC"/>
    <w:rsid w:val="00B80D9A"/>
    <w:rsid w:val="00B847DE"/>
    <w:rsid w:val="00BA7A5A"/>
    <w:rsid w:val="00BC13D2"/>
    <w:rsid w:val="00BF67E8"/>
    <w:rsid w:val="00C05694"/>
    <w:rsid w:val="00C82A11"/>
    <w:rsid w:val="00C957CD"/>
    <w:rsid w:val="00CA2137"/>
    <w:rsid w:val="00CB2954"/>
    <w:rsid w:val="00D2030F"/>
    <w:rsid w:val="00D473C5"/>
    <w:rsid w:val="00D63469"/>
    <w:rsid w:val="00E06564"/>
    <w:rsid w:val="00E435BB"/>
    <w:rsid w:val="00EC7850"/>
    <w:rsid w:val="00EF7701"/>
    <w:rsid w:val="00F26DF0"/>
    <w:rsid w:val="00F3460D"/>
    <w:rsid w:val="00F36E78"/>
    <w:rsid w:val="00F42673"/>
    <w:rsid w:val="00F9317F"/>
    <w:rsid w:val="00F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71C3"/>
  <w15:docId w15:val="{242B76E7-3CCC-4415-BEA5-7D67710B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5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5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57"/>
    <w:rPr>
      <w:rFonts w:ascii="Segoe UI" w:hAnsi="Segoe UI" w:cs="Segoe UI"/>
      <w:sz w:val="18"/>
      <w:szCs w:val="18"/>
    </w:rPr>
  </w:style>
  <w:style w:type="character" w:customStyle="1" w:styleId="ACCNormalChar">
    <w:name w:val="ACC Normal Char"/>
    <w:link w:val="ACCNormal"/>
    <w:locked/>
    <w:rsid w:val="00585664"/>
    <w:rPr>
      <w:sz w:val="24"/>
      <w:lang w:val="en-US"/>
    </w:rPr>
  </w:style>
  <w:style w:type="paragraph" w:customStyle="1" w:styleId="ACCNormal">
    <w:name w:val="ACC Normal"/>
    <w:link w:val="ACCNormalChar"/>
    <w:qFormat/>
    <w:rsid w:val="00585664"/>
    <w:pPr>
      <w:spacing w:before="240" w:after="0" w:line="240" w:lineRule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7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C785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C78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78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C78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50"/>
  </w:style>
  <w:style w:type="paragraph" w:styleId="Footer">
    <w:name w:val="footer"/>
    <w:basedOn w:val="Normal"/>
    <w:link w:val="FooterChar"/>
    <w:uiPriority w:val="99"/>
    <w:unhideWhenUsed/>
    <w:rsid w:val="00EC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50"/>
  </w:style>
  <w:style w:type="table" w:styleId="TableGrid">
    <w:name w:val="Table Grid"/>
    <w:basedOn w:val="TableNormal"/>
    <w:uiPriority w:val="39"/>
    <w:unhideWhenUsed/>
    <w:rsid w:val="00CB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6AFC-1153-4FF7-AFBE-A9CB210F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Bionorica SE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Thurman-Newell</dc:creator>
  <cp:lastModifiedBy>Billy Jenkins</cp:lastModifiedBy>
  <cp:revision>3</cp:revision>
  <cp:lastPrinted>2018-04-23T16:03:00Z</cp:lastPrinted>
  <dcterms:created xsi:type="dcterms:W3CDTF">2018-06-13T11:00:00Z</dcterms:created>
  <dcterms:modified xsi:type="dcterms:W3CDTF">2018-07-03T08:23:00Z</dcterms:modified>
</cp:coreProperties>
</file>