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61" w:rsidRPr="00F75814" w:rsidRDefault="00AB2F61" w:rsidP="000E0817">
      <w:pPr>
        <w:widowControl/>
        <w:wordWrap/>
        <w:autoSpaceDE/>
        <w:autoSpaceDN/>
        <w:spacing w:line="480" w:lineRule="auto"/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</w:pPr>
      <w:bookmarkStart w:id="0" w:name="_GoBack"/>
      <w:bookmarkEnd w:id="0"/>
      <w:r w:rsidRPr="00F75814"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  <w:t>Table S1. Comparison of the comorbidit</w:t>
      </w:r>
      <w:r w:rsidR="009D363A" w:rsidRPr="00F75814"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  <w:t>ies</w:t>
      </w:r>
      <w:r w:rsidRPr="00F75814"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  <w:t xml:space="preserve"> between the advanced and non-advanced groups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1510"/>
        <w:gridCol w:w="1510"/>
        <w:gridCol w:w="1511"/>
        <w:gridCol w:w="1134"/>
      </w:tblGrid>
      <w:tr w:rsidR="00F75814" w:rsidRPr="00F75814" w:rsidTr="0006562A">
        <w:trPr>
          <w:trHeight w:val="484"/>
        </w:trPr>
        <w:tc>
          <w:tcPr>
            <w:tcW w:w="329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Characteristics</w:t>
            </w:r>
          </w:p>
        </w:tc>
        <w:tc>
          <w:tcPr>
            <w:tcW w:w="151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Total</w:t>
            </w:r>
          </w:p>
        </w:tc>
        <w:tc>
          <w:tcPr>
            <w:tcW w:w="151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Advanced</w:t>
            </w:r>
          </w:p>
        </w:tc>
        <w:tc>
          <w:tcPr>
            <w:tcW w:w="151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25BA1" w:rsidRPr="00F75814" w:rsidRDefault="007F0D98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Non-advanced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67BA" w:rsidRPr="00F75814" w:rsidRDefault="007F0D98" w:rsidP="00F367BA">
            <w:pPr>
              <w:widowControl/>
              <w:wordWrap/>
              <w:autoSpaceDE/>
              <w:autoSpaceDN/>
              <w:spacing w:line="480" w:lineRule="auto"/>
              <w:rPr>
                <w:rFonts w:ascii="Times New Roman" w:eastAsia="바탕체" w:hAnsi="Times New Roman" w:cs="Times New Roman"/>
                <w:b/>
                <w:bCs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i/>
                <w:color w:val="000000" w:themeColor="text1"/>
                <w:sz w:val="22"/>
              </w:rPr>
              <w:t>P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-value</w:t>
            </w:r>
            <w:r w:rsidR="009344DF" w:rsidRPr="00F75814">
              <w:rPr>
                <w:rFonts w:ascii="Times New Roman" w:hAnsi="Times New Roman" w:cs="Times New Roman"/>
                <w:color w:val="000000" w:themeColor="text1"/>
                <w:kern w:val="0"/>
                <w:vertAlign w:val="superscript"/>
              </w:rPr>
              <w:t>*</w:t>
            </w:r>
          </w:p>
        </w:tc>
      </w:tr>
      <w:tr w:rsidR="00F75814" w:rsidRPr="00F75814" w:rsidTr="0006562A">
        <w:tc>
          <w:tcPr>
            <w:tcW w:w="329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tabs>
                <w:tab w:val="left" w:pos="1320"/>
              </w:tabs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Patient number</w:t>
            </w:r>
          </w:p>
        </w:tc>
        <w:tc>
          <w:tcPr>
            <w:tcW w:w="15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138</w:t>
            </w:r>
          </w:p>
        </w:tc>
        <w:tc>
          <w:tcPr>
            <w:tcW w:w="15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37</w:t>
            </w:r>
          </w:p>
        </w:tc>
        <w:tc>
          <w:tcPr>
            <w:tcW w:w="15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101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A25BA1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</w:tr>
      <w:tr w:rsidR="00F75814" w:rsidRPr="00F75814" w:rsidTr="0006562A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tabs>
                <w:tab w:val="left" w:pos="1320"/>
              </w:tabs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Diabetes mellitus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39 (28.3)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13 (35.1)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26 (25.7)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0.278</w:t>
            </w:r>
          </w:p>
        </w:tc>
      </w:tr>
      <w:tr w:rsidR="00F75814" w:rsidRPr="00F75814" w:rsidTr="0006562A">
        <w:trPr>
          <w:trHeight w:val="433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Hypertension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37 (26.8)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10 (27.0)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27 (26.7)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0.972</w:t>
            </w:r>
          </w:p>
        </w:tc>
      </w:tr>
      <w:tr w:rsidR="00F75814" w:rsidRPr="00F75814" w:rsidTr="0006562A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tabs>
                <w:tab w:val="left" w:pos="1320"/>
              </w:tabs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Hyperlipidemia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29 (21.0)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 (18.9)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22 (21.8)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0.715</w:t>
            </w:r>
          </w:p>
        </w:tc>
      </w:tr>
      <w:tr w:rsidR="00F75814" w:rsidRPr="00F75814" w:rsidTr="0006562A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Gastroesophageal reflux disease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15 (1.09)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 (2.7)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14 (13.9)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0.070</w:t>
            </w:r>
          </w:p>
        </w:tc>
      </w:tr>
      <w:tr w:rsidR="00F75814" w:rsidRPr="00F75814" w:rsidTr="0006562A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Ischemic heart disease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15 (10.9)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5 (13.5)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10 (9.9)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0.546</w:t>
            </w:r>
          </w:p>
        </w:tc>
      </w:tr>
      <w:tr w:rsidR="00F75814" w:rsidRPr="00F75814" w:rsidTr="0006562A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Non-tuberculosis mycobacterium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 (6.5)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 (8.1)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 (5.9)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0.701</w:t>
            </w:r>
          </w:p>
        </w:tc>
      </w:tr>
      <w:tr w:rsidR="00F75814" w:rsidRPr="00F75814" w:rsidTr="00232BD5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Chronic liver disease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 (5.1)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 (8.1)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 (4.0)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0.385</w:t>
            </w:r>
          </w:p>
        </w:tc>
      </w:tr>
      <w:tr w:rsidR="00F75814" w:rsidRPr="00F75814" w:rsidTr="00232BD5"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Arrhythmia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4 (2.9)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 (2.7)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3 (3.0)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5BA1" w:rsidRPr="00F75814" w:rsidRDefault="003158E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1.000</w:t>
            </w:r>
          </w:p>
        </w:tc>
      </w:tr>
    </w:tbl>
    <w:p w:rsidR="00A25BA1" w:rsidRPr="00F75814" w:rsidRDefault="003158EB">
      <w:pPr>
        <w:wordWrap/>
        <w:autoSpaceDE/>
        <w:autoSpaceDN/>
        <w:spacing w:after="0" w:line="480" w:lineRule="auto"/>
        <w:rPr>
          <w:rFonts w:ascii="Times New Roman" w:eastAsia="바탕체" w:hAnsi="Times New Roman" w:cs="Times New Roman"/>
          <w:color w:val="000000" w:themeColor="text1"/>
          <w:sz w:val="22"/>
        </w:rPr>
      </w:pPr>
      <w:r w:rsidRPr="00F75814">
        <w:rPr>
          <w:rFonts w:ascii="Times New Roman" w:eastAsia="바탕체" w:hAnsi="Times New Roman" w:cs="Times New Roman"/>
          <w:color w:val="000000" w:themeColor="text1"/>
          <w:sz w:val="22"/>
        </w:rPr>
        <w:t>Data are presented as number (%), unless indicated otherwise.</w:t>
      </w:r>
    </w:p>
    <w:p w:rsidR="00A25BA1" w:rsidRPr="00F75814" w:rsidRDefault="009344DF">
      <w:pPr>
        <w:widowControl/>
        <w:wordWrap/>
        <w:autoSpaceDE/>
        <w:autoSpaceDN/>
        <w:spacing w:line="480" w:lineRule="auto"/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</w:pPr>
      <w:r w:rsidRPr="00F75814">
        <w:rPr>
          <w:rFonts w:ascii="Times New Roman" w:hAnsi="Times New Roman" w:cs="Times New Roman"/>
          <w:color w:val="000000" w:themeColor="text1"/>
          <w:kern w:val="0"/>
          <w:sz w:val="22"/>
          <w:vertAlign w:val="superscript"/>
        </w:rPr>
        <w:t>*</w:t>
      </w:r>
      <w:r w:rsidR="00F367BA" w:rsidRPr="00F75814">
        <w:rPr>
          <w:rFonts w:ascii="Times New Roman" w:hAnsi="Times New Roman" w:cs="Times New Roman"/>
          <w:color w:val="000000" w:themeColor="text1"/>
          <w:kern w:val="0"/>
          <w:sz w:val="22"/>
        </w:rPr>
        <w:t>Pearson’s Chi-squared test or Fisher’s exact.</w:t>
      </w:r>
    </w:p>
    <w:p w:rsidR="00F367BA" w:rsidRPr="00F75814" w:rsidRDefault="003158EB" w:rsidP="00F367BA">
      <w:pPr>
        <w:widowControl/>
        <w:wordWrap/>
        <w:autoSpaceDE/>
        <w:autoSpaceDN/>
        <w:spacing w:line="480" w:lineRule="auto"/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</w:pPr>
      <w:r w:rsidRPr="00F75814"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  <w:br w:type="page"/>
      </w:r>
    </w:p>
    <w:p w:rsidR="00F367BA" w:rsidRPr="00F75814" w:rsidRDefault="000E0817" w:rsidP="00F367BA">
      <w:pPr>
        <w:wordWrap/>
        <w:spacing w:after="0" w:line="480" w:lineRule="auto"/>
        <w:rPr>
          <w:rFonts w:ascii="Times New Roman" w:eastAsia="바탕체" w:hAnsi="Times New Roman" w:cs="Times New Roman"/>
          <w:b/>
          <w:bCs/>
          <w:color w:val="000000" w:themeColor="text1"/>
          <w:sz w:val="22"/>
          <w:szCs w:val="24"/>
        </w:rPr>
      </w:pPr>
      <w:r w:rsidRPr="00F75814">
        <w:rPr>
          <w:rFonts w:ascii="Times New Roman" w:eastAsia="바탕체" w:hAnsi="Times New Roman" w:cs="Times New Roman"/>
          <w:b/>
          <w:bCs/>
          <w:color w:val="000000" w:themeColor="text1"/>
          <w:sz w:val="22"/>
          <w:szCs w:val="24"/>
        </w:rPr>
        <w:lastRenderedPageBreak/>
        <w:t>Table S2 Comparison of the baseline characteristics between patients included and excluded in the efficacy analysis.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2179"/>
        <w:gridCol w:w="2181"/>
        <w:gridCol w:w="1445"/>
      </w:tblGrid>
      <w:tr w:rsidR="00F75814" w:rsidRPr="00F75814" w:rsidTr="00BD385B">
        <w:trPr>
          <w:trHeight w:val="484"/>
        </w:trPr>
        <w:tc>
          <w:tcPr>
            <w:tcW w:w="1859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67BA" w:rsidRPr="00F75814" w:rsidRDefault="00BB03C4" w:rsidP="00F367BA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Characteristics</w:t>
            </w:r>
          </w:p>
        </w:tc>
        <w:tc>
          <w:tcPr>
            <w:tcW w:w="1179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67BA" w:rsidRPr="00F75814" w:rsidRDefault="00BB03C4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hAnsi="Times New Roman"/>
                <w:color w:val="000000" w:themeColor="text1"/>
                <w:sz w:val="22"/>
              </w:rPr>
              <w:t xml:space="preserve">Patients included </w:t>
            </w:r>
          </w:p>
        </w:tc>
        <w:tc>
          <w:tcPr>
            <w:tcW w:w="1180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67BA" w:rsidRPr="00F75814" w:rsidRDefault="00BB03C4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hAnsi="Times New Roman"/>
                <w:color w:val="000000" w:themeColor="text1"/>
                <w:sz w:val="22"/>
              </w:rPr>
              <w:t xml:space="preserve">Patients excluded </w:t>
            </w:r>
          </w:p>
        </w:tc>
        <w:tc>
          <w:tcPr>
            <w:tcW w:w="782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67BA" w:rsidRPr="00F75814" w:rsidRDefault="00BB03C4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i/>
                <w:color w:val="000000" w:themeColor="text1"/>
                <w:sz w:val="22"/>
              </w:rPr>
              <w:t>P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-value</w:t>
            </w:r>
            <w:r w:rsidR="009344DF"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†</w:t>
            </w:r>
          </w:p>
        </w:tc>
      </w:tr>
      <w:tr w:rsidR="00F75814" w:rsidRPr="00F75814" w:rsidTr="00BD385B">
        <w:tc>
          <w:tcPr>
            <w:tcW w:w="185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tabs>
                <w:tab w:val="left" w:pos="1320"/>
              </w:tabs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Patient number</w:t>
            </w:r>
          </w:p>
        </w:tc>
        <w:tc>
          <w:tcPr>
            <w:tcW w:w="1179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81</w:t>
            </w:r>
          </w:p>
        </w:tc>
        <w:tc>
          <w:tcPr>
            <w:tcW w:w="1180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57</w:t>
            </w:r>
          </w:p>
        </w:tc>
        <w:tc>
          <w:tcPr>
            <w:tcW w:w="782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tabs>
                <w:tab w:val="left" w:pos="1320"/>
              </w:tabs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Advanced group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17 (21.0)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20 (35.1)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0.066</w:t>
            </w: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tabs>
                <w:tab w:val="left" w:pos="1320"/>
              </w:tabs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Age, years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67.3 ± 6.8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5C22DB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69.0 ± 8.1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0.194</w:t>
            </w:r>
          </w:p>
        </w:tc>
      </w:tr>
      <w:tr w:rsidR="00F75814" w:rsidRPr="00F75814" w:rsidTr="00BD385B">
        <w:trPr>
          <w:trHeight w:val="433"/>
        </w:trPr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Male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65 (80.2)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48 (84.2)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0.552</w:t>
            </w:r>
          </w:p>
        </w:tc>
      </w:tr>
      <w:tr w:rsidR="00F75814" w:rsidRPr="00F75814" w:rsidTr="00BD385B">
        <w:trPr>
          <w:trHeight w:val="433"/>
        </w:trPr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idowControl/>
              <w:wordWrap/>
              <w:autoSpaceDE/>
              <w:autoSpaceDN/>
              <w:spacing w:before="100" w:beforeAutospacing="1" w:after="100" w:afterAutospacing="1" w:line="480" w:lineRule="auto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MS PGothic" w:hAnsi="Times New Roman" w:cs="Times New Roman"/>
                <w:bCs/>
                <w:color w:val="000000" w:themeColor="text1"/>
                <w:kern w:val="24"/>
                <w:sz w:val="22"/>
              </w:rPr>
              <w:t xml:space="preserve">Body mass index, </w:t>
            </w:r>
            <w:r w:rsidRPr="00F7581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kg/m</w:t>
            </w:r>
            <w:r w:rsidRPr="00F7581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  <w:vertAlign w:val="superscript"/>
              </w:rPr>
              <w:t>2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2"/>
              </w:rPr>
              <w:t>24.3 ± 3.0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MS PGothic" w:hAnsi="Times New Roman" w:cs="Times New Roman"/>
                <w:color w:val="000000" w:themeColor="text1"/>
                <w:kern w:val="24"/>
                <w:sz w:val="22"/>
              </w:rPr>
              <w:t>23.2 ± 3.3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0.057</w:t>
            </w:r>
          </w:p>
        </w:tc>
      </w:tr>
      <w:tr w:rsidR="00F75814" w:rsidRPr="00F75814" w:rsidTr="00BD385B">
        <w:trPr>
          <w:trHeight w:val="433"/>
        </w:trPr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Smoking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0.183</w:t>
            </w:r>
          </w:p>
        </w:tc>
      </w:tr>
      <w:tr w:rsidR="00F75814" w:rsidRPr="00F75814" w:rsidTr="00BD385B">
        <w:trPr>
          <w:trHeight w:val="433"/>
        </w:trPr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ind w:firstLineChars="50" w:firstLine="11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Never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 (2.5)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 (5.3)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</w:tr>
      <w:tr w:rsidR="00F75814" w:rsidRPr="00F75814" w:rsidTr="00BD385B">
        <w:trPr>
          <w:trHeight w:val="433"/>
        </w:trPr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ind w:firstLineChars="50" w:firstLine="11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Former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51 (63.0)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42 (73.7)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</w:tr>
      <w:tr w:rsidR="00F75814" w:rsidRPr="00F75814" w:rsidTr="00BD385B">
        <w:trPr>
          <w:trHeight w:val="433"/>
        </w:trPr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ind w:firstLineChars="50" w:firstLine="11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Current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28 (34.6)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12 (21.1)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</w:tr>
      <w:tr w:rsidR="00F75814" w:rsidRPr="00F75814" w:rsidTr="00BD385B">
        <w:trPr>
          <w:trHeight w:val="433"/>
        </w:trPr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Amount, pack years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22.2 ± 21.0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24.1 ± 23.2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0.587</w:t>
            </w: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Surgical lung biopsy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38 (46.9)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18 (31.6)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0.071</w:t>
            </w: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Previous treatment</w:t>
            </w: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*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ind w:firstLineChars="50" w:firstLine="11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Corticosteroid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118 (22.2)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9 (15.8)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0.348</w:t>
            </w: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ind w:firstLineChars="50" w:firstLine="11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Immunosuppressant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7 (8.6)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 (1.8)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0.140</w:t>
            </w: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ind w:firstLineChars="50" w:firstLine="11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N-acetylcysteine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33 (40.7)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15 (26.3)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0.080</w:t>
            </w: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ind w:firstLineChars="50" w:firstLine="11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None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33 (40.7)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idowControl/>
              <w:wordWrap/>
              <w:autoSpaceDE/>
              <w:autoSpaceDN/>
              <w:spacing w:after="0" w:line="48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38 (66.7)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0.003</w:t>
            </w: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Home oxygen therapy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17 (21.0)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12 (21.1)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0.993</w:t>
            </w: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lastRenderedPageBreak/>
              <w:t>Pulmonary hypertension</w:t>
            </w:r>
            <w:r w:rsidRPr="00F75814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¶,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 (11.1)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 (10.5)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0.913</w:t>
            </w: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Pulmonary function test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ind w:firstLineChars="50" w:firstLine="11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FVC, % predicted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61.2 ± 13.7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56.8 ± 16.0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0.089</w:t>
            </w:r>
          </w:p>
        </w:tc>
      </w:tr>
      <w:tr w:rsidR="00F75814" w:rsidRPr="00F75814" w:rsidTr="00BD385B">
        <w:trPr>
          <w:trHeight w:val="80"/>
        </w:trPr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ind w:firstLineChars="50" w:firstLine="11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proofErr w:type="spellStart"/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DLco</w:t>
            </w:r>
            <w:proofErr w:type="spellEnd"/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, % predicted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44.9 ± 12.0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45.8 ± 17.4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0.742</w:t>
            </w: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ind w:firstLineChars="50" w:firstLine="11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TLC, % predicted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60.9 ± 10.8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59.7 ± 11.0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0.535</w:t>
            </w: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after="0" w:line="480" w:lineRule="auto"/>
              <w:rPr>
                <w:rFonts w:ascii="Times New Roman" w:eastAsia="바탕" w:hAnsi="Times New Roman" w:cs="Times New Roman"/>
                <w:color w:val="000000" w:themeColor="text1"/>
                <w:sz w:val="24"/>
                <w:szCs w:val="24"/>
              </w:rPr>
            </w:pPr>
            <w:r w:rsidRPr="00F75814">
              <w:rPr>
                <w:rFonts w:ascii="Times New Roman" w:eastAsia="바탕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6MWT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F367BA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</w:p>
        </w:tc>
      </w:tr>
      <w:tr w:rsidR="00F75814" w:rsidRPr="00F75814" w:rsidTr="00BD385B"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ind w:firstLineChars="50" w:firstLine="11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Distance, m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396.0 ± 96.4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377.4 ± 125.1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0.333</w:t>
            </w:r>
          </w:p>
        </w:tc>
      </w:tr>
      <w:tr w:rsidR="00F75814" w:rsidRPr="00F75814" w:rsidTr="00BD385B">
        <w:trPr>
          <w:trHeight w:val="153"/>
        </w:trPr>
        <w:tc>
          <w:tcPr>
            <w:tcW w:w="185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ind w:firstLineChars="50" w:firstLine="110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Lowest SaO</w:t>
            </w:r>
            <w:r w:rsidRPr="00F7581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  <w:vertAlign w:val="subscript"/>
              </w:rPr>
              <w:t>2</w:t>
            </w:r>
            <w:r w:rsidRPr="00F75814">
              <w:rPr>
                <w:rFonts w:ascii="Times New Roman" w:eastAsia="맑은 고딕" w:hAnsi="Times New Roman" w:cs="Times New Roman"/>
                <w:bCs/>
                <w:color w:val="000000" w:themeColor="text1"/>
                <w:kern w:val="24"/>
                <w:sz w:val="22"/>
              </w:rPr>
              <w:t>, %</w:t>
            </w:r>
          </w:p>
        </w:tc>
        <w:tc>
          <w:tcPr>
            <w:tcW w:w="11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87.1 ± 4.6</w:t>
            </w:r>
          </w:p>
        </w:tc>
        <w:tc>
          <w:tcPr>
            <w:tcW w:w="118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89.1 ± 5.4</w:t>
            </w: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67BA" w:rsidRPr="00F75814" w:rsidRDefault="000E0817" w:rsidP="00F367BA">
            <w:pPr>
              <w:wordWrap/>
              <w:spacing w:line="48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0.230</w:t>
            </w:r>
          </w:p>
        </w:tc>
      </w:tr>
    </w:tbl>
    <w:p w:rsidR="00F367BA" w:rsidRPr="00F75814" w:rsidRDefault="000E0817" w:rsidP="005F7340">
      <w:pPr>
        <w:wordWrap/>
        <w:autoSpaceDE/>
        <w:autoSpaceDN/>
        <w:spacing w:after="0" w:line="480" w:lineRule="auto"/>
        <w:rPr>
          <w:rFonts w:ascii="Times New Roman" w:eastAsia="바탕체" w:hAnsi="Times New Roman" w:cs="Times New Roman"/>
          <w:color w:val="000000" w:themeColor="text1"/>
          <w:sz w:val="22"/>
          <w:szCs w:val="24"/>
        </w:rPr>
      </w:pPr>
      <w:r w:rsidRPr="00F75814">
        <w:rPr>
          <w:rFonts w:ascii="Times New Roman" w:eastAsia="바탕체" w:hAnsi="Times New Roman" w:cs="Times New Roman"/>
          <w:color w:val="000000" w:themeColor="text1"/>
          <w:sz w:val="22"/>
          <w:szCs w:val="24"/>
        </w:rPr>
        <w:t>Data are presented as mean ± standard deviation or number (%), unless indicated otherwise.</w:t>
      </w:r>
    </w:p>
    <w:p w:rsidR="00F367BA" w:rsidRPr="00F75814" w:rsidRDefault="000E0817" w:rsidP="005F7340">
      <w:pPr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color w:val="000000" w:themeColor="text1"/>
          <w:kern w:val="0"/>
          <w:sz w:val="22"/>
          <w:szCs w:val="24"/>
        </w:rPr>
      </w:pPr>
      <w:r w:rsidRPr="00F75814">
        <w:rPr>
          <w:rFonts w:ascii="Times New Roman" w:eastAsia="굴림" w:hAnsi="Times New Roman" w:cs="Times New Roman"/>
          <w:color w:val="000000" w:themeColor="text1"/>
          <w:kern w:val="0"/>
          <w:sz w:val="22"/>
          <w:szCs w:val="24"/>
        </w:rPr>
        <w:t xml:space="preserve">FVC, forced vital capacity; </w:t>
      </w:r>
      <w:proofErr w:type="spellStart"/>
      <w:r w:rsidRPr="00F75814">
        <w:rPr>
          <w:rFonts w:ascii="Times New Roman" w:eastAsia="굴림" w:hAnsi="Times New Roman" w:cs="Times New Roman"/>
          <w:color w:val="000000" w:themeColor="text1"/>
          <w:kern w:val="0"/>
          <w:sz w:val="22"/>
          <w:szCs w:val="24"/>
        </w:rPr>
        <w:t>DLco</w:t>
      </w:r>
      <w:proofErr w:type="spellEnd"/>
      <w:r w:rsidRPr="00F75814">
        <w:rPr>
          <w:rFonts w:ascii="Times New Roman" w:eastAsia="굴림" w:hAnsi="Times New Roman" w:cs="Times New Roman"/>
          <w:color w:val="000000" w:themeColor="text1"/>
          <w:kern w:val="0"/>
          <w:sz w:val="22"/>
          <w:szCs w:val="24"/>
        </w:rPr>
        <w:t>, diffusing capacity of the lung for carbon monoxide; TLC, total lung capacity; 6MWT, 6-minute walk test; SaO</w:t>
      </w:r>
      <w:r w:rsidRPr="00F75814">
        <w:rPr>
          <w:rFonts w:ascii="Times New Roman" w:eastAsia="굴림" w:hAnsi="Times New Roman" w:cs="Times New Roman"/>
          <w:color w:val="000000" w:themeColor="text1"/>
          <w:kern w:val="0"/>
          <w:sz w:val="22"/>
          <w:szCs w:val="24"/>
          <w:vertAlign w:val="subscript"/>
        </w:rPr>
        <w:t>2</w:t>
      </w:r>
      <w:r w:rsidRPr="00F75814">
        <w:rPr>
          <w:rFonts w:ascii="Times New Roman" w:eastAsia="굴림" w:hAnsi="Times New Roman" w:cs="Times New Roman"/>
          <w:color w:val="000000" w:themeColor="text1"/>
          <w:kern w:val="0"/>
          <w:sz w:val="22"/>
          <w:szCs w:val="24"/>
        </w:rPr>
        <w:t>, saturation of oxygen.</w:t>
      </w:r>
    </w:p>
    <w:p w:rsidR="005F7340" w:rsidRPr="00F75814" w:rsidRDefault="000E0817" w:rsidP="005F7340">
      <w:pPr>
        <w:wordWrap/>
        <w:autoSpaceDE/>
        <w:autoSpaceDN/>
        <w:spacing w:after="0" w:line="480" w:lineRule="auto"/>
        <w:rPr>
          <w:rFonts w:ascii="굴림" w:eastAsia="굴림" w:hAnsi="Times New Roman" w:cs="굴림"/>
          <w:color w:val="000000" w:themeColor="text1"/>
          <w:kern w:val="0"/>
          <w:sz w:val="22"/>
          <w:szCs w:val="24"/>
        </w:rPr>
      </w:pPr>
      <w:r w:rsidRPr="00F75814">
        <w:rPr>
          <w:rFonts w:ascii="Times New Roman" w:eastAsia="굴림" w:hAnsi="Times New Roman" w:cs="Times New Roman"/>
          <w:color w:val="000000" w:themeColor="text1"/>
          <w:kern w:val="0"/>
          <w:sz w:val="22"/>
          <w:szCs w:val="24"/>
          <w:vertAlign w:val="superscript"/>
        </w:rPr>
        <w:t>*</w:t>
      </w:r>
      <w:r w:rsidRPr="00F75814">
        <w:rPr>
          <w:rFonts w:ascii="Times New Roman" w:eastAsia="굴림" w:hAnsi="Times New Roman" w:cs="Times New Roman"/>
          <w:color w:val="000000" w:themeColor="text1"/>
          <w:kern w:val="0"/>
          <w:sz w:val="22"/>
          <w:szCs w:val="24"/>
        </w:rPr>
        <w:t>Treatment received within the last 3 months prior to commencement of pirfenidone.</w:t>
      </w:r>
      <w:r w:rsidRPr="00F75814">
        <w:rPr>
          <w:rFonts w:ascii="굴림" w:eastAsia="굴림" w:hAnsi="Times New Roman" w:cs="굴림"/>
          <w:color w:val="000000" w:themeColor="text1"/>
          <w:kern w:val="0"/>
          <w:sz w:val="22"/>
          <w:szCs w:val="24"/>
        </w:rPr>
        <w:t xml:space="preserve"> </w:t>
      </w:r>
    </w:p>
    <w:p w:rsidR="00F367BA" w:rsidRPr="00F75814" w:rsidRDefault="000E0817" w:rsidP="005F7340">
      <w:pPr>
        <w:wordWrap/>
        <w:autoSpaceDE/>
        <w:autoSpaceDN/>
        <w:spacing w:after="0" w:line="480" w:lineRule="auto"/>
        <w:rPr>
          <w:rFonts w:ascii="Times New Roman" w:eastAsia="굴림" w:hAnsi="Times New Roman" w:cs="Times New Roman"/>
          <w:color w:val="000000" w:themeColor="text1"/>
          <w:kern w:val="0"/>
          <w:sz w:val="22"/>
          <w:szCs w:val="24"/>
        </w:rPr>
      </w:pPr>
      <w:r w:rsidRPr="00F75814">
        <w:rPr>
          <w:rFonts w:ascii="Times New Roman" w:eastAsia="굴림" w:hAnsi="Times New Roman" w:cs="Times New Roman" w:hint="eastAsia"/>
          <w:color w:val="000000" w:themeColor="text1"/>
          <w:kern w:val="0"/>
          <w:sz w:val="22"/>
          <w:szCs w:val="24"/>
          <w:vertAlign w:val="superscript"/>
        </w:rPr>
        <w:t>¶</w:t>
      </w:r>
      <w:r w:rsidRPr="00F75814">
        <w:rPr>
          <w:rFonts w:ascii="Times New Roman" w:eastAsia="굴림" w:hAnsi="Times New Roman" w:cs="Times New Roman"/>
          <w:color w:val="000000" w:themeColor="text1"/>
          <w:kern w:val="0"/>
          <w:sz w:val="22"/>
          <w:szCs w:val="24"/>
        </w:rPr>
        <w:t>Pulmonary hypertension was defined as estimated systolic pulmonary artery pressure over 40 mmHg measured by echocardiography.</w:t>
      </w:r>
    </w:p>
    <w:p w:rsidR="00BB03C4" w:rsidRPr="00F75814" w:rsidRDefault="009344DF" w:rsidP="00027ACA">
      <w:pPr>
        <w:wordWrap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bookmarkStart w:id="1" w:name="_Hlk513529907"/>
      <w:bookmarkStart w:id="2" w:name="_Hlk513529795"/>
      <w:bookmarkStart w:id="3" w:name="_Hlk513031645"/>
      <w:r w:rsidRPr="00F75814">
        <w:rPr>
          <w:rFonts w:ascii="Times New Roman" w:eastAsia="맑은 고딕" w:hAnsi="Times New Roman" w:cs="Times New Roman"/>
          <w:color w:val="000000" w:themeColor="text1"/>
          <w:sz w:val="22"/>
        </w:rPr>
        <w:t>†</w:t>
      </w:r>
      <w:r w:rsidR="00F367BA" w:rsidRPr="00F75814">
        <w:rPr>
          <w:rFonts w:ascii="Times New Roman" w:hAnsi="Times New Roman" w:cs="Times New Roman"/>
          <w:color w:val="000000" w:themeColor="text1"/>
          <w:sz w:val="22"/>
        </w:rPr>
        <w:t xml:space="preserve">Pearson’s Chi-squared test or Fisher’s exact </w:t>
      </w:r>
      <w:bookmarkEnd w:id="1"/>
      <w:r w:rsidR="005F7340" w:rsidRPr="00F75814">
        <w:rPr>
          <w:rFonts w:ascii="Times New Roman" w:hAnsi="Times New Roman" w:cs="Times New Roman"/>
          <w:color w:val="000000" w:themeColor="text1"/>
          <w:sz w:val="22"/>
        </w:rPr>
        <w:t xml:space="preserve">test </w:t>
      </w:r>
      <w:r w:rsidR="00F367BA" w:rsidRPr="00F75814">
        <w:rPr>
          <w:rFonts w:ascii="Times New Roman" w:hAnsi="Times New Roman" w:cs="Times New Roman"/>
          <w:color w:val="000000" w:themeColor="text1"/>
          <w:sz w:val="22"/>
        </w:rPr>
        <w:t xml:space="preserve">(categorical variables), Student t test or Mann-Whitney U test (continuous variables). </w:t>
      </w:r>
      <w:bookmarkEnd w:id="2"/>
    </w:p>
    <w:bookmarkEnd w:id="3"/>
    <w:p w:rsidR="000E0817" w:rsidRPr="00F75814" w:rsidRDefault="000E0817">
      <w:pPr>
        <w:widowControl/>
        <w:wordWrap/>
        <w:autoSpaceDE/>
        <w:autoSpaceDN/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</w:pPr>
      <w:r w:rsidRPr="00F75814"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  <w:br w:type="page"/>
      </w:r>
    </w:p>
    <w:p w:rsidR="00A25BA1" w:rsidRPr="00F75814" w:rsidRDefault="00C917DA">
      <w:pPr>
        <w:wordWrap/>
        <w:autoSpaceDE/>
        <w:autoSpaceDN/>
        <w:spacing w:after="0" w:line="480" w:lineRule="auto"/>
        <w:contextualSpacing/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</w:pPr>
      <w:r w:rsidRPr="00F75814"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  <w:lastRenderedPageBreak/>
        <w:t>Table S</w:t>
      </w:r>
      <w:r w:rsidR="000E0817" w:rsidRPr="00F75814"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  <w:t>3</w:t>
      </w:r>
      <w:r w:rsidRPr="00F75814"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  <w:t>. Odds ratios for the development of adverse events adjusted by treatment duration in the advanced group compared with the non-advanced idiopathic pulmonary fibrosis group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22"/>
        <w:gridCol w:w="2622"/>
        <w:gridCol w:w="1134"/>
      </w:tblGrid>
      <w:tr w:rsidR="00F75814" w:rsidRPr="00F75814" w:rsidTr="00E47988">
        <w:trPr>
          <w:trHeight w:val="944"/>
        </w:trPr>
        <w:tc>
          <w:tcPr>
            <w:tcW w:w="2689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A25BA1" w:rsidRPr="00F75814" w:rsidRDefault="00C917DA">
            <w:pPr>
              <w:wordWrap/>
              <w:spacing w:after="0" w:line="480" w:lineRule="auto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Characteristics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A25BA1" w:rsidRPr="00F75814" w:rsidRDefault="00C917DA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OR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2622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A25BA1" w:rsidRPr="00F75814" w:rsidRDefault="00C917DA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:rsidR="00A25BA1" w:rsidRPr="00F75814" w:rsidRDefault="00C917DA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hAnsi="Times New Roman"/>
                <w:i/>
                <w:color w:val="000000" w:themeColor="text1"/>
                <w:sz w:val="22"/>
              </w:rPr>
              <w:t>P</w:t>
            </w:r>
            <w:r w:rsidRPr="00F75814">
              <w:rPr>
                <w:rFonts w:ascii="Times New Roman" w:hAnsi="Times New Roman"/>
                <w:color w:val="000000" w:themeColor="text1"/>
                <w:sz w:val="22"/>
              </w:rPr>
              <w:t>-value</w:t>
            </w:r>
            <w:r w:rsidR="009344DF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†</w:t>
            </w:r>
          </w:p>
        </w:tc>
      </w:tr>
      <w:tr w:rsidR="00F75814" w:rsidRPr="00F75814" w:rsidTr="00E47988">
        <w:tc>
          <w:tcPr>
            <w:tcW w:w="2689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Adverse events</w:t>
            </w:r>
          </w:p>
        </w:tc>
        <w:tc>
          <w:tcPr>
            <w:tcW w:w="2622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.667</w:t>
            </w:r>
          </w:p>
        </w:tc>
        <w:tc>
          <w:tcPr>
            <w:tcW w:w="2622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.240-1.855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0.437</w:t>
            </w:r>
          </w:p>
        </w:tc>
      </w:tr>
      <w:tr w:rsidR="00F75814" w:rsidRPr="00F75814" w:rsidTr="00E4798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Anorexia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.524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.239-1.147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.106</w:t>
            </w:r>
          </w:p>
        </w:tc>
      </w:tr>
      <w:tr w:rsidR="00F75814" w:rsidRPr="00F75814" w:rsidTr="00E4798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Nausea/vomiting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.860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.380-1.946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.718</w:t>
            </w:r>
          </w:p>
        </w:tc>
      </w:tr>
      <w:tr w:rsidR="00F75814" w:rsidRPr="00F75814" w:rsidTr="00E4798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Dyspepsia/abdominal pain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.514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.591-3.877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.387</w:t>
            </w:r>
          </w:p>
        </w:tc>
      </w:tr>
      <w:tr w:rsidR="00F75814" w:rsidRPr="00F75814" w:rsidTr="00E4798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Diarrhea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.103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.304-4.002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.882</w:t>
            </w:r>
          </w:p>
        </w:tc>
      </w:tr>
      <w:tr w:rsidR="00F75814" w:rsidRPr="00F75814" w:rsidTr="00E4798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Hepatotoxicity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2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.891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.688-12.141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.147</w:t>
            </w:r>
          </w:p>
        </w:tc>
      </w:tr>
      <w:tr w:rsidR="00F75814" w:rsidRPr="00F75814" w:rsidTr="00E4798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Constipation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8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.898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.365-57.988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.022</w:t>
            </w:r>
          </w:p>
        </w:tc>
      </w:tr>
      <w:tr w:rsidR="00F75814" w:rsidRPr="00F75814" w:rsidTr="00E4798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Photosensitivity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.687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.250-1.892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.468</w:t>
            </w:r>
          </w:p>
        </w:tc>
      </w:tr>
      <w:tr w:rsidR="00F75814" w:rsidRPr="00F75814" w:rsidTr="00E4798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Pruritus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0.330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.069-1.598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0.167</w:t>
            </w:r>
          </w:p>
        </w:tc>
      </w:tr>
      <w:tr w:rsidR="00F75814" w:rsidRPr="00F75814" w:rsidTr="00E4798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Rash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.145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.277-4.739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.851</w:t>
            </w:r>
          </w:p>
        </w:tc>
      </w:tr>
      <w:tr w:rsidR="00F75814" w:rsidRPr="00F75814" w:rsidTr="00E4798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General weakness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.719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.218-2.366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.587</w:t>
            </w:r>
          </w:p>
        </w:tc>
      </w:tr>
      <w:tr w:rsidR="00F75814" w:rsidRPr="00F75814" w:rsidTr="00E47988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Insomnia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.545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.111-2.673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.454</w:t>
            </w:r>
          </w:p>
        </w:tc>
      </w:tr>
      <w:tr w:rsidR="00F75814" w:rsidRPr="00F75814" w:rsidTr="00E47988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Dizziness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1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.331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.313-5.664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.699</w:t>
            </w:r>
          </w:p>
        </w:tc>
      </w:tr>
    </w:tbl>
    <w:p w:rsidR="00A25BA1" w:rsidRPr="00F75814" w:rsidRDefault="00C917DA">
      <w:pPr>
        <w:wordWrap/>
        <w:autoSpaceDE/>
        <w:autoSpaceDN/>
        <w:spacing w:after="0" w:line="480" w:lineRule="auto"/>
        <w:contextualSpacing/>
        <w:rPr>
          <w:rFonts w:ascii="Times New Roman" w:eastAsia="바탕체" w:hAnsi="Times New Roman" w:cs="Times New Roman"/>
          <w:color w:val="000000" w:themeColor="text1"/>
          <w:sz w:val="22"/>
        </w:rPr>
      </w:pPr>
      <w:r w:rsidRPr="00F75814">
        <w:rPr>
          <w:rFonts w:ascii="Times New Roman" w:eastAsia="바탕체" w:hAnsi="Times New Roman" w:cs="Times New Roman"/>
          <w:color w:val="000000" w:themeColor="text1"/>
          <w:sz w:val="22"/>
        </w:rPr>
        <w:t>OR, odds ratio; CI, confidence interval.</w:t>
      </w:r>
    </w:p>
    <w:p w:rsidR="00A25BA1" w:rsidRPr="00F75814" w:rsidRDefault="00C917DA">
      <w:pPr>
        <w:wordWrap/>
        <w:autoSpaceDE/>
        <w:autoSpaceDN/>
        <w:spacing w:after="0" w:line="480" w:lineRule="auto"/>
        <w:contextualSpacing/>
        <w:rPr>
          <w:rFonts w:ascii="Times New Roman" w:eastAsia="바탕체" w:hAnsi="Times New Roman" w:cs="Times New Roman"/>
          <w:color w:val="000000" w:themeColor="text1"/>
          <w:sz w:val="22"/>
        </w:rPr>
      </w:pPr>
      <w:r w:rsidRPr="00F75814">
        <w:rPr>
          <w:rFonts w:ascii="Times New Roman" w:eastAsia="굴림" w:hAnsi="Times New Roman" w:cs="Times New Roman"/>
          <w:color w:val="000000" w:themeColor="text1"/>
          <w:kern w:val="0"/>
          <w:sz w:val="22"/>
          <w:vertAlign w:val="superscript"/>
        </w:rPr>
        <w:t>*</w:t>
      </w:r>
      <w:r w:rsidR="005F7340" w:rsidRPr="00F75814">
        <w:rPr>
          <w:rFonts w:ascii="Times New Roman" w:eastAsia="굴림" w:hAnsi="Times New Roman" w:cs="Times New Roman" w:hint="eastAsia"/>
          <w:color w:val="000000" w:themeColor="text1"/>
          <w:kern w:val="0"/>
          <w:sz w:val="22"/>
          <w:vertAlign w:val="superscript"/>
        </w:rPr>
        <w:t xml:space="preserve"> </w:t>
      </w:r>
      <w:r w:rsidRPr="00F75814">
        <w:rPr>
          <w:rFonts w:ascii="Times New Roman" w:eastAsia="바탕체" w:hAnsi="Times New Roman" w:cs="Times New Roman"/>
          <w:color w:val="000000" w:themeColor="text1"/>
          <w:sz w:val="22"/>
        </w:rPr>
        <w:t>Compared with the non-advanced group.</w:t>
      </w:r>
    </w:p>
    <w:p w:rsidR="00A25BA1" w:rsidRPr="00F75814" w:rsidRDefault="009344DF">
      <w:pPr>
        <w:wordWrap/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F75814">
        <w:rPr>
          <w:rFonts w:ascii="Times New Roman" w:eastAsia="맑은 고딕" w:hAnsi="Times New Roman" w:cs="Times New Roman"/>
          <w:color w:val="000000" w:themeColor="text1"/>
          <w:sz w:val="22"/>
        </w:rPr>
        <w:t>†</w:t>
      </w:r>
      <w:r w:rsidR="005F7340" w:rsidRPr="00F75814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  <w:r w:rsidR="00455139" w:rsidRPr="00F75814">
        <w:rPr>
          <w:rFonts w:ascii="Times New Roman" w:hAnsi="Times New Roman" w:cs="Times New Roman"/>
          <w:color w:val="000000" w:themeColor="text1"/>
          <w:sz w:val="22"/>
        </w:rPr>
        <w:t>logistic regression analysis</w:t>
      </w:r>
      <w:r w:rsidR="009D363A" w:rsidRPr="00F75814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F367BA" w:rsidRPr="00F75814" w:rsidRDefault="00F367BA" w:rsidP="00F367BA">
      <w:pPr>
        <w:wordWrap/>
        <w:spacing w:line="480" w:lineRule="auto"/>
        <w:rPr>
          <w:color w:val="000000" w:themeColor="text1"/>
        </w:rPr>
      </w:pPr>
    </w:p>
    <w:p w:rsidR="00F367BA" w:rsidRPr="00F75814" w:rsidRDefault="00C917DA" w:rsidP="00F367BA">
      <w:pPr>
        <w:widowControl/>
        <w:wordWrap/>
        <w:autoSpaceDE/>
        <w:autoSpaceDN/>
        <w:spacing w:line="480" w:lineRule="auto"/>
        <w:rPr>
          <w:color w:val="000000" w:themeColor="text1"/>
        </w:rPr>
      </w:pPr>
      <w:r w:rsidRPr="00F75814">
        <w:rPr>
          <w:color w:val="000000" w:themeColor="text1"/>
        </w:rPr>
        <w:br w:type="page"/>
      </w:r>
    </w:p>
    <w:p w:rsidR="00A25BA1" w:rsidRPr="00F75814" w:rsidRDefault="00C917DA">
      <w:pPr>
        <w:wordWrap/>
        <w:autoSpaceDE/>
        <w:autoSpaceDN/>
        <w:spacing w:after="0" w:line="480" w:lineRule="auto"/>
        <w:contextualSpacing/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</w:pPr>
      <w:r w:rsidRPr="00F75814"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  <w:lastRenderedPageBreak/>
        <w:t>Table S</w:t>
      </w:r>
      <w:r w:rsidR="000E0817" w:rsidRPr="00F75814"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  <w:t>4</w:t>
      </w:r>
      <w:r w:rsidRPr="00F75814">
        <w:rPr>
          <w:rFonts w:ascii="Times New Roman" w:eastAsia="바탕체" w:hAnsi="Times New Roman" w:cs="Times New Roman"/>
          <w:b/>
          <w:bCs/>
          <w:color w:val="000000" w:themeColor="text1"/>
          <w:sz w:val="22"/>
        </w:rPr>
        <w:t>. Comparison of time to occurrence of adverse events between the advanced and non-advanced idiopathic pulmonary fibrosis groups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134"/>
      </w:tblGrid>
      <w:tr w:rsidR="00F75814" w:rsidRPr="00F75814" w:rsidTr="009D363A">
        <w:trPr>
          <w:trHeight w:val="808"/>
        </w:trPr>
        <w:tc>
          <w:tcPr>
            <w:tcW w:w="2802" w:type="dxa"/>
            <w:tcBorders>
              <w:top w:val="single" w:sz="4" w:space="0" w:color="000000"/>
              <w:left w:val="nil"/>
              <w:bottom w:val="single" w:sz="18" w:space="0" w:color="000000"/>
            </w:tcBorders>
            <w:shd w:val="clear" w:color="auto" w:fill="auto"/>
            <w:vAlign w:val="center"/>
          </w:tcPr>
          <w:p w:rsidR="00A25BA1" w:rsidRPr="00F75814" w:rsidRDefault="00C917DA">
            <w:pPr>
              <w:wordWrap/>
              <w:spacing w:after="0" w:line="480" w:lineRule="auto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Characteristics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5BA1" w:rsidRPr="00F75814" w:rsidRDefault="00C917DA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5BA1" w:rsidRPr="00F75814" w:rsidRDefault="00C917DA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Advanced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25BA1" w:rsidRPr="00F75814" w:rsidRDefault="00C917DA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Non-advanced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A25BA1" w:rsidRPr="00F75814" w:rsidRDefault="00C917DA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hAnsi="Times New Roman"/>
                <w:i/>
                <w:color w:val="000000" w:themeColor="text1"/>
                <w:sz w:val="22"/>
              </w:rPr>
              <w:t>P</w:t>
            </w:r>
            <w:r w:rsidRPr="00F75814">
              <w:rPr>
                <w:rFonts w:ascii="Times New Roman" w:hAnsi="Times New Roman"/>
                <w:color w:val="000000" w:themeColor="text1"/>
                <w:sz w:val="22"/>
              </w:rPr>
              <w:t>-value</w:t>
            </w:r>
            <w:r w:rsidR="009344DF" w:rsidRPr="00F75814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</w:tr>
      <w:tr w:rsidR="00F75814" w:rsidRPr="00F75814" w:rsidTr="009D363A">
        <w:tc>
          <w:tcPr>
            <w:tcW w:w="2802" w:type="dxa"/>
            <w:tcBorders>
              <w:top w:val="single" w:sz="18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Time to occurrence, weeks</w:t>
            </w:r>
          </w:p>
        </w:tc>
        <w:tc>
          <w:tcPr>
            <w:tcW w:w="1701" w:type="dxa"/>
            <w:tcBorders>
              <w:top w:val="single" w:sz="18" w:space="0" w:color="000000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5.6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4.4-6.7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000000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4.6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3.6-5.6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000000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6.0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4.4-7.6)</w:t>
            </w:r>
          </w:p>
        </w:tc>
        <w:tc>
          <w:tcPr>
            <w:tcW w:w="1134" w:type="dxa"/>
            <w:tcBorders>
              <w:top w:val="single" w:sz="1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139</w:t>
            </w:r>
          </w:p>
        </w:tc>
      </w:tr>
      <w:tr w:rsidR="00F75814" w:rsidRPr="00F75814" w:rsidTr="009D363A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Anorexia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6.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 (5.0-7.3_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5.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2.9-7.1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7.0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5.3-8.7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C51125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0.131</w:t>
            </w:r>
          </w:p>
        </w:tc>
      </w:tr>
      <w:tr w:rsidR="00F75814" w:rsidRPr="00F75814" w:rsidTr="009D363A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Nausea/vomiting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6.0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5.3-6.7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6.0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3.6-8.4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6.0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4.6-7.4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316</w:t>
            </w:r>
          </w:p>
        </w:tc>
      </w:tr>
      <w:tr w:rsidR="00F75814" w:rsidRPr="00F75814" w:rsidTr="009D363A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Dyspepsia/abdominal pain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14.0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5.6-22.4)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12.7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0.0-25.6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4.4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4.4-24.4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459</w:t>
            </w:r>
          </w:p>
        </w:tc>
      </w:tr>
      <w:tr w:rsidR="00F75814" w:rsidRPr="00F75814" w:rsidTr="009D363A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Diarrhea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4.4 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(3.7-5.1)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(0.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0-2.8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C51125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8.0</w:t>
            </w:r>
            <w:r w:rsidR="00BF4B27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0.0-21.9</w:t>
            </w:r>
            <w:r w:rsidR="00BF4B27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001</w:t>
            </w:r>
          </w:p>
        </w:tc>
      </w:tr>
      <w:tr w:rsidR="00F75814" w:rsidRPr="00F75814" w:rsidTr="009D363A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autoSpaceDE/>
              <w:autoSpaceDN/>
              <w:spacing w:after="0" w:line="480" w:lineRule="auto"/>
              <w:ind w:firstLineChars="50" w:firstLine="110"/>
              <w:contextualSpacing/>
              <w:rPr>
                <w:rFonts w:ascii="Times New Roman" w:eastAsia="바탕체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바탕체" w:hAnsi="Times New Roman" w:cs="Times New Roman"/>
                <w:color w:val="000000" w:themeColor="text1"/>
                <w:sz w:val="22"/>
              </w:rPr>
              <w:t>Hepatotoxicity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16.6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0.0-42.9)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6.0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1.1-50.9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7.0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3.9-10.1)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C51125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0.083</w:t>
            </w:r>
          </w:p>
        </w:tc>
      </w:tr>
      <w:tr w:rsidR="00F75814" w:rsidRPr="00F75814" w:rsidTr="009D363A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Constipation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C51125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9.3 (4.8-13.7)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C51125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9.3 (0.0-19.4)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C51125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9.0 (1.3-32.7)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C51125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0.441</w:t>
            </w:r>
          </w:p>
        </w:tc>
      </w:tr>
      <w:tr w:rsidR="00F75814" w:rsidRPr="00F75814" w:rsidTr="009D363A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Pruritus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17.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="00C51125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5.1-28.9)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C51125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9.3</w:t>
            </w:r>
            <w:r w:rsidR="00BF4B27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8.1-13.1)</w:t>
            </w:r>
            <w:r w:rsidR="00BF4B27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18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.3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15.2-19.4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C51125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0.329</w:t>
            </w:r>
          </w:p>
        </w:tc>
      </w:tr>
      <w:tr w:rsidR="00F75814" w:rsidRPr="00F75814" w:rsidTr="009D363A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Photosensitivity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19.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11.8-26.9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445CB1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4.3 (0.0-23.5)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445CB1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19.3 (11.4-27.1)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445CB1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0.108</w:t>
            </w:r>
          </w:p>
        </w:tc>
      </w:tr>
      <w:tr w:rsidR="00F75814" w:rsidRPr="00F75814" w:rsidTr="009D363A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Rash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28.3 (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0.0-74.6)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37.3 (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0.0-77.1)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445CB1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5.6</w:t>
            </w:r>
            <w:r w:rsidR="00BF4B27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0.0-25.0</w:t>
            </w:r>
            <w:r w:rsidR="00BF4B27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445CB1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0.631</w:t>
            </w:r>
          </w:p>
        </w:tc>
      </w:tr>
      <w:tr w:rsidR="00F75814" w:rsidRPr="00F75814" w:rsidTr="009D363A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General weakness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11.3 (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6.6-16.0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445CB1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4.0</w:t>
            </w:r>
            <w:r w:rsidR="00BF4B27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0.0-14.2</w:t>
            </w:r>
            <w:r w:rsidR="00BF4B27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11.3 (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4.7-17.9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648</w:t>
            </w:r>
          </w:p>
        </w:tc>
      </w:tr>
      <w:tr w:rsidR="00F75814" w:rsidRPr="00F75814" w:rsidTr="009D363A">
        <w:tc>
          <w:tcPr>
            <w:tcW w:w="28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Insomnia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8.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3.2-12.9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7.6 (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0.0-17.7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8.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3.6-12.4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5BA1" w:rsidRPr="00F75814" w:rsidRDefault="00445CB1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0.577</w:t>
            </w:r>
          </w:p>
        </w:tc>
      </w:tr>
      <w:tr w:rsidR="00F75814" w:rsidRPr="00F75814" w:rsidTr="009D363A">
        <w:tc>
          <w:tcPr>
            <w:tcW w:w="28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ind w:firstLineChars="50" w:firstLine="110"/>
              <w:contextualSpacing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Dizziness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0.1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0.0-72.9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A25BA1" w:rsidRPr="00F75814" w:rsidRDefault="00445CB1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4.6</w:t>
            </w:r>
            <w:r w:rsidR="00BF4B27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0.5-8.7</w:t>
            </w:r>
            <w:r w:rsidR="00BF4B27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A25BA1" w:rsidRPr="00F75814" w:rsidRDefault="00445CB1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36.7</w:t>
            </w:r>
            <w:r w:rsidR="00BF4B27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(</w:t>
            </w: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34.0-39.5</w:t>
            </w:r>
            <w:r w:rsidR="00BF4B27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25BA1" w:rsidRPr="00F75814" w:rsidRDefault="00BF4B27">
            <w:pPr>
              <w:wordWrap/>
              <w:spacing w:after="0" w:line="480" w:lineRule="auto"/>
              <w:contextualSpacing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0.</w:t>
            </w:r>
            <w:r w:rsidR="00445CB1" w:rsidRPr="00F75814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046</w:t>
            </w:r>
          </w:p>
        </w:tc>
      </w:tr>
    </w:tbl>
    <w:p w:rsidR="00A25BA1" w:rsidRPr="00F75814" w:rsidRDefault="00C917DA">
      <w:pPr>
        <w:wordWrap/>
        <w:autoSpaceDE/>
        <w:autoSpaceDN/>
        <w:spacing w:after="0" w:line="480" w:lineRule="auto"/>
        <w:contextualSpacing/>
        <w:rPr>
          <w:rFonts w:ascii="Times New Roman" w:hAnsi="Times New Roman" w:cs="Times New Roman"/>
          <w:color w:val="000000" w:themeColor="text1"/>
          <w:sz w:val="22"/>
        </w:rPr>
      </w:pPr>
      <w:r w:rsidRPr="00F75814">
        <w:rPr>
          <w:rFonts w:ascii="Times New Roman" w:eastAsia="바탕체" w:hAnsi="Times New Roman" w:cs="Times New Roman"/>
          <w:color w:val="000000" w:themeColor="text1"/>
          <w:sz w:val="22"/>
        </w:rPr>
        <w:t>Data are presented as median (</w:t>
      </w:r>
      <w:r w:rsidR="00822D2A" w:rsidRPr="00F75814">
        <w:rPr>
          <w:rFonts w:ascii="Times New Roman" w:eastAsia="바탕체" w:hAnsi="Times New Roman" w:cs="Times New Roman"/>
          <w:color w:val="000000" w:themeColor="text1"/>
          <w:sz w:val="22"/>
        </w:rPr>
        <w:t>95% confidence interval</w:t>
      </w:r>
      <w:r w:rsidRPr="00F75814">
        <w:rPr>
          <w:rFonts w:ascii="Times New Roman" w:eastAsia="바탕체" w:hAnsi="Times New Roman" w:cs="Times New Roman"/>
          <w:color w:val="000000" w:themeColor="text1"/>
          <w:sz w:val="22"/>
        </w:rPr>
        <w:t>), unless otherwise indicated.</w:t>
      </w:r>
    </w:p>
    <w:p w:rsidR="00F367BA" w:rsidRPr="00F75814" w:rsidRDefault="009344DF" w:rsidP="00F367BA">
      <w:pPr>
        <w:wordWrap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814">
        <w:rPr>
          <w:rFonts w:ascii="Times New Roman" w:hAnsi="Times New Roman" w:cs="Times New Roman"/>
          <w:color w:val="000000" w:themeColor="text1"/>
          <w:sz w:val="22"/>
          <w:vertAlign w:val="superscript"/>
        </w:rPr>
        <w:t>*</w:t>
      </w:r>
      <w:r w:rsidR="00455139" w:rsidRPr="00F75814">
        <w:rPr>
          <w:rFonts w:ascii="Times New Roman" w:hAnsi="Times New Roman" w:cs="Times New Roman"/>
          <w:color w:val="000000" w:themeColor="text1"/>
          <w:sz w:val="22"/>
        </w:rPr>
        <w:t>log-rank test</w:t>
      </w:r>
    </w:p>
    <w:p w:rsidR="009906A5" w:rsidRPr="00F75814" w:rsidRDefault="009906A5">
      <w:pPr>
        <w:widowControl/>
        <w:wordWrap/>
        <w:autoSpaceDE/>
        <w:autoSpaceDN/>
        <w:spacing w:line="480" w:lineRule="auto"/>
        <w:rPr>
          <w:color w:val="000000" w:themeColor="text1"/>
        </w:rPr>
      </w:pPr>
    </w:p>
    <w:sectPr w:rsidR="009906A5" w:rsidRPr="00F75814" w:rsidSect="00146E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F45" w:rsidRDefault="00D43F45" w:rsidP="000132A8">
      <w:pPr>
        <w:spacing w:after="0" w:line="240" w:lineRule="auto"/>
      </w:pPr>
      <w:r>
        <w:separator/>
      </w:r>
    </w:p>
  </w:endnote>
  <w:endnote w:type="continuationSeparator" w:id="0">
    <w:p w:rsidR="00D43F45" w:rsidRDefault="00D43F45" w:rsidP="0001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F45" w:rsidRDefault="00D43F45" w:rsidP="000132A8">
      <w:pPr>
        <w:spacing w:after="0" w:line="240" w:lineRule="auto"/>
      </w:pPr>
      <w:r>
        <w:separator/>
      </w:r>
    </w:p>
  </w:footnote>
  <w:footnote w:type="continuationSeparator" w:id="0">
    <w:p w:rsidR="00D43F45" w:rsidRDefault="00D43F45" w:rsidP="0001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DA"/>
    <w:rsid w:val="000132A8"/>
    <w:rsid w:val="00027ACA"/>
    <w:rsid w:val="00042D54"/>
    <w:rsid w:val="000626AE"/>
    <w:rsid w:val="000C0A21"/>
    <w:rsid w:val="000C538E"/>
    <w:rsid w:val="000D655C"/>
    <w:rsid w:val="000E0817"/>
    <w:rsid w:val="0013788F"/>
    <w:rsid w:val="00146E3C"/>
    <w:rsid w:val="00183651"/>
    <w:rsid w:val="001D29E1"/>
    <w:rsid w:val="001F17A7"/>
    <w:rsid w:val="00211336"/>
    <w:rsid w:val="002210A5"/>
    <w:rsid w:val="00224884"/>
    <w:rsid w:val="00232BD5"/>
    <w:rsid w:val="003158EB"/>
    <w:rsid w:val="00367C84"/>
    <w:rsid w:val="003772DB"/>
    <w:rsid w:val="00382A2E"/>
    <w:rsid w:val="003A7093"/>
    <w:rsid w:val="003B75F7"/>
    <w:rsid w:val="003C575F"/>
    <w:rsid w:val="00445CB1"/>
    <w:rsid w:val="00455139"/>
    <w:rsid w:val="004B112D"/>
    <w:rsid w:val="00501B59"/>
    <w:rsid w:val="00585971"/>
    <w:rsid w:val="005C22DB"/>
    <w:rsid w:val="005F7340"/>
    <w:rsid w:val="006E4A69"/>
    <w:rsid w:val="007376B2"/>
    <w:rsid w:val="007F0D98"/>
    <w:rsid w:val="00822D21"/>
    <w:rsid w:val="00822D2A"/>
    <w:rsid w:val="00863263"/>
    <w:rsid w:val="00891D75"/>
    <w:rsid w:val="008B028B"/>
    <w:rsid w:val="008C585A"/>
    <w:rsid w:val="008D369C"/>
    <w:rsid w:val="008F20B7"/>
    <w:rsid w:val="00915526"/>
    <w:rsid w:val="009344DF"/>
    <w:rsid w:val="00967A48"/>
    <w:rsid w:val="009906A5"/>
    <w:rsid w:val="009D363A"/>
    <w:rsid w:val="00A12342"/>
    <w:rsid w:val="00A25BA1"/>
    <w:rsid w:val="00AB2F61"/>
    <w:rsid w:val="00AE26D2"/>
    <w:rsid w:val="00AE47D3"/>
    <w:rsid w:val="00AF445E"/>
    <w:rsid w:val="00B7225D"/>
    <w:rsid w:val="00B87266"/>
    <w:rsid w:val="00BA35DE"/>
    <w:rsid w:val="00BB03C4"/>
    <w:rsid w:val="00BE5FA5"/>
    <w:rsid w:val="00BF0E84"/>
    <w:rsid w:val="00BF4B27"/>
    <w:rsid w:val="00C51125"/>
    <w:rsid w:val="00C61DB9"/>
    <w:rsid w:val="00C917DA"/>
    <w:rsid w:val="00D43F45"/>
    <w:rsid w:val="00D6681E"/>
    <w:rsid w:val="00D852D4"/>
    <w:rsid w:val="00D93E8F"/>
    <w:rsid w:val="00E61EA1"/>
    <w:rsid w:val="00E83574"/>
    <w:rsid w:val="00F14585"/>
    <w:rsid w:val="00F367BA"/>
    <w:rsid w:val="00F44D63"/>
    <w:rsid w:val="00F75814"/>
    <w:rsid w:val="00F94977"/>
    <w:rsid w:val="00F95A04"/>
    <w:rsid w:val="00FC75A8"/>
    <w:rsid w:val="00FD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D81FA1-13E2-4D65-88DF-0D20F7C3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7D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2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132A8"/>
  </w:style>
  <w:style w:type="paragraph" w:styleId="a4">
    <w:name w:val="footer"/>
    <w:basedOn w:val="a"/>
    <w:link w:val="Char0"/>
    <w:uiPriority w:val="99"/>
    <w:unhideWhenUsed/>
    <w:rsid w:val="000132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132A8"/>
  </w:style>
  <w:style w:type="paragraph" w:styleId="a5">
    <w:name w:val="Normal (Web)"/>
    <w:basedOn w:val="a"/>
    <w:uiPriority w:val="99"/>
    <w:rsid w:val="000132A8"/>
    <w:pPr>
      <w:widowControl/>
      <w:wordWrap/>
      <w:autoSpaceDE/>
      <w:autoSpaceDN/>
      <w:spacing w:before="100" w:beforeAutospacing="1" w:after="100" w:afterAutospacing="1" w:line="48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132A8"/>
    <w:pPr>
      <w:ind w:leftChars="400" w:left="800"/>
    </w:pPr>
    <w:rPr>
      <w:rFonts w:ascii="맑은 고딕" w:eastAsia="맑은 고딕" w:hAnsi="맑은 고딕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8C58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C585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538E"/>
    <w:rPr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0C538E"/>
    <w:pPr>
      <w:jc w:val="left"/>
    </w:pPr>
  </w:style>
  <w:style w:type="character" w:customStyle="1" w:styleId="Char2">
    <w:name w:val="메모 텍스트 Char"/>
    <w:basedOn w:val="a0"/>
    <w:link w:val="a9"/>
    <w:uiPriority w:val="99"/>
    <w:rsid w:val="000C538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538E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0C5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251A-ACC4-42EF-969B-BEFA5041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MYUNGSUNG KIM</dc:creator>
  <cp:lastModifiedBy>KIM MYUNGSUNG</cp:lastModifiedBy>
  <cp:revision>2</cp:revision>
  <dcterms:created xsi:type="dcterms:W3CDTF">2018-07-25T03:46:00Z</dcterms:created>
  <dcterms:modified xsi:type="dcterms:W3CDTF">2018-07-25T03:46:00Z</dcterms:modified>
</cp:coreProperties>
</file>