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43" w:rsidRDefault="00580743" w:rsidP="00580743">
      <w:pPr>
        <w:spacing w:line="480" w:lineRule="auto"/>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Supplementary Information</w:t>
      </w:r>
    </w:p>
    <w:p w:rsidR="00580743" w:rsidRPr="005D4316" w:rsidRDefault="00580743" w:rsidP="00580743">
      <w:pPr>
        <w:spacing w:line="480" w:lineRule="auto"/>
        <w:rPr>
          <w:rFonts w:ascii="Times New Roman" w:hAnsi="Times New Roman" w:cs="Times New Roman"/>
          <w:b/>
          <w:sz w:val="24"/>
          <w:szCs w:val="24"/>
          <w:u w:val="single"/>
        </w:rPr>
      </w:pPr>
      <w:r w:rsidRPr="005D4316">
        <w:rPr>
          <w:rFonts w:ascii="Times New Roman" w:hAnsi="Times New Roman" w:cs="Times New Roman"/>
          <w:b/>
          <w:sz w:val="24"/>
          <w:szCs w:val="24"/>
          <w:u w:val="single"/>
        </w:rPr>
        <w:t xml:space="preserve">Supplementary file 1 – </w:t>
      </w:r>
      <w:r>
        <w:rPr>
          <w:rFonts w:ascii="Times New Roman" w:hAnsi="Times New Roman" w:cs="Times New Roman"/>
          <w:b/>
          <w:sz w:val="24"/>
          <w:szCs w:val="24"/>
          <w:u w:val="single"/>
        </w:rPr>
        <w:t>pair-feeding protocol</w:t>
      </w:r>
    </w:p>
    <w:p w:rsidR="00580743" w:rsidRDefault="00580743" w:rsidP="00580743">
      <w:pPr>
        <w:spacing w:line="480" w:lineRule="auto"/>
        <w:rPr>
          <w:rFonts w:ascii="Times New Roman" w:hAnsi="Times New Roman" w:cs="Times New Roman"/>
          <w:sz w:val="24"/>
          <w:szCs w:val="24"/>
        </w:rPr>
      </w:pPr>
      <w:r w:rsidRPr="001031B4">
        <w:rPr>
          <w:rFonts w:ascii="Times New Roman" w:hAnsi="Times New Roman" w:cs="Times New Roman"/>
          <w:sz w:val="24"/>
          <w:szCs w:val="24"/>
        </w:rPr>
        <w:t>The food allocation for the pair-fed group was based on the average consumption of the CIT group from the previous monitoring period + a predicted increase in food consumption (as rats were in a growth phase) ± a correction to ensure that the cumulative food intake remained equal between the CIT and pair-fed groups.</w:t>
      </w:r>
    </w:p>
    <w:p w:rsidR="00580743" w:rsidRPr="005D4316" w:rsidRDefault="00580743" w:rsidP="00580743">
      <w:pPr>
        <w:spacing w:line="480" w:lineRule="auto"/>
        <w:rPr>
          <w:rFonts w:ascii="Times New Roman" w:hAnsi="Times New Roman" w:cs="Times New Roman"/>
          <w:b/>
          <w:sz w:val="24"/>
          <w:szCs w:val="24"/>
          <w:u w:val="single"/>
        </w:rPr>
      </w:pPr>
      <w:r w:rsidRPr="005D4316">
        <w:rPr>
          <w:rFonts w:ascii="Times New Roman" w:hAnsi="Times New Roman" w:cs="Times New Roman"/>
          <w:b/>
          <w:sz w:val="24"/>
          <w:szCs w:val="24"/>
          <w:u w:val="single"/>
        </w:rPr>
        <w:t xml:space="preserve">Supplementary file </w:t>
      </w:r>
      <w:r>
        <w:rPr>
          <w:rFonts w:ascii="Times New Roman" w:hAnsi="Times New Roman" w:cs="Times New Roman"/>
          <w:b/>
          <w:sz w:val="24"/>
          <w:szCs w:val="24"/>
          <w:u w:val="single"/>
        </w:rPr>
        <w:t>2</w:t>
      </w:r>
      <w:r w:rsidRPr="005D4316">
        <w:rPr>
          <w:rFonts w:ascii="Times New Roman" w:hAnsi="Times New Roman" w:cs="Times New Roman"/>
          <w:b/>
          <w:sz w:val="24"/>
          <w:szCs w:val="24"/>
          <w:u w:val="single"/>
        </w:rPr>
        <w:t xml:space="preserve"> – </w:t>
      </w:r>
      <w:r w:rsidRPr="003A4287">
        <w:rPr>
          <w:rFonts w:ascii="Times New Roman" w:hAnsi="Times New Roman" w:cs="Times New Roman"/>
          <w:b/>
          <w:sz w:val="24"/>
          <w:szCs w:val="24"/>
          <w:u w:val="single"/>
        </w:rPr>
        <w:t>Bone mechanical testing – 3 point bend</w:t>
      </w:r>
    </w:p>
    <w:p w:rsidR="00580743" w:rsidRDefault="00580743" w:rsidP="00580743">
      <w:pPr>
        <w:spacing w:line="480" w:lineRule="auto"/>
        <w:rPr>
          <w:rFonts w:ascii="Times New Roman" w:hAnsi="Times New Roman" w:cs="Times New Roman"/>
          <w:sz w:val="24"/>
          <w:szCs w:val="24"/>
        </w:rPr>
      </w:pPr>
      <w:r w:rsidRPr="001759D5">
        <w:rPr>
          <w:rFonts w:ascii="Times New Roman" w:hAnsi="Times New Roman" w:cs="Times New Roman"/>
          <w:sz w:val="24"/>
          <w:szCs w:val="24"/>
        </w:rPr>
        <w:t>Each tibia was rehydrated overnight in phosphate buffered saline</w:t>
      </w:r>
      <w:r>
        <w:rPr>
          <w:rFonts w:ascii="Times New Roman" w:hAnsi="Times New Roman" w:cs="Times New Roman"/>
          <w:sz w:val="24"/>
          <w:szCs w:val="24"/>
        </w:rPr>
        <w:t xml:space="preserve"> </w:t>
      </w:r>
      <w:r w:rsidRPr="001759D5">
        <w:rPr>
          <w:rFonts w:ascii="Times New Roman" w:hAnsi="Times New Roman" w:cs="Times New Roman"/>
          <w:sz w:val="24"/>
          <w:szCs w:val="24"/>
        </w:rPr>
        <w:t>(PBS) at room temperature prior to testing. To determine the mechanical properties of cortical bone each tibia was loaded to failure at 0.5 mm/s using a Bose Biodynamic 5500 Test Instrument (Bose, DE, USA). The span betwee</w:t>
      </w:r>
      <w:r>
        <w:rPr>
          <w:rFonts w:ascii="Times New Roman" w:hAnsi="Times New Roman" w:cs="Times New Roman"/>
          <w:sz w:val="24"/>
          <w:szCs w:val="24"/>
        </w:rPr>
        <w:t xml:space="preserve">n the lower supports was 10 mm. </w:t>
      </w:r>
      <w:r w:rsidRPr="001759D5">
        <w:rPr>
          <w:rFonts w:ascii="Times New Roman" w:hAnsi="Times New Roman" w:cs="Times New Roman"/>
          <w:sz w:val="24"/>
          <w:szCs w:val="24"/>
        </w:rPr>
        <w:t xml:space="preserve">Prior to </w:t>
      </w:r>
      <w:proofErr w:type="gramStart"/>
      <w:r w:rsidRPr="001759D5">
        <w:rPr>
          <w:rFonts w:ascii="Times New Roman" w:hAnsi="Times New Roman" w:cs="Times New Roman"/>
          <w:sz w:val="24"/>
          <w:szCs w:val="24"/>
        </w:rPr>
        <w:t>testing,</w:t>
      </w:r>
      <w:proofErr w:type="gramEnd"/>
      <w:r w:rsidRPr="001759D5">
        <w:rPr>
          <w:rFonts w:ascii="Times New Roman" w:hAnsi="Times New Roman" w:cs="Times New Roman"/>
          <w:sz w:val="24"/>
          <w:szCs w:val="24"/>
        </w:rPr>
        <w:t xml:space="preserve"> the tibiae were kept moist in gauze swabs soaked in PBS. Bones were positioned such that the load was applied 8.75 mm from the top of distal condyle in the anterior-posterior (AP) direction with distal condyle facing downwards. </w:t>
      </w:r>
      <w:proofErr w:type="spellStart"/>
      <w:r w:rsidRPr="001759D5">
        <w:rPr>
          <w:rFonts w:ascii="Times New Roman" w:hAnsi="Times New Roman" w:cs="Times New Roman"/>
          <w:sz w:val="24"/>
          <w:szCs w:val="24"/>
        </w:rPr>
        <w:t>WinTest</w:t>
      </w:r>
      <w:proofErr w:type="spellEnd"/>
      <w:r w:rsidRPr="001759D5">
        <w:rPr>
          <w:rFonts w:ascii="Times New Roman" w:hAnsi="Times New Roman" w:cs="Times New Roman"/>
          <w:sz w:val="24"/>
          <w:szCs w:val="24"/>
        </w:rPr>
        <w:t xml:space="preserve"> software (</w:t>
      </w:r>
      <w:proofErr w:type="spellStart"/>
      <w:r w:rsidRPr="001759D5">
        <w:rPr>
          <w:rFonts w:ascii="Times New Roman" w:hAnsi="Times New Roman" w:cs="Times New Roman"/>
          <w:sz w:val="24"/>
          <w:szCs w:val="24"/>
        </w:rPr>
        <w:t>WinTest</w:t>
      </w:r>
      <w:proofErr w:type="spellEnd"/>
      <w:r w:rsidRPr="001759D5">
        <w:rPr>
          <w:rFonts w:ascii="Times New Roman" w:hAnsi="Times New Roman" w:cs="Times New Roman"/>
          <w:sz w:val="24"/>
          <w:szCs w:val="24"/>
        </w:rPr>
        <w:t xml:space="preserve"> 7) was used to collect the load-displacement data across 10 s with a sampling rate of 250 Hz. Structural properties including Ultimate force (FU; N), yield force (FY; N), stiffness (S; N/mm), and energy (work) to failure (U; </w:t>
      </w:r>
      <w:proofErr w:type="spellStart"/>
      <w:r w:rsidRPr="001759D5">
        <w:rPr>
          <w:rFonts w:ascii="Times New Roman" w:hAnsi="Times New Roman" w:cs="Times New Roman"/>
          <w:sz w:val="24"/>
          <w:szCs w:val="24"/>
        </w:rPr>
        <w:t>mJ</w:t>
      </w:r>
      <w:proofErr w:type="spellEnd"/>
      <w:r w:rsidRPr="001759D5">
        <w:rPr>
          <w:rFonts w:ascii="Times New Roman" w:hAnsi="Times New Roman" w:cs="Times New Roman"/>
          <w:sz w:val="24"/>
          <w:szCs w:val="24"/>
        </w:rPr>
        <w:t>) endured by the tibia were calculated from the load and displacement data. The yield point was determined from the load displacement c</w:t>
      </w:r>
      <w:r>
        <w:rPr>
          <w:rFonts w:ascii="Times New Roman" w:hAnsi="Times New Roman" w:cs="Times New Roman"/>
          <w:sz w:val="24"/>
          <w:szCs w:val="24"/>
        </w:rPr>
        <w:t xml:space="preserve">urve at the point at which the </w:t>
      </w:r>
      <w:r w:rsidRPr="001759D5">
        <w:rPr>
          <w:rFonts w:ascii="Times New Roman" w:hAnsi="Times New Roman" w:cs="Times New Roman"/>
          <w:sz w:val="24"/>
          <w:szCs w:val="24"/>
        </w:rPr>
        <w:t xml:space="preserve">curve deviated from linear. Widths of the cortical mid-shaft in the </w:t>
      </w:r>
      <w:proofErr w:type="spellStart"/>
      <w:r w:rsidRPr="001759D5">
        <w:rPr>
          <w:rFonts w:ascii="Times New Roman" w:hAnsi="Times New Roman" w:cs="Times New Roman"/>
          <w:sz w:val="24"/>
          <w:szCs w:val="24"/>
        </w:rPr>
        <w:t>medio</w:t>
      </w:r>
      <w:proofErr w:type="spellEnd"/>
      <w:r w:rsidRPr="001759D5">
        <w:rPr>
          <w:rFonts w:ascii="Times New Roman" w:hAnsi="Times New Roman" w:cs="Times New Roman"/>
          <w:sz w:val="24"/>
          <w:szCs w:val="24"/>
        </w:rPr>
        <w:t xml:space="preserve">-lateral (ML) and </w:t>
      </w:r>
      <w:proofErr w:type="spellStart"/>
      <w:r w:rsidRPr="001759D5">
        <w:rPr>
          <w:rFonts w:ascii="Times New Roman" w:hAnsi="Times New Roman" w:cs="Times New Roman"/>
          <w:sz w:val="24"/>
          <w:szCs w:val="24"/>
        </w:rPr>
        <w:t>antero</w:t>
      </w:r>
      <w:proofErr w:type="spellEnd"/>
      <w:r w:rsidRPr="001759D5">
        <w:rPr>
          <w:rFonts w:ascii="Times New Roman" w:hAnsi="Times New Roman" w:cs="Times New Roman"/>
          <w:sz w:val="24"/>
          <w:szCs w:val="24"/>
        </w:rPr>
        <w:t>-posterior (AP) directions, moment of inertia (</w:t>
      </w:r>
      <w:proofErr w:type="spellStart"/>
      <w:r w:rsidRPr="001759D5">
        <w:rPr>
          <w:rFonts w:ascii="Times New Roman" w:hAnsi="Times New Roman" w:cs="Times New Roman"/>
          <w:sz w:val="24"/>
          <w:szCs w:val="24"/>
        </w:rPr>
        <w:t>Imin</w:t>
      </w:r>
      <w:proofErr w:type="spellEnd"/>
      <w:r w:rsidRPr="001759D5">
        <w:rPr>
          <w:rFonts w:ascii="Times New Roman" w:hAnsi="Times New Roman" w:cs="Times New Roman"/>
          <w:sz w:val="24"/>
          <w:szCs w:val="24"/>
        </w:rPr>
        <w:t>), and the average cortical thickness were determined by</w:t>
      </w:r>
      <w:r w:rsidRPr="001759D5">
        <w:rPr>
          <w:rFonts w:ascii="Times New Roman" w:hAnsi="Times New Roman" w:cs="Times New Roman" w:hint="eastAsia"/>
          <w:sz w:val="24"/>
          <w:szCs w:val="24"/>
        </w:rPr>
        <w:t>μ</w:t>
      </w:r>
      <w:r w:rsidRPr="001759D5">
        <w:rPr>
          <w:rFonts w:ascii="Times New Roman" w:hAnsi="Times New Roman" w:cs="Times New Roman"/>
          <w:sz w:val="24"/>
          <w:szCs w:val="24"/>
        </w:rPr>
        <w:t>CT in the cortical region. Tibial material properties, i.e., stress</w:t>
      </w:r>
      <w:r>
        <w:rPr>
          <w:rFonts w:ascii="Times New Roman" w:hAnsi="Times New Roman" w:cs="Times New Roman"/>
          <w:sz w:val="24"/>
          <w:szCs w:val="24"/>
        </w:rPr>
        <w:t>-</w:t>
      </w:r>
      <w:r w:rsidRPr="001759D5">
        <w:rPr>
          <w:rFonts w:ascii="Times New Roman" w:hAnsi="Times New Roman" w:cs="Times New Roman"/>
          <w:sz w:val="24"/>
          <w:szCs w:val="24"/>
        </w:rPr>
        <w:t xml:space="preserve">strain curves were calculated from the structural properties (i.e., load-displacement curve) in combination with morphological data from </w:t>
      </w:r>
      <w:r w:rsidRPr="001759D5">
        <w:rPr>
          <w:rFonts w:ascii="Times New Roman" w:hAnsi="Times New Roman" w:cs="Times New Roman" w:hint="eastAsia"/>
          <w:sz w:val="24"/>
          <w:szCs w:val="24"/>
        </w:rPr>
        <w:t>μ</w:t>
      </w:r>
      <w:r w:rsidRPr="001759D5">
        <w:rPr>
          <w:rFonts w:ascii="Times New Roman" w:hAnsi="Times New Roman" w:cs="Times New Roman"/>
          <w:sz w:val="24"/>
          <w:szCs w:val="24"/>
        </w:rPr>
        <w:t>CT</w:t>
      </w:r>
      <w:r>
        <w:rPr>
          <w:rFonts w:ascii="Times New Roman" w:hAnsi="Times New Roman" w:cs="Times New Roman"/>
          <w:sz w:val="24"/>
          <w:szCs w:val="24"/>
        </w:rPr>
        <w:t xml:space="preserve">. </w:t>
      </w:r>
      <w:r w:rsidRPr="001759D5">
        <w:rPr>
          <w:rFonts w:ascii="Times New Roman" w:hAnsi="Times New Roman" w:cs="Times New Roman"/>
          <w:sz w:val="24"/>
          <w:szCs w:val="24"/>
        </w:rPr>
        <w:t>The obtained stress</w:t>
      </w:r>
      <w:r>
        <w:rPr>
          <w:rFonts w:ascii="Times New Roman" w:hAnsi="Times New Roman" w:cs="Times New Roman"/>
          <w:sz w:val="24"/>
          <w:szCs w:val="24"/>
        </w:rPr>
        <w:t>-</w:t>
      </w:r>
      <w:r w:rsidRPr="001759D5">
        <w:rPr>
          <w:rFonts w:ascii="Times New Roman" w:hAnsi="Times New Roman" w:cs="Times New Roman"/>
          <w:sz w:val="24"/>
          <w:szCs w:val="24"/>
        </w:rPr>
        <w:t xml:space="preserve">strain curves reflect the stiffness, strength and failure properties of the bone material itself without the influence of geometry. </w:t>
      </w:r>
    </w:p>
    <w:p w:rsidR="00580743" w:rsidRPr="00180724" w:rsidRDefault="00580743" w:rsidP="00580743">
      <w:pPr>
        <w:spacing w:line="480" w:lineRule="auto"/>
        <w:rPr>
          <w:rFonts w:ascii="Times New Roman" w:hAnsi="Times New Roman" w:cs="Times New Roman"/>
          <w:b/>
          <w:sz w:val="24"/>
          <w:szCs w:val="24"/>
          <w:u w:val="single"/>
        </w:rPr>
      </w:pPr>
      <w:r w:rsidRPr="005D4316">
        <w:rPr>
          <w:rFonts w:ascii="Times New Roman" w:hAnsi="Times New Roman" w:cs="Times New Roman"/>
          <w:b/>
          <w:sz w:val="24"/>
          <w:szCs w:val="24"/>
          <w:u w:val="single"/>
        </w:rPr>
        <w:lastRenderedPageBreak/>
        <w:t xml:space="preserve">Supplementary file </w:t>
      </w:r>
      <w:r>
        <w:rPr>
          <w:rFonts w:ascii="Times New Roman" w:hAnsi="Times New Roman" w:cs="Times New Roman"/>
          <w:b/>
          <w:sz w:val="24"/>
          <w:szCs w:val="24"/>
          <w:u w:val="single"/>
        </w:rPr>
        <w:t>3</w:t>
      </w:r>
      <w:r w:rsidRPr="005D4316">
        <w:rPr>
          <w:rFonts w:ascii="Times New Roman" w:hAnsi="Times New Roman" w:cs="Times New Roman"/>
          <w:b/>
          <w:sz w:val="24"/>
          <w:szCs w:val="24"/>
          <w:u w:val="single"/>
        </w:rPr>
        <w:t xml:space="preserve"> – </w:t>
      </w:r>
      <w:r w:rsidRPr="00180724">
        <w:rPr>
          <w:rFonts w:ascii="Times New Roman" w:hAnsi="Times New Roman" w:cs="Times New Roman"/>
          <w:b/>
          <w:sz w:val="24"/>
          <w:szCs w:val="24"/>
          <w:u w:val="single"/>
        </w:rPr>
        <w:t>Statistical tests</w:t>
      </w:r>
    </w:p>
    <w:p w:rsidR="00580743" w:rsidRDefault="00580743" w:rsidP="00580743">
      <w:pPr>
        <w:spacing w:line="480" w:lineRule="auto"/>
        <w:rPr>
          <w:rFonts w:ascii="Times New Roman" w:hAnsi="Times New Roman" w:cs="Times New Roman"/>
          <w:b/>
          <w:sz w:val="24"/>
          <w:szCs w:val="24"/>
        </w:rPr>
      </w:pPr>
      <w:r>
        <w:rPr>
          <w:rFonts w:ascii="Times New Roman" w:hAnsi="Times New Roman" w:cs="Times New Roman"/>
          <w:b/>
          <w:sz w:val="24"/>
          <w:szCs w:val="24"/>
        </w:rPr>
        <w:t>Aim 1 – what is the metabolic and energy balance phenotype arising from inhalant abuse and does it persist into abstinence?</w:t>
      </w:r>
    </w:p>
    <w:p w:rsidR="00580743" w:rsidRDefault="00580743" w:rsidP="00580743">
      <w:pPr>
        <w:spacing w:line="480" w:lineRule="auto"/>
        <w:rPr>
          <w:rFonts w:ascii="Times New Roman" w:hAnsi="Times New Roman" w:cs="Times New Roman"/>
          <w:sz w:val="24"/>
          <w:szCs w:val="24"/>
        </w:rPr>
      </w:pPr>
      <w:r>
        <w:rPr>
          <w:rFonts w:ascii="Times New Roman" w:hAnsi="Times New Roman" w:cs="Times New Roman"/>
          <w:sz w:val="24"/>
          <w:szCs w:val="24"/>
        </w:rPr>
        <w:t>All food intake, water intake and growth measures were analysed as a RM ANOVA (time and group) with Tukey’s post-hoc testing. Bomb calorimetry results were analysed using a one-way ANOVA with Tukey’s post-hoc at the end of both exposure and abstinence. 3-bottle choice was analysed using a two-way ANOVA (liquid and group) with Tukey’s post-hoc testing. Metabolic cage repeated measures data were analysed as a RM ANOVA (time and group) with Tukey’s post-hoc testing. Food and water totals consumed within the metabolic cages were analysed with independent samples t-tests. Blood glucose, insulin, and leptin levels were analysed as a two-way ANOVA (fed-state and group) with Tukey’s post-hoc. Liver glycogen levels were analysed as a one-way ANOVA (by group)</w:t>
      </w:r>
      <w:r w:rsidRPr="00A4632C">
        <w:rPr>
          <w:rFonts w:ascii="Times New Roman" w:hAnsi="Times New Roman" w:cs="Times New Roman"/>
          <w:sz w:val="24"/>
          <w:szCs w:val="24"/>
        </w:rPr>
        <w:t xml:space="preserve"> </w:t>
      </w:r>
      <w:r>
        <w:rPr>
          <w:rFonts w:ascii="Times New Roman" w:hAnsi="Times New Roman" w:cs="Times New Roman"/>
          <w:sz w:val="24"/>
          <w:szCs w:val="24"/>
        </w:rPr>
        <w:t>with Tukey’s post-hoc. All skeletal variables were measured as a one-way ANOVA (by group)</w:t>
      </w:r>
      <w:r w:rsidRPr="00A4632C">
        <w:rPr>
          <w:rFonts w:ascii="Times New Roman" w:hAnsi="Times New Roman" w:cs="Times New Roman"/>
          <w:sz w:val="24"/>
          <w:szCs w:val="24"/>
        </w:rPr>
        <w:t xml:space="preserve"> </w:t>
      </w:r>
      <w:r>
        <w:rPr>
          <w:rFonts w:ascii="Times New Roman" w:hAnsi="Times New Roman" w:cs="Times New Roman"/>
          <w:sz w:val="24"/>
          <w:szCs w:val="24"/>
        </w:rPr>
        <w:t xml:space="preserve">with Tukey’s post-hoc. </w:t>
      </w:r>
    </w:p>
    <w:p w:rsidR="00580743" w:rsidRDefault="00580743" w:rsidP="00580743">
      <w:pPr>
        <w:spacing w:line="480" w:lineRule="auto"/>
        <w:rPr>
          <w:rFonts w:ascii="Times New Roman" w:hAnsi="Times New Roman" w:cs="Times New Roman"/>
          <w:b/>
          <w:sz w:val="24"/>
          <w:szCs w:val="24"/>
        </w:rPr>
      </w:pPr>
      <w:r>
        <w:rPr>
          <w:rFonts w:ascii="Times New Roman" w:hAnsi="Times New Roman" w:cs="Times New Roman"/>
          <w:b/>
          <w:sz w:val="24"/>
          <w:szCs w:val="24"/>
        </w:rPr>
        <w:t>Aim 2 – is adrenal insufficiency present following adolescent inhalant abuse?</w:t>
      </w:r>
    </w:p>
    <w:p w:rsidR="00580743" w:rsidRPr="00180724" w:rsidRDefault="00580743" w:rsidP="00580743">
      <w:pPr>
        <w:spacing w:line="480" w:lineRule="auto"/>
        <w:rPr>
          <w:rFonts w:ascii="Times New Roman" w:hAnsi="Times New Roman" w:cs="Times New Roman"/>
          <w:sz w:val="24"/>
          <w:szCs w:val="24"/>
        </w:rPr>
      </w:pPr>
      <w:r>
        <w:rPr>
          <w:rFonts w:ascii="Times New Roman" w:hAnsi="Times New Roman" w:cs="Times New Roman"/>
          <w:sz w:val="24"/>
          <w:szCs w:val="24"/>
        </w:rPr>
        <w:t>Post-mortem organ weights were analysed with ANCOVA, with body weight as the co-variate. Adrenal histology results were analysed with independent sample t-tests. Basal corticosterone and ACTH results were analysed with independent sample t-tests. Variables within the ITT and stress response test were all measured as a two-way ANOVA (time and group).</w:t>
      </w:r>
    </w:p>
    <w:p w:rsidR="00580743" w:rsidRDefault="00580743" w:rsidP="00580743">
      <w:pPr>
        <w:spacing w:line="480" w:lineRule="auto"/>
        <w:rPr>
          <w:rFonts w:ascii="Times New Roman" w:hAnsi="Times New Roman" w:cs="Times New Roman"/>
          <w:b/>
          <w:sz w:val="24"/>
          <w:szCs w:val="24"/>
          <w:u w:val="single"/>
        </w:rPr>
      </w:pPr>
      <w:r w:rsidRPr="005D4316">
        <w:rPr>
          <w:rFonts w:ascii="Times New Roman" w:hAnsi="Times New Roman" w:cs="Times New Roman"/>
          <w:b/>
          <w:sz w:val="24"/>
          <w:szCs w:val="24"/>
          <w:u w:val="single"/>
        </w:rPr>
        <w:t xml:space="preserve">Supplementary file </w:t>
      </w:r>
      <w:r>
        <w:rPr>
          <w:rFonts w:ascii="Times New Roman" w:hAnsi="Times New Roman" w:cs="Times New Roman"/>
          <w:b/>
          <w:sz w:val="24"/>
          <w:szCs w:val="24"/>
          <w:u w:val="single"/>
        </w:rPr>
        <w:t>4</w:t>
      </w:r>
      <w:r w:rsidRPr="005D4316">
        <w:rPr>
          <w:rFonts w:ascii="Times New Roman" w:hAnsi="Times New Roman" w:cs="Times New Roman"/>
          <w:b/>
          <w:sz w:val="24"/>
          <w:szCs w:val="24"/>
          <w:u w:val="single"/>
        </w:rPr>
        <w:t xml:space="preserve"> – additional </w:t>
      </w:r>
      <w:r>
        <w:rPr>
          <w:rFonts w:ascii="Times New Roman" w:hAnsi="Times New Roman" w:cs="Times New Roman"/>
          <w:b/>
          <w:sz w:val="24"/>
          <w:szCs w:val="24"/>
          <w:u w:val="single"/>
        </w:rPr>
        <w:t>food and water intake results</w:t>
      </w:r>
    </w:p>
    <w:p w:rsidR="00580743" w:rsidRDefault="00580743" w:rsidP="00580743">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were no significant group differences in food intake when corrected for body weight, during either exposure or abstinence (Supplementary Figure 1A). Daily water intake was </w:t>
      </w:r>
      <w:r>
        <w:rPr>
          <w:rFonts w:ascii="Times New Roman" w:hAnsi="Times New Roman" w:cs="Times New Roman"/>
          <w:sz w:val="24"/>
          <w:szCs w:val="24"/>
        </w:rPr>
        <w:lastRenderedPageBreak/>
        <w:t xml:space="preserve">increased in the CIT group compared to both Air-controls and Pair-fed during the exposure period (F=5.465 p=0.01, Supplementary Figure 1B) with no group differences at the end of the abstinence period. When corrected for body weight, water intake was again significantly higher in the CIT group in the exposure period (F=16.946 p&lt;0.000, Supplementary Figure 1C) which remained significant into the abstinence period (F=6.934 p=0.003, Supplementary Figure 1C). There were no significant group differences in the conversion of food to body weight during the exposure period, though the Pair-fed had a significantly higher conversion of food to body weight during the abstinence period (F=4.790 p=0.016, Supplementary Figure 1D). </w:t>
      </w:r>
    </w:p>
    <w:p w:rsidR="00580743" w:rsidRDefault="007163D6" w:rsidP="00580743">
      <w:pPr>
        <w:spacing w:line="480" w:lineRule="auto"/>
        <w:rPr>
          <w:rFonts w:ascii="Times New Roman" w:hAnsi="Times New Roman" w:cs="Times New Roman"/>
          <w:sz w:val="24"/>
          <w:szCs w:val="24"/>
        </w:rPr>
      </w:pPr>
      <w:r>
        <w:t>[Supplementary Figure 1 here]</w:t>
      </w:r>
    </w:p>
    <w:p w:rsidR="00580743" w:rsidRDefault="00580743" w:rsidP="00580743">
      <w:pPr>
        <w:rPr>
          <w:rFonts w:ascii="Times New Roman" w:hAnsi="Times New Roman" w:cs="Times New Roman"/>
          <w:sz w:val="24"/>
          <w:szCs w:val="24"/>
        </w:rPr>
      </w:pPr>
      <w:proofErr w:type="gramStart"/>
      <w:r w:rsidRPr="00EE4667">
        <w:rPr>
          <w:rFonts w:ascii="Times New Roman" w:hAnsi="Times New Roman" w:cs="Times New Roman"/>
          <w:sz w:val="24"/>
          <w:szCs w:val="24"/>
        </w:rPr>
        <w:t xml:space="preserve">Supplementary Figure </w:t>
      </w:r>
      <w:r w:rsidRPr="00EE4667">
        <w:rPr>
          <w:rFonts w:ascii="Times New Roman" w:hAnsi="Times New Roman" w:cs="Times New Roman"/>
          <w:sz w:val="24"/>
          <w:szCs w:val="24"/>
        </w:rPr>
        <w:fldChar w:fldCharType="begin"/>
      </w:r>
      <w:r w:rsidRPr="00EE4667">
        <w:rPr>
          <w:rFonts w:ascii="Times New Roman" w:hAnsi="Times New Roman" w:cs="Times New Roman"/>
          <w:sz w:val="24"/>
          <w:szCs w:val="24"/>
        </w:rPr>
        <w:instrText xml:space="preserve"> SEQ Figure \* ARABIC </w:instrText>
      </w:r>
      <w:r w:rsidRPr="00EE4667">
        <w:rPr>
          <w:rFonts w:ascii="Times New Roman" w:hAnsi="Times New Roman" w:cs="Times New Roman"/>
          <w:sz w:val="24"/>
          <w:szCs w:val="24"/>
        </w:rPr>
        <w:fldChar w:fldCharType="separate"/>
      </w:r>
      <w:r>
        <w:rPr>
          <w:rFonts w:ascii="Times New Roman" w:hAnsi="Times New Roman" w:cs="Times New Roman"/>
          <w:noProof/>
          <w:sz w:val="24"/>
          <w:szCs w:val="24"/>
        </w:rPr>
        <w:t>1</w:t>
      </w:r>
      <w:r w:rsidRPr="00EE4667">
        <w:rPr>
          <w:rFonts w:ascii="Times New Roman" w:hAnsi="Times New Roman" w:cs="Times New Roman"/>
          <w:sz w:val="24"/>
          <w:szCs w:val="24"/>
        </w:rPr>
        <w:fldChar w:fldCharType="end"/>
      </w:r>
      <w:r w:rsidRPr="00EE4667">
        <w:rPr>
          <w:rFonts w:ascii="Times New Roman" w:hAnsi="Times New Roman" w:cs="Times New Roman"/>
          <w:sz w:val="24"/>
          <w:szCs w:val="24"/>
        </w:rPr>
        <w:t>.</w:t>
      </w:r>
      <w:proofErr w:type="gramEnd"/>
      <w:r>
        <w:t xml:space="preserve"> </w:t>
      </w:r>
      <w:r w:rsidRPr="00857331">
        <w:rPr>
          <w:rFonts w:ascii="Times New Roman" w:hAnsi="Times New Roman" w:cs="Times New Roman"/>
          <w:sz w:val="24"/>
          <w:szCs w:val="24"/>
        </w:rPr>
        <w:t xml:space="preserve">A) </w:t>
      </w:r>
      <w:r>
        <w:rPr>
          <w:rFonts w:ascii="Times New Roman" w:hAnsi="Times New Roman" w:cs="Times New Roman"/>
          <w:sz w:val="24"/>
          <w:szCs w:val="24"/>
        </w:rPr>
        <w:t xml:space="preserve">There were no significant group differences in food intake when corrected for body weight. </w:t>
      </w:r>
      <w:r w:rsidRPr="00857331">
        <w:rPr>
          <w:rFonts w:ascii="Times New Roman" w:hAnsi="Times New Roman" w:cs="Times New Roman"/>
          <w:sz w:val="24"/>
          <w:szCs w:val="24"/>
        </w:rPr>
        <w:t xml:space="preserve">B) </w:t>
      </w:r>
      <w:r>
        <w:rPr>
          <w:rFonts w:ascii="Times New Roman" w:hAnsi="Times New Roman" w:cs="Times New Roman"/>
          <w:sz w:val="24"/>
          <w:szCs w:val="24"/>
        </w:rPr>
        <w:t xml:space="preserve">Daily water intake was higher in the CIT group compared to both Air-controls and Pair-fed during the exposure, but not abstinence period. C) Daily water intake when corrected for body weight was higher in the CIT group compared to Air-controls and Pair-fed through exposure and abstinence </w:t>
      </w:r>
      <w:r w:rsidRPr="00857331">
        <w:rPr>
          <w:rFonts w:ascii="Times New Roman" w:hAnsi="Times New Roman" w:cs="Times New Roman"/>
          <w:sz w:val="24"/>
          <w:szCs w:val="24"/>
        </w:rPr>
        <w:t xml:space="preserve">D) </w:t>
      </w:r>
      <w:r>
        <w:rPr>
          <w:rFonts w:ascii="Times New Roman" w:hAnsi="Times New Roman" w:cs="Times New Roman"/>
          <w:sz w:val="24"/>
          <w:szCs w:val="24"/>
        </w:rPr>
        <w:t xml:space="preserve">There were no group differences in the conversion of food to body weight during the exposure period, but the Pair-fed group was significantly higher than Air-controls and CIT during the abstinence period. </w:t>
      </w:r>
      <w:r w:rsidRPr="00857331">
        <w:rPr>
          <w:rFonts w:ascii="Times New Roman" w:hAnsi="Times New Roman" w:cs="Times New Roman"/>
          <w:sz w:val="24"/>
          <w:szCs w:val="24"/>
        </w:rPr>
        <w:t>*</w:t>
      </w:r>
      <w:proofErr w:type="gramStart"/>
      <w:r w:rsidRPr="00857331">
        <w:rPr>
          <w:rFonts w:ascii="Times New Roman" w:hAnsi="Times New Roman" w:cs="Times New Roman"/>
          <w:sz w:val="24"/>
          <w:szCs w:val="24"/>
        </w:rPr>
        <w:t>p</w:t>
      </w:r>
      <w:proofErr w:type="gramEnd"/>
      <w:r w:rsidRPr="00857331">
        <w:rPr>
          <w:rFonts w:ascii="Times New Roman" w:hAnsi="Times New Roman" w:cs="Times New Roman"/>
          <w:sz w:val="24"/>
          <w:szCs w:val="24"/>
        </w:rPr>
        <w:t>&lt;0.05, **</w:t>
      </w:r>
      <w:r>
        <w:rPr>
          <w:rFonts w:ascii="Times New Roman" w:hAnsi="Times New Roman" w:cs="Times New Roman"/>
          <w:sz w:val="24"/>
          <w:szCs w:val="24"/>
        </w:rPr>
        <w:t>*</w:t>
      </w:r>
      <w:r w:rsidRPr="00857331">
        <w:rPr>
          <w:rFonts w:ascii="Times New Roman" w:hAnsi="Times New Roman" w:cs="Times New Roman"/>
          <w:sz w:val="24"/>
          <w:szCs w:val="24"/>
        </w:rPr>
        <w:t>p&lt;0.0</w:t>
      </w:r>
      <w:r>
        <w:rPr>
          <w:rFonts w:ascii="Times New Roman" w:hAnsi="Times New Roman" w:cs="Times New Roman"/>
          <w:sz w:val="24"/>
          <w:szCs w:val="24"/>
        </w:rPr>
        <w:t>0</w:t>
      </w:r>
      <w:r w:rsidRPr="00857331">
        <w:rPr>
          <w:rFonts w:ascii="Times New Roman" w:hAnsi="Times New Roman" w:cs="Times New Roman"/>
          <w:sz w:val="24"/>
          <w:szCs w:val="24"/>
        </w:rPr>
        <w:t xml:space="preserve">1 (CIT significantly different from both </w:t>
      </w:r>
      <w:r>
        <w:rPr>
          <w:rFonts w:ascii="Times New Roman" w:hAnsi="Times New Roman" w:cs="Times New Roman"/>
          <w:sz w:val="24"/>
          <w:szCs w:val="24"/>
        </w:rPr>
        <w:t xml:space="preserve">Air-controls </w:t>
      </w:r>
      <w:r w:rsidRPr="00857331">
        <w:rPr>
          <w:rFonts w:ascii="Times New Roman" w:hAnsi="Times New Roman" w:cs="Times New Roman"/>
          <w:sz w:val="24"/>
          <w:szCs w:val="24"/>
        </w:rPr>
        <w:t>and Pair-fed)</w:t>
      </w:r>
      <w:r>
        <w:rPr>
          <w:rFonts w:ascii="Times New Roman" w:hAnsi="Times New Roman" w:cs="Times New Roman"/>
          <w:sz w:val="24"/>
          <w:szCs w:val="24"/>
        </w:rPr>
        <w:t xml:space="preserve">. </w:t>
      </w:r>
      <w:r w:rsidRPr="00857331">
        <w:rPr>
          <w:rFonts w:ascii="Times New Roman" w:hAnsi="Times New Roman" w:cs="Times New Roman"/>
          <w:sz w:val="24"/>
          <w:szCs w:val="24"/>
        </w:rPr>
        <w:t>##</w:t>
      </w:r>
      <w:proofErr w:type="gramStart"/>
      <w:r w:rsidRPr="00857331">
        <w:rPr>
          <w:rFonts w:ascii="Times New Roman" w:hAnsi="Times New Roman" w:cs="Times New Roman"/>
          <w:sz w:val="24"/>
          <w:szCs w:val="24"/>
        </w:rPr>
        <w:t>p</w:t>
      </w:r>
      <w:proofErr w:type="gramEnd"/>
      <w:r w:rsidRPr="00857331">
        <w:rPr>
          <w:rFonts w:ascii="Times New Roman" w:hAnsi="Times New Roman" w:cs="Times New Roman"/>
          <w:sz w:val="24"/>
          <w:szCs w:val="24"/>
        </w:rPr>
        <w:t xml:space="preserve">&lt;0.01 (Pair-fed significantly different from </w:t>
      </w:r>
      <w:r>
        <w:rPr>
          <w:rFonts w:ascii="Times New Roman" w:hAnsi="Times New Roman" w:cs="Times New Roman"/>
          <w:sz w:val="24"/>
          <w:szCs w:val="24"/>
        </w:rPr>
        <w:t>Air-controls and CIT</w:t>
      </w:r>
      <w:r w:rsidRPr="00857331">
        <w:rPr>
          <w:rFonts w:ascii="Times New Roman" w:hAnsi="Times New Roman" w:cs="Times New Roman"/>
          <w:sz w:val="24"/>
          <w:szCs w:val="24"/>
        </w:rPr>
        <w:t>)</w:t>
      </w:r>
      <w:r>
        <w:rPr>
          <w:rFonts w:ascii="Times New Roman" w:hAnsi="Times New Roman" w:cs="Times New Roman"/>
          <w:sz w:val="24"/>
          <w:szCs w:val="24"/>
        </w:rPr>
        <w:t>.</w:t>
      </w:r>
      <w:r w:rsidRPr="00256600">
        <w:rPr>
          <w:rFonts w:ascii="Times New Roman" w:hAnsi="Times New Roman" w:cs="Times New Roman"/>
          <w:sz w:val="24"/>
          <w:szCs w:val="24"/>
        </w:rPr>
        <w:t xml:space="preserve"> </w:t>
      </w:r>
      <w:r w:rsidRPr="00DA2144">
        <w:rPr>
          <w:rFonts w:ascii="Times New Roman" w:hAnsi="Times New Roman" w:cs="Times New Roman"/>
          <w:sz w:val="24"/>
          <w:szCs w:val="24"/>
        </w:rPr>
        <w:t>Throughout exposure and abstinence periods (</w:t>
      </w:r>
      <w:r>
        <w:rPr>
          <w:rFonts w:ascii="Times New Roman" w:hAnsi="Times New Roman" w:cs="Times New Roman"/>
          <w:sz w:val="24"/>
          <w:szCs w:val="24"/>
        </w:rPr>
        <w:t xml:space="preserve">Air-controls </w:t>
      </w:r>
      <w:r w:rsidRPr="00DA2144">
        <w:rPr>
          <w:rFonts w:ascii="Times New Roman" w:hAnsi="Times New Roman" w:cs="Times New Roman"/>
          <w:sz w:val="24"/>
          <w:szCs w:val="24"/>
        </w:rPr>
        <w:t>n=10, Pair-fed n=10, CIT n=12).</w:t>
      </w:r>
    </w:p>
    <w:p w:rsidR="00580743" w:rsidRDefault="00580743" w:rsidP="00580743">
      <w:pPr>
        <w:spacing w:line="480" w:lineRule="auto"/>
        <w:rPr>
          <w:rFonts w:ascii="Times New Roman" w:hAnsi="Times New Roman" w:cs="Times New Roman"/>
          <w:b/>
          <w:sz w:val="24"/>
          <w:szCs w:val="24"/>
          <w:u w:val="single"/>
        </w:rPr>
      </w:pPr>
    </w:p>
    <w:p w:rsidR="00580743" w:rsidRDefault="00580743" w:rsidP="00580743">
      <w:pPr>
        <w:spacing w:line="480" w:lineRule="auto"/>
        <w:rPr>
          <w:rFonts w:ascii="Times New Roman" w:hAnsi="Times New Roman" w:cs="Times New Roman"/>
          <w:b/>
          <w:sz w:val="24"/>
          <w:szCs w:val="24"/>
          <w:u w:val="single"/>
        </w:rPr>
      </w:pPr>
      <w:r w:rsidRPr="005D4316">
        <w:rPr>
          <w:rFonts w:ascii="Times New Roman" w:hAnsi="Times New Roman" w:cs="Times New Roman"/>
          <w:b/>
          <w:sz w:val="24"/>
          <w:szCs w:val="24"/>
          <w:u w:val="single"/>
        </w:rPr>
        <w:t xml:space="preserve">Supplementary file </w:t>
      </w:r>
      <w:r>
        <w:rPr>
          <w:rFonts w:ascii="Times New Roman" w:hAnsi="Times New Roman" w:cs="Times New Roman"/>
          <w:b/>
          <w:sz w:val="24"/>
          <w:szCs w:val="24"/>
          <w:u w:val="single"/>
        </w:rPr>
        <w:t>5</w:t>
      </w:r>
      <w:r w:rsidRPr="005D4316">
        <w:rPr>
          <w:rFonts w:ascii="Times New Roman" w:hAnsi="Times New Roman" w:cs="Times New Roman"/>
          <w:b/>
          <w:sz w:val="24"/>
          <w:szCs w:val="24"/>
          <w:u w:val="single"/>
        </w:rPr>
        <w:t xml:space="preserve"> – additional </w:t>
      </w:r>
      <w:r>
        <w:rPr>
          <w:rFonts w:ascii="Times New Roman" w:hAnsi="Times New Roman" w:cs="Times New Roman"/>
          <w:b/>
          <w:sz w:val="24"/>
          <w:szCs w:val="24"/>
          <w:u w:val="single"/>
        </w:rPr>
        <w:t>metabolic cage results</w:t>
      </w:r>
    </w:p>
    <w:p w:rsidR="00580743" w:rsidRDefault="00580743" w:rsidP="00580743">
      <w:pPr>
        <w:spacing w:line="480" w:lineRule="auto"/>
        <w:rPr>
          <w:rFonts w:ascii="Times New Roman" w:hAnsi="Times New Roman" w:cs="Times New Roman"/>
          <w:b/>
          <w:sz w:val="24"/>
          <w:szCs w:val="24"/>
          <w:u w:val="single"/>
        </w:rPr>
      </w:pPr>
      <w:bookmarkStart w:id="1" w:name="OLE_LINK10"/>
      <w:r>
        <w:rPr>
          <w:rFonts w:ascii="Times New Roman" w:hAnsi="Times New Roman" w:cs="Times New Roman"/>
          <w:sz w:val="24"/>
          <w:szCs w:val="24"/>
        </w:rPr>
        <w:t xml:space="preserve">There were no significant differences in metabolic rate when body weight was not corrected for, in either baseline (Supplementary Figure 2A) or in a fast/re-feeding paradigm (Supplementary Figure 2B). There was also no significant difference in metabolic rate when body weight was corrected for, in a fast/re-feeding paradigm (Supplementary Figure 2C). </w:t>
      </w:r>
      <w:bookmarkEnd w:id="1"/>
      <w:r>
        <w:rPr>
          <w:rFonts w:ascii="Times New Roman" w:hAnsi="Times New Roman" w:cs="Times New Roman"/>
          <w:sz w:val="24"/>
          <w:szCs w:val="24"/>
        </w:rPr>
        <w:t xml:space="preserve">Similarly, there were no significant differences in energy expenditure when body weight was not corrected for, in either baseline (Supplementary Figure 2D) or in a fast/re-feeding </w:t>
      </w:r>
      <w:r>
        <w:rPr>
          <w:rFonts w:ascii="Times New Roman" w:hAnsi="Times New Roman" w:cs="Times New Roman"/>
          <w:sz w:val="24"/>
          <w:szCs w:val="24"/>
        </w:rPr>
        <w:lastRenderedPageBreak/>
        <w:t>paradigm (Supplementary Figure 2E), or when body weight was corrected for, in a fast/re-feeding paradigm (Supplementary Figure 2F). There were no significant differences in RER under baseline conditions (Supplementary Figure 2G) or water intake under baseline conditions (Supplementary Figure 2H).</w:t>
      </w:r>
    </w:p>
    <w:p w:rsidR="00580743" w:rsidRDefault="007163D6" w:rsidP="00580743">
      <w:pPr>
        <w:spacing w:line="480" w:lineRule="auto"/>
        <w:rPr>
          <w:rFonts w:ascii="Times New Roman" w:hAnsi="Times New Roman" w:cs="Times New Roman"/>
          <w:b/>
          <w:sz w:val="24"/>
          <w:szCs w:val="24"/>
        </w:rPr>
      </w:pPr>
      <w:r>
        <w:t>[Supplementary Figure 2 here]</w:t>
      </w:r>
    </w:p>
    <w:p w:rsidR="00580743" w:rsidRDefault="00580743" w:rsidP="00580743">
      <w:pPr>
        <w:rPr>
          <w:rFonts w:ascii="Times New Roman" w:hAnsi="Times New Roman" w:cs="Times New Roman"/>
          <w:sz w:val="24"/>
          <w:szCs w:val="24"/>
        </w:rPr>
      </w:pPr>
      <w:proofErr w:type="gramStart"/>
      <w:r w:rsidRPr="00EE4667">
        <w:rPr>
          <w:rFonts w:ascii="Times New Roman" w:hAnsi="Times New Roman" w:cs="Times New Roman"/>
          <w:sz w:val="24"/>
          <w:szCs w:val="24"/>
        </w:rPr>
        <w:t xml:space="preserve">Supplementary Figure </w:t>
      </w:r>
      <w:r>
        <w:rPr>
          <w:rFonts w:ascii="Times New Roman" w:hAnsi="Times New Roman" w:cs="Times New Roman"/>
          <w:sz w:val="24"/>
          <w:szCs w:val="24"/>
        </w:rPr>
        <w:t>2</w:t>
      </w:r>
      <w:r w:rsidRPr="00EE4667">
        <w:rPr>
          <w:rFonts w:ascii="Times New Roman" w:hAnsi="Times New Roman" w:cs="Times New Roman"/>
          <w:sz w:val="24"/>
          <w:szCs w:val="24"/>
        </w:rPr>
        <w:t>.</w:t>
      </w:r>
      <w:proofErr w:type="gramEnd"/>
      <w:r>
        <w:rPr>
          <w:rFonts w:ascii="Times New Roman" w:hAnsi="Times New Roman" w:cs="Times New Roman"/>
          <w:sz w:val="24"/>
          <w:szCs w:val="24"/>
        </w:rPr>
        <w:t xml:space="preserve"> A) No significant group differences were evident in baseline metabolic rate when body weight is not corrected for. B) No significant group differences were evident in metabolic rate when body weight is not corrected for, in a fast/re-feeding paradigm. C) No significant group differences were evident in metabolic rate when body weight is corrected for, in a fast/re-feeding paradigm. D) No significant group differences were evident in baseline energy expenditure when body weight is not corrected for. E) No significant group differences were evident in energy expenditure when body weight is not corrected for, in a fast/re-feeding paradigm. F) No significant group differences were evident in energy expenditure when body weight is corrected for, in a fast/re-feeding paradigm. G) No significant group differences in baseline respiratory exchange ratio. H) No significant group differences were evident in baseline water intake. Experiment undertaken at end of exposure period (Air-controls n=8, CIT n=8).</w:t>
      </w:r>
    </w:p>
    <w:p w:rsidR="00580743" w:rsidRDefault="00580743" w:rsidP="00580743">
      <w:pPr>
        <w:spacing w:line="480" w:lineRule="auto"/>
        <w:rPr>
          <w:rFonts w:ascii="Times New Roman" w:hAnsi="Times New Roman" w:cs="Times New Roman"/>
          <w:b/>
          <w:sz w:val="24"/>
          <w:szCs w:val="24"/>
          <w:u w:val="single"/>
        </w:rPr>
      </w:pPr>
      <w:r w:rsidRPr="005D4316">
        <w:rPr>
          <w:rFonts w:ascii="Times New Roman" w:hAnsi="Times New Roman" w:cs="Times New Roman"/>
          <w:b/>
          <w:sz w:val="24"/>
          <w:szCs w:val="24"/>
          <w:u w:val="single"/>
        </w:rPr>
        <w:t xml:space="preserve">Supplementary file </w:t>
      </w:r>
      <w:r>
        <w:rPr>
          <w:rFonts w:ascii="Times New Roman" w:hAnsi="Times New Roman" w:cs="Times New Roman"/>
          <w:b/>
          <w:sz w:val="24"/>
          <w:szCs w:val="24"/>
          <w:u w:val="single"/>
        </w:rPr>
        <w:t>6</w:t>
      </w:r>
      <w:r w:rsidRPr="005D4316">
        <w:rPr>
          <w:rFonts w:ascii="Times New Roman" w:hAnsi="Times New Roman" w:cs="Times New Roman"/>
          <w:b/>
          <w:sz w:val="24"/>
          <w:szCs w:val="24"/>
          <w:u w:val="single"/>
        </w:rPr>
        <w:t xml:space="preserve"> – additional </w:t>
      </w:r>
      <w:r>
        <w:rPr>
          <w:rFonts w:ascii="Times New Roman" w:hAnsi="Times New Roman" w:cs="Times New Roman"/>
          <w:b/>
          <w:sz w:val="24"/>
          <w:szCs w:val="24"/>
          <w:u w:val="single"/>
        </w:rPr>
        <w:t>skeletal data</w:t>
      </w:r>
    </w:p>
    <w:p w:rsidR="00580743" w:rsidRDefault="00580743" w:rsidP="00580743">
      <w:pPr>
        <w:spacing w:line="480" w:lineRule="auto"/>
        <w:rPr>
          <w:rFonts w:ascii="Times New Roman" w:hAnsi="Times New Roman" w:cs="Times New Roman"/>
          <w:sz w:val="24"/>
          <w:szCs w:val="24"/>
        </w:rPr>
      </w:pPr>
      <w:r>
        <w:rPr>
          <w:rFonts w:ascii="Times New Roman" w:hAnsi="Times New Roman" w:cs="Times New Roman"/>
          <w:sz w:val="24"/>
          <w:szCs w:val="24"/>
        </w:rPr>
        <w:t xml:space="preserve">No significant differences at the end of exposure or abstinence periods were observed by microCT for tibiae length (Supplementary Figure 3A), marrow area (Supplementary Figure 3B), cortical area (Supplementary Figure 3C), </w:t>
      </w:r>
      <w:proofErr w:type="spellStart"/>
      <w:r>
        <w:rPr>
          <w:rFonts w:ascii="Times New Roman" w:hAnsi="Times New Roman" w:cs="Times New Roman"/>
          <w:sz w:val="24"/>
          <w:szCs w:val="24"/>
        </w:rPr>
        <w:t>endocortical</w:t>
      </w:r>
      <w:proofErr w:type="spellEnd"/>
      <w:r>
        <w:rPr>
          <w:rFonts w:ascii="Times New Roman" w:hAnsi="Times New Roman" w:cs="Times New Roman"/>
          <w:sz w:val="24"/>
          <w:szCs w:val="24"/>
        </w:rPr>
        <w:t xml:space="preserve"> perimeter (Supplementary Figure 3D), periosteal perimeter (Supplementary Figure 3E), or mean polar moment of inertia (Supplementary Figure 3F). </w:t>
      </w:r>
    </w:p>
    <w:p w:rsidR="00580743" w:rsidRDefault="00580743" w:rsidP="00580743">
      <w:pPr>
        <w:spacing w:line="480" w:lineRule="auto"/>
        <w:rPr>
          <w:rFonts w:ascii="Times New Roman" w:hAnsi="Times New Roman" w:cs="Times New Roman"/>
          <w:b/>
          <w:sz w:val="24"/>
          <w:szCs w:val="24"/>
          <w:u w:val="single"/>
        </w:rPr>
      </w:pPr>
      <w:r>
        <w:rPr>
          <w:rFonts w:ascii="Times New Roman" w:hAnsi="Times New Roman" w:cs="Times New Roman"/>
          <w:sz w:val="24"/>
          <w:szCs w:val="24"/>
        </w:rPr>
        <w:t>As there had been an observed reduction in cortical thickness in the CIT group only at the end of the abstinence period, the mechanical properties of the bone were tested at that time point. There were no significant differences in material properties of the tibiae at the end of abstinence for variables of  Young’s Modulus (Supplementary Figure 4A), Yield Stress (Supplementary Figure 4B), Ultimate Stress (Supplementary Figure 4C) or Failure Stress (Supplementary Figure 4D).</w:t>
      </w:r>
    </w:p>
    <w:p w:rsidR="00580743" w:rsidRDefault="007163D6" w:rsidP="00580743">
      <w:pPr>
        <w:spacing w:line="480" w:lineRule="auto"/>
      </w:pPr>
      <w:r>
        <w:lastRenderedPageBreak/>
        <w:t>[Supplementary Figure 3 here]</w:t>
      </w:r>
    </w:p>
    <w:p w:rsidR="00580743" w:rsidRDefault="00580743" w:rsidP="00580743">
      <w:pPr>
        <w:rPr>
          <w:rFonts w:ascii="Times New Roman" w:hAnsi="Times New Roman" w:cs="Times New Roman"/>
          <w:sz w:val="24"/>
          <w:szCs w:val="24"/>
        </w:rPr>
      </w:pPr>
      <w:proofErr w:type="gramStart"/>
      <w:r w:rsidRPr="00EE4667">
        <w:rPr>
          <w:rFonts w:ascii="Times New Roman" w:hAnsi="Times New Roman" w:cs="Times New Roman"/>
          <w:sz w:val="24"/>
          <w:szCs w:val="24"/>
        </w:rPr>
        <w:t xml:space="preserve">Supplementary Figure </w:t>
      </w:r>
      <w:r>
        <w:rPr>
          <w:rFonts w:ascii="Times New Roman" w:hAnsi="Times New Roman" w:cs="Times New Roman"/>
          <w:sz w:val="24"/>
          <w:szCs w:val="24"/>
        </w:rPr>
        <w:t>3</w:t>
      </w:r>
      <w:r w:rsidRPr="00EE4667">
        <w:rPr>
          <w:rFonts w:ascii="Times New Roman" w:hAnsi="Times New Roman" w:cs="Times New Roman"/>
          <w:sz w:val="24"/>
          <w:szCs w:val="24"/>
        </w:rPr>
        <w:t>.</w:t>
      </w:r>
      <w:proofErr w:type="gramEnd"/>
      <w:r>
        <w:rPr>
          <w:rFonts w:ascii="Times New Roman" w:hAnsi="Times New Roman" w:cs="Times New Roman"/>
          <w:sz w:val="24"/>
          <w:szCs w:val="24"/>
        </w:rPr>
        <w:t xml:space="preserve"> No significant group differences were observed at the end of exposure or abstinence for A) tibiae length. B) </w:t>
      </w:r>
      <w:proofErr w:type="gramStart"/>
      <w:r>
        <w:rPr>
          <w:rFonts w:ascii="Times New Roman" w:hAnsi="Times New Roman" w:cs="Times New Roman"/>
          <w:sz w:val="24"/>
          <w:szCs w:val="24"/>
        </w:rPr>
        <w:t>marrow</w:t>
      </w:r>
      <w:proofErr w:type="gramEnd"/>
      <w:r>
        <w:rPr>
          <w:rFonts w:ascii="Times New Roman" w:hAnsi="Times New Roman" w:cs="Times New Roman"/>
          <w:sz w:val="24"/>
          <w:szCs w:val="24"/>
        </w:rPr>
        <w:t xml:space="preserve"> area. C) </w:t>
      </w:r>
      <w:proofErr w:type="gramStart"/>
      <w:r>
        <w:rPr>
          <w:rFonts w:ascii="Times New Roman" w:hAnsi="Times New Roman" w:cs="Times New Roman"/>
          <w:sz w:val="24"/>
          <w:szCs w:val="24"/>
        </w:rPr>
        <w:t>cortical</w:t>
      </w:r>
      <w:proofErr w:type="gramEnd"/>
      <w:r>
        <w:rPr>
          <w:rFonts w:ascii="Times New Roman" w:hAnsi="Times New Roman" w:cs="Times New Roman"/>
          <w:sz w:val="24"/>
          <w:szCs w:val="24"/>
        </w:rPr>
        <w:t xml:space="preserve"> area. D) </w:t>
      </w:r>
      <w:proofErr w:type="spellStart"/>
      <w:proofErr w:type="gramStart"/>
      <w:r>
        <w:rPr>
          <w:rFonts w:ascii="Times New Roman" w:hAnsi="Times New Roman" w:cs="Times New Roman"/>
          <w:sz w:val="24"/>
          <w:szCs w:val="24"/>
        </w:rPr>
        <w:t>endocortical</w:t>
      </w:r>
      <w:proofErr w:type="spellEnd"/>
      <w:proofErr w:type="gramEnd"/>
      <w:r>
        <w:rPr>
          <w:rFonts w:ascii="Times New Roman" w:hAnsi="Times New Roman" w:cs="Times New Roman"/>
          <w:sz w:val="24"/>
          <w:szCs w:val="24"/>
        </w:rPr>
        <w:t xml:space="preserve"> perimeter. E) </w:t>
      </w:r>
      <w:proofErr w:type="gramStart"/>
      <w:r>
        <w:rPr>
          <w:rFonts w:ascii="Times New Roman" w:hAnsi="Times New Roman" w:cs="Times New Roman"/>
          <w:sz w:val="24"/>
          <w:szCs w:val="24"/>
        </w:rPr>
        <w:t>periosteal</w:t>
      </w:r>
      <w:proofErr w:type="gramEnd"/>
      <w:r>
        <w:rPr>
          <w:rFonts w:ascii="Times New Roman" w:hAnsi="Times New Roman" w:cs="Times New Roman"/>
          <w:sz w:val="24"/>
          <w:szCs w:val="24"/>
        </w:rPr>
        <w:t xml:space="preserve"> perimeter. F) </w:t>
      </w:r>
      <w:proofErr w:type="gramStart"/>
      <w:r>
        <w:rPr>
          <w:rFonts w:ascii="Times New Roman" w:hAnsi="Times New Roman" w:cs="Times New Roman"/>
          <w:sz w:val="24"/>
          <w:szCs w:val="24"/>
        </w:rPr>
        <w:t>mean</w:t>
      </w:r>
      <w:proofErr w:type="gramEnd"/>
      <w:r>
        <w:rPr>
          <w:rFonts w:ascii="Times New Roman" w:hAnsi="Times New Roman" w:cs="Times New Roman"/>
          <w:sz w:val="24"/>
          <w:szCs w:val="24"/>
        </w:rPr>
        <w:t xml:space="preserve"> polar moment or inertia. </w:t>
      </w:r>
      <w:r w:rsidRPr="00F254CB">
        <w:rPr>
          <w:rFonts w:ascii="Times New Roman" w:hAnsi="Times New Roman" w:cs="Times New Roman"/>
          <w:sz w:val="24"/>
          <w:szCs w:val="24"/>
        </w:rPr>
        <w:t>Tibiae were analysed by µCT at the end of the exposure (</w:t>
      </w:r>
      <w:r>
        <w:rPr>
          <w:rFonts w:ascii="Times New Roman" w:hAnsi="Times New Roman" w:cs="Times New Roman"/>
          <w:sz w:val="24"/>
          <w:szCs w:val="24"/>
        </w:rPr>
        <w:t xml:space="preserve">Air-controls </w:t>
      </w:r>
      <w:r w:rsidRPr="00F254CB">
        <w:rPr>
          <w:rFonts w:ascii="Times New Roman" w:hAnsi="Times New Roman" w:cs="Times New Roman"/>
          <w:sz w:val="24"/>
          <w:szCs w:val="24"/>
        </w:rPr>
        <w:t>n=10, Pair-fed n=10, CIT n=11) and abstinence periods (</w:t>
      </w:r>
      <w:r>
        <w:rPr>
          <w:rFonts w:ascii="Times New Roman" w:hAnsi="Times New Roman" w:cs="Times New Roman"/>
          <w:sz w:val="24"/>
          <w:szCs w:val="24"/>
        </w:rPr>
        <w:t xml:space="preserve">Air-controls </w:t>
      </w:r>
      <w:r w:rsidRPr="00F254CB">
        <w:rPr>
          <w:rFonts w:ascii="Times New Roman" w:hAnsi="Times New Roman" w:cs="Times New Roman"/>
          <w:sz w:val="24"/>
          <w:szCs w:val="24"/>
        </w:rPr>
        <w:t>n=10, Pair-fed n=10, CIT n=12)</w:t>
      </w:r>
      <w:r>
        <w:rPr>
          <w:rFonts w:ascii="Times New Roman" w:hAnsi="Times New Roman" w:cs="Times New Roman"/>
          <w:sz w:val="24"/>
          <w:szCs w:val="24"/>
        </w:rPr>
        <w:t>.</w:t>
      </w:r>
    </w:p>
    <w:p w:rsidR="00580743" w:rsidRDefault="007163D6" w:rsidP="00580743">
      <w:pPr>
        <w:spacing w:line="480" w:lineRule="auto"/>
      </w:pPr>
      <w:r>
        <w:t>[Supplementary Figure 4 here]</w:t>
      </w:r>
    </w:p>
    <w:p w:rsidR="00580743" w:rsidRDefault="00580743" w:rsidP="00580743">
      <w:pPr>
        <w:rPr>
          <w:rFonts w:ascii="Times New Roman" w:hAnsi="Times New Roman" w:cs="Times New Roman"/>
          <w:sz w:val="24"/>
          <w:szCs w:val="24"/>
        </w:rPr>
      </w:pPr>
      <w:proofErr w:type="gramStart"/>
      <w:r w:rsidRPr="00EE4667">
        <w:rPr>
          <w:rFonts w:ascii="Times New Roman" w:hAnsi="Times New Roman" w:cs="Times New Roman"/>
          <w:sz w:val="24"/>
          <w:szCs w:val="24"/>
        </w:rPr>
        <w:t xml:space="preserve">Supplementary Figure </w:t>
      </w:r>
      <w:r>
        <w:rPr>
          <w:rFonts w:ascii="Times New Roman" w:hAnsi="Times New Roman" w:cs="Times New Roman"/>
          <w:sz w:val="24"/>
          <w:szCs w:val="24"/>
        </w:rPr>
        <w:t>4</w:t>
      </w:r>
      <w:r w:rsidRPr="00EE4667">
        <w:rPr>
          <w:rFonts w:ascii="Times New Roman" w:hAnsi="Times New Roman" w:cs="Times New Roman"/>
          <w:sz w:val="24"/>
          <w:szCs w:val="24"/>
        </w:rPr>
        <w:t>.</w:t>
      </w:r>
      <w:proofErr w:type="gramEnd"/>
      <w:r>
        <w:rPr>
          <w:rFonts w:ascii="Times New Roman" w:hAnsi="Times New Roman" w:cs="Times New Roman"/>
          <w:sz w:val="24"/>
          <w:szCs w:val="24"/>
        </w:rPr>
        <w:t xml:space="preserve"> No significant group differences were observed at the end of abstinence for A) Young’s Modulus. B) Yield Stress. C) Ultimate Stress. D) Failure Stress. </w:t>
      </w:r>
      <w:r w:rsidRPr="00F254CB">
        <w:rPr>
          <w:rFonts w:ascii="Times New Roman" w:hAnsi="Times New Roman" w:cs="Times New Roman"/>
          <w:sz w:val="24"/>
          <w:szCs w:val="24"/>
        </w:rPr>
        <w:t xml:space="preserve">Tibiae were </w:t>
      </w:r>
      <w:r>
        <w:rPr>
          <w:rFonts w:ascii="Times New Roman" w:hAnsi="Times New Roman" w:cs="Times New Roman"/>
          <w:sz w:val="24"/>
          <w:szCs w:val="24"/>
        </w:rPr>
        <w:t>mechanically tested at the end of the abstinence period</w:t>
      </w:r>
      <w:r w:rsidRPr="00F254CB">
        <w:rPr>
          <w:rFonts w:ascii="Times New Roman" w:hAnsi="Times New Roman" w:cs="Times New Roman"/>
          <w:sz w:val="24"/>
          <w:szCs w:val="24"/>
        </w:rPr>
        <w:t xml:space="preserve"> (</w:t>
      </w:r>
      <w:r>
        <w:rPr>
          <w:rFonts w:ascii="Times New Roman" w:hAnsi="Times New Roman" w:cs="Times New Roman"/>
          <w:sz w:val="24"/>
          <w:szCs w:val="24"/>
        </w:rPr>
        <w:t xml:space="preserve">Air-controls </w:t>
      </w:r>
      <w:r w:rsidRPr="00F254CB">
        <w:rPr>
          <w:rFonts w:ascii="Times New Roman" w:hAnsi="Times New Roman" w:cs="Times New Roman"/>
          <w:sz w:val="24"/>
          <w:szCs w:val="24"/>
        </w:rPr>
        <w:t>n=10, Pair-fed n=10, CIT n=12)</w:t>
      </w:r>
      <w:r>
        <w:rPr>
          <w:rFonts w:ascii="Times New Roman" w:hAnsi="Times New Roman" w:cs="Times New Roman"/>
          <w:sz w:val="24"/>
          <w:szCs w:val="24"/>
        </w:rPr>
        <w:t>.</w:t>
      </w:r>
    </w:p>
    <w:p w:rsidR="00580743" w:rsidRDefault="00580743" w:rsidP="00580743">
      <w:pPr>
        <w:spacing w:line="480" w:lineRule="auto"/>
        <w:rPr>
          <w:rFonts w:ascii="Times New Roman" w:hAnsi="Times New Roman" w:cs="Times New Roman"/>
          <w:b/>
          <w:sz w:val="24"/>
          <w:szCs w:val="24"/>
          <w:u w:val="single"/>
        </w:rPr>
      </w:pPr>
      <w:r w:rsidRPr="005D4316">
        <w:rPr>
          <w:rFonts w:ascii="Times New Roman" w:hAnsi="Times New Roman" w:cs="Times New Roman"/>
          <w:b/>
          <w:sz w:val="24"/>
          <w:szCs w:val="24"/>
          <w:u w:val="single"/>
        </w:rPr>
        <w:t xml:space="preserve">Supplementary file </w:t>
      </w:r>
      <w:r>
        <w:rPr>
          <w:rFonts w:ascii="Times New Roman" w:hAnsi="Times New Roman" w:cs="Times New Roman"/>
          <w:b/>
          <w:sz w:val="24"/>
          <w:szCs w:val="24"/>
          <w:u w:val="single"/>
        </w:rPr>
        <w:t>7</w:t>
      </w:r>
      <w:r w:rsidRPr="005D4316">
        <w:rPr>
          <w:rFonts w:ascii="Times New Roman" w:hAnsi="Times New Roman" w:cs="Times New Roman"/>
          <w:b/>
          <w:sz w:val="24"/>
          <w:szCs w:val="24"/>
          <w:u w:val="single"/>
        </w:rPr>
        <w:t xml:space="preserve"> – additional </w:t>
      </w:r>
      <w:r>
        <w:rPr>
          <w:rFonts w:ascii="Times New Roman" w:hAnsi="Times New Roman" w:cs="Times New Roman"/>
          <w:b/>
          <w:sz w:val="24"/>
          <w:szCs w:val="24"/>
          <w:u w:val="single"/>
        </w:rPr>
        <w:t>adrenal histology data</w:t>
      </w:r>
    </w:p>
    <w:p w:rsidR="00580743" w:rsidRDefault="00580743" w:rsidP="00580743">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medulla, the CIT group had a significantly decreased zone width at the end of exposure (t=5.69 p&lt;0.0001, Supplementary Figure 5A), with no significant differences at the end of abstinence, however, the CIT group had a significantly increased cell size in the medulla at the end of exposure (t=3.361 p=0.004, Supplementary Figure 5B), with no differences at the end of abstinence. In the zona glomerulosa there were no group differences in zone width at either time point (Supplementary Figure 5C), however, the CIT group had significantly smaller cell size at the end of exposure (t=2.296 p=0.0339, Supplementary Figure 5D) and abstinence (t=2.618 p=0.0165, Supplementary Figure 5D). In the zona reticularis there were no group differences in zone width at either time point (Supplementary Figure 5E), however, the CIT group had significantly smaller cell size at the end of exposure (t=2.221 p=0.0394, Supplementary Figure 5F) and abstinence (t=2.264 p=0.0349, Supplementary Figure 5F).   </w:t>
      </w:r>
    </w:p>
    <w:p w:rsidR="007163D6" w:rsidRDefault="007163D6" w:rsidP="00580743">
      <w:r>
        <w:t>[Supplementary Figure 5 here]</w:t>
      </w:r>
    </w:p>
    <w:p w:rsidR="00580743" w:rsidRDefault="00580743" w:rsidP="00580743">
      <w:pPr>
        <w:rPr>
          <w:rFonts w:ascii="Times New Roman" w:hAnsi="Times New Roman" w:cs="Times New Roman"/>
          <w:sz w:val="24"/>
          <w:szCs w:val="24"/>
        </w:rPr>
      </w:pPr>
      <w:proofErr w:type="gramStart"/>
      <w:r w:rsidRPr="00EE4667">
        <w:rPr>
          <w:rFonts w:ascii="Times New Roman" w:hAnsi="Times New Roman" w:cs="Times New Roman"/>
          <w:sz w:val="24"/>
          <w:szCs w:val="24"/>
        </w:rPr>
        <w:t xml:space="preserve">Supplementary Figure </w:t>
      </w:r>
      <w:r>
        <w:rPr>
          <w:rFonts w:ascii="Times New Roman" w:hAnsi="Times New Roman" w:cs="Times New Roman"/>
          <w:sz w:val="24"/>
          <w:szCs w:val="24"/>
        </w:rPr>
        <w:t>5</w:t>
      </w:r>
      <w:r w:rsidRPr="00EE4667">
        <w:rPr>
          <w:rFonts w:ascii="Times New Roman" w:hAnsi="Times New Roman" w:cs="Times New Roman"/>
          <w:sz w:val="24"/>
          <w:szCs w:val="24"/>
        </w:rPr>
        <w:t>.</w:t>
      </w:r>
      <w:proofErr w:type="gramEnd"/>
      <w:r>
        <w:rPr>
          <w:rFonts w:ascii="Times New Roman" w:hAnsi="Times New Roman" w:cs="Times New Roman"/>
          <w:sz w:val="24"/>
          <w:szCs w:val="24"/>
        </w:rPr>
        <w:t xml:space="preserve"> A) CIT group had a reduced medulla zone width at the end of exposure, but no difference at the end of abstinence. B) CIT group had increased medulla cell size</w:t>
      </w:r>
      <w:r w:rsidRPr="006A3A1C">
        <w:rPr>
          <w:rFonts w:ascii="Times New Roman" w:hAnsi="Times New Roman" w:cs="Times New Roman"/>
          <w:sz w:val="24"/>
          <w:szCs w:val="24"/>
        </w:rPr>
        <w:t xml:space="preserve"> </w:t>
      </w:r>
      <w:r>
        <w:rPr>
          <w:rFonts w:ascii="Times New Roman" w:hAnsi="Times New Roman" w:cs="Times New Roman"/>
          <w:sz w:val="24"/>
          <w:szCs w:val="24"/>
        </w:rPr>
        <w:t xml:space="preserve">at the end of exposure, but no difference at the end of abstinence. C). There were no group differences in zona glomerulosa width at either time point. D). CIT group had decreased zona glomerulosa cell size at both time points. E). There were no group differences </w:t>
      </w:r>
      <w:r>
        <w:rPr>
          <w:rFonts w:ascii="Times New Roman" w:hAnsi="Times New Roman" w:cs="Times New Roman"/>
          <w:sz w:val="24"/>
          <w:szCs w:val="24"/>
        </w:rPr>
        <w:lastRenderedPageBreak/>
        <w:t xml:space="preserve">in zona reticularis width at either time point. F) CIT group had decreased zona reticularis cell size at both time points. </w:t>
      </w:r>
      <w:r w:rsidRPr="005E2DFB">
        <w:rPr>
          <w:rFonts w:ascii="Times New Roman" w:hAnsi="Times New Roman" w:cs="Times New Roman"/>
          <w:sz w:val="24"/>
          <w:szCs w:val="24"/>
        </w:rPr>
        <w:t xml:space="preserve">* </w:t>
      </w:r>
      <w:proofErr w:type="gramStart"/>
      <w:r w:rsidRPr="005E2DFB">
        <w:rPr>
          <w:rFonts w:ascii="Times New Roman" w:hAnsi="Times New Roman" w:cs="Times New Roman"/>
          <w:sz w:val="24"/>
          <w:szCs w:val="24"/>
        </w:rPr>
        <w:t>p</w:t>
      </w:r>
      <w:proofErr w:type="gramEnd"/>
      <w:r w:rsidRPr="005E2DFB">
        <w:rPr>
          <w:rFonts w:ascii="Times New Roman" w:hAnsi="Times New Roman" w:cs="Times New Roman"/>
          <w:sz w:val="24"/>
          <w:szCs w:val="24"/>
        </w:rPr>
        <w:t>&lt;0.05,</w:t>
      </w:r>
      <w:r>
        <w:rPr>
          <w:rFonts w:ascii="Times New Roman" w:hAnsi="Times New Roman" w:cs="Times New Roman"/>
          <w:sz w:val="24"/>
          <w:szCs w:val="24"/>
        </w:rPr>
        <w:t xml:space="preserve"> **p&lt;0.01,</w:t>
      </w:r>
      <w:r w:rsidRPr="005E2DFB">
        <w:rPr>
          <w:rFonts w:ascii="Times New Roman" w:hAnsi="Times New Roman" w:cs="Times New Roman"/>
          <w:sz w:val="24"/>
          <w:szCs w:val="24"/>
        </w:rPr>
        <w:t xml:space="preserve"> ****p&lt;0.0001</w:t>
      </w:r>
      <w:r>
        <w:rPr>
          <w:rFonts w:ascii="Times New Roman" w:hAnsi="Times New Roman" w:cs="Times New Roman"/>
          <w:sz w:val="24"/>
          <w:szCs w:val="24"/>
        </w:rPr>
        <w:t>. A</w:t>
      </w:r>
      <w:r w:rsidRPr="00847114">
        <w:rPr>
          <w:rFonts w:ascii="Times New Roman" w:hAnsi="Times New Roman" w:cs="Times New Roman"/>
          <w:sz w:val="24"/>
          <w:szCs w:val="24"/>
        </w:rPr>
        <w:t>drenal glands collected at the end of the exposure (</w:t>
      </w:r>
      <w:r>
        <w:rPr>
          <w:rFonts w:ascii="Times New Roman" w:hAnsi="Times New Roman" w:cs="Times New Roman"/>
          <w:sz w:val="24"/>
          <w:szCs w:val="24"/>
        </w:rPr>
        <w:t xml:space="preserve">Air-controls </w:t>
      </w:r>
      <w:r w:rsidRPr="00847114">
        <w:rPr>
          <w:rFonts w:ascii="Times New Roman" w:hAnsi="Times New Roman" w:cs="Times New Roman"/>
          <w:sz w:val="24"/>
          <w:szCs w:val="24"/>
        </w:rPr>
        <w:t>n=10, CIT n=11) and abstinence periods (</w:t>
      </w:r>
      <w:r>
        <w:rPr>
          <w:rFonts w:ascii="Times New Roman" w:hAnsi="Times New Roman" w:cs="Times New Roman"/>
          <w:sz w:val="24"/>
          <w:szCs w:val="24"/>
        </w:rPr>
        <w:t xml:space="preserve">Air-controls </w:t>
      </w:r>
      <w:r w:rsidRPr="00847114">
        <w:rPr>
          <w:rFonts w:ascii="Times New Roman" w:hAnsi="Times New Roman" w:cs="Times New Roman"/>
          <w:sz w:val="24"/>
          <w:szCs w:val="24"/>
        </w:rPr>
        <w:t>n=10, CIT n=12)</w:t>
      </w:r>
      <w:r>
        <w:rPr>
          <w:rFonts w:ascii="Times New Roman" w:hAnsi="Times New Roman" w:cs="Times New Roman"/>
          <w:sz w:val="24"/>
          <w:szCs w:val="24"/>
        </w:rPr>
        <w:t>.</w:t>
      </w:r>
    </w:p>
    <w:p w:rsidR="00580743" w:rsidRDefault="00580743" w:rsidP="00580743">
      <w:pPr>
        <w:spacing w:line="480" w:lineRule="auto"/>
        <w:rPr>
          <w:rFonts w:ascii="Times New Roman" w:hAnsi="Times New Roman" w:cs="Times New Roman"/>
          <w:b/>
          <w:sz w:val="24"/>
          <w:szCs w:val="24"/>
        </w:rPr>
      </w:pPr>
    </w:p>
    <w:p w:rsidR="00580743" w:rsidRDefault="00580743" w:rsidP="00580743">
      <w:pPr>
        <w:rPr>
          <w:rFonts w:ascii="Times New Roman" w:hAnsi="Times New Roman" w:cs="Times New Roman"/>
          <w:sz w:val="24"/>
          <w:szCs w:val="24"/>
        </w:rPr>
      </w:pPr>
    </w:p>
    <w:p w:rsidR="003F60D7" w:rsidRDefault="00FB34A4"/>
    <w:sectPr w:rsidR="003F60D7" w:rsidSect="00A807B4">
      <w:headerReference w:type="default" r:id="rId7"/>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11" w:rsidRDefault="007163D6">
      <w:pPr>
        <w:spacing w:after="0" w:line="240" w:lineRule="auto"/>
      </w:pPr>
      <w:r>
        <w:separator/>
      </w:r>
    </w:p>
  </w:endnote>
  <w:endnote w:type="continuationSeparator" w:id="0">
    <w:p w:rsidR="002D1511" w:rsidRDefault="0071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15049"/>
      <w:docPartObj>
        <w:docPartGallery w:val="Page Numbers (Bottom of Page)"/>
        <w:docPartUnique/>
      </w:docPartObj>
    </w:sdtPr>
    <w:sdtEndPr/>
    <w:sdtContent>
      <w:sdt>
        <w:sdtPr>
          <w:id w:val="860082579"/>
          <w:docPartObj>
            <w:docPartGallery w:val="Page Numbers (Top of Page)"/>
            <w:docPartUnique/>
          </w:docPartObj>
        </w:sdtPr>
        <w:sdtEndPr/>
        <w:sdtContent>
          <w:p w:rsidR="00F47D89" w:rsidRDefault="005807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34A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34A4">
              <w:rPr>
                <w:b/>
                <w:bCs/>
                <w:noProof/>
              </w:rPr>
              <w:t>6</w:t>
            </w:r>
            <w:r>
              <w:rPr>
                <w:b/>
                <w:bCs/>
                <w:sz w:val="24"/>
                <w:szCs w:val="24"/>
              </w:rPr>
              <w:fldChar w:fldCharType="end"/>
            </w:r>
          </w:p>
        </w:sdtContent>
      </w:sdt>
    </w:sdtContent>
  </w:sdt>
  <w:p w:rsidR="00F47D89" w:rsidRDefault="00FB34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11" w:rsidRDefault="007163D6">
      <w:pPr>
        <w:spacing w:after="0" w:line="240" w:lineRule="auto"/>
      </w:pPr>
      <w:r>
        <w:separator/>
      </w:r>
    </w:p>
  </w:footnote>
  <w:footnote w:type="continuationSeparator" w:id="0">
    <w:p w:rsidR="002D1511" w:rsidRDefault="007163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89" w:rsidRDefault="00580743">
    <w:pPr>
      <w:pStyle w:val="Header"/>
    </w:pPr>
    <w:r>
      <w:t>Rose Crossin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A7"/>
    <w:rsid w:val="002C3F17"/>
    <w:rsid w:val="002C7A6A"/>
    <w:rsid w:val="002D1511"/>
    <w:rsid w:val="00580743"/>
    <w:rsid w:val="007163D6"/>
    <w:rsid w:val="009A4ECF"/>
    <w:rsid w:val="00DD45DB"/>
    <w:rsid w:val="00F273A7"/>
    <w:rsid w:val="00FB34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43"/>
  </w:style>
  <w:style w:type="paragraph" w:styleId="Footer">
    <w:name w:val="footer"/>
    <w:basedOn w:val="Normal"/>
    <w:link w:val="FooterChar"/>
    <w:uiPriority w:val="99"/>
    <w:unhideWhenUsed/>
    <w:rsid w:val="00580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743"/>
  </w:style>
  <w:style w:type="character" w:styleId="LineNumber">
    <w:name w:val="line number"/>
    <w:basedOn w:val="DefaultParagraphFont"/>
    <w:uiPriority w:val="99"/>
    <w:semiHidden/>
    <w:unhideWhenUsed/>
    <w:rsid w:val="005807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43"/>
  </w:style>
  <w:style w:type="paragraph" w:styleId="Footer">
    <w:name w:val="footer"/>
    <w:basedOn w:val="Normal"/>
    <w:link w:val="FooterChar"/>
    <w:uiPriority w:val="99"/>
    <w:unhideWhenUsed/>
    <w:rsid w:val="00580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743"/>
  </w:style>
  <w:style w:type="character" w:styleId="LineNumber">
    <w:name w:val="line number"/>
    <w:basedOn w:val="DefaultParagraphFont"/>
    <w:uiPriority w:val="99"/>
    <w:semiHidden/>
    <w:unhideWhenUsed/>
    <w:rsid w:val="0058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9192</Characters>
  <Application>Microsoft Macintosh Word</Application>
  <DocSecurity>0</DocSecurity>
  <Lines>383</Lines>
  <Paragraphs>154</Paragraphs>
  <ScaleCrop>false</ScaleCrop>
  <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Crossin</dc:creator>
  <cp:keywords/>
  <dc:description/>
  <cp:lastModifiedBy>Ellen Grunewald</cp:lastModifiedBy>
  <cp:revision>2</cp:revision>
  <dcterms:created xsi:type="dcterms:W3CDTF">2018-09-12T11:23:00Z</dcterms:created>
  <dcterms:modified xsi:type="dcterms:W3CDTF">2018-09-12T11:23:00Z</dcterms:modified>
</cp:coreProperties>
</file>