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858" w:rsidRPr="00680C9D" w:rsidRDefault="00E07858" w:rsidP="00E07858">
      <w:pPr>
        <w:widowControl/>
        <w:jc w:val="left"/>
        <w:rPr>
          <w:lang w:val="en-GB"/>
        </w:rPr>
      </w:pPr>
      <w:r w:rsidRPr="00680C9D">
        <w:rPr>
          <w:b/>
          <w:lang w:val="en-GB"/>
        </w:rPr>
        <w:t>Supplementary Table 1</w:t>
      </w:r>
      <w:r w:rsidRPr="00680C9D">
        <w:rPr>
          <w:lang w:val="en-GB"/>
        </w:rPr>
        <w:t xml:space="preserve">. </w:t>
      </w:r>
      <w:r w:rsidRPr="00680C9D">
        <w:rPr>
          <w:b/>
          <w:lang w:val="en-GB"/>
        </w:rPr>
        <w:t xml:space="preserve">Odds ratios of </w:t>
      </w:r>
      <w:r w:rsidRPr="009F01DC">
        <w:rPr>
          <w:b/>
          <w:lang w:val="en-GB"/>
        </w:rPr>
        <w:t xml:space="preserve">the </w:t>
      </w:r>
      <w:r w:rsidRPr="00680C9D">
        <w:rPr>
          <w:b/>
          <w:lang w:val="en-GB"/>
        </w:rPr>
        <w:t>p</w:t>
      </w:r>
      <w:r w:rsidRPr="00680C9D">
        <w:rPr>
          <w:b/>
          <w:sz w:val="20"/>
          <w:lang w:val="en-GB"/>
        </w:rPr>
        <w:t xml:space="preserve">ositive predictive values </w:t>
      </w:r>
      <w:r w:rsidRPr="009F01DC">
        <w:rPr>
          <w:b/>
          <w:sz w:val="20"/>
          <w:szCs w:val="20"/>
          <w:lang w:val="en-GB"/>
        </w:rPr>
        <w:t>afforded by</w:t>
      </w:r>
      <w:r w:rsidRPr="00680C9D">
        <w:rPr>
          <w:b/>
          <w:sz w:val="20"/>
          <w:lang w:val="en-GB"/>
        </w:rPr>
        <w:t xml:space="preserve"> </w:t>
      </w:r>
      <w:proofErr w:type="spellStart"/>
      <w:r w:rsidRPr="00680C9D">
        <w:rPr>
          <w:b/>
          <w:sz w:val="20"/>
          <w:lang w:val="en-GB"/>
        </w:rPr>
        <w:t>iFOBT</w:t>
      </w:r>
      <w:proofErr w:type="spellEnd"/>
      <w:r w:rsidRPr="00680C9D">
        <w:rPr>
          <w:b/>
          <w:sz w:val="20"/>
          <w:lang w:val="en-GB"/>
        </w:rPr>
        <w:t xml:space="preserve"> for all neoplasia, invasive and non-invasive cancer, and colorectal adenoma in patients </w:t>
      </w:r>
      <w:r w:rsidRPr="009F01DC">
        <w:rPr>
          <w:b/>
          <w:sz w:val="20"/>
          <w:szCs w:val="20"/>
          <w:lang w:val="en-GB"/>
        </w:rPr>
        <w:t>using</w:t>
      </w:r>
      <w:r w:rsidRPr="00680C9D">
        <w:rPr>
          <w:b/>
          <w:sz w:val="20"/>
          <w:lang w:val="en-GB"/>
        </w:rPr>
        <w:t xml:space="preserve"> DOAC, warfarin, aspirin, and thienopyridine compared </w:t>
      </w:r>
      <w:r w:rsidRPr="009F01DC">
        <w:rPr>
          <w:b/>
          <w:sz w:val="20"/>
          <w:szCs w:val="20"/>
          <w:lang w:val="en-GB"/>
        </w:rPr>
        <w:t>to</w:t>
      </w:r>
      <w:r w:rsidRPr="00680C9D">
        <w:rPr>
          <w:b/>
          <w:sz w:val="20"/>
          <w:lang w:val="en-GB"/>
        </w:rPr>
        <w:t xml:space="preserve"> non-</w:t>
      </w:r>
      <w:r w:rsidRPr="009F01DC">
        <w:rPr>
          <w:b/>
          <w:sz w:val="20"/>
          <w:szCs w:val="20"/>
          <w:lang w:val="en-GB"/>
        </w:rPr>
        <w:t>users</w:t>
      </w:r>
      <w:r w:rsidRPr="00680C9D">
        <w:rPr>
          <w:b/>
          <w:sz w:val="20"/>
          <w:lang w:val="en-GB"/>
        </w:rPr>
        <w:t xml:space="preserve"> </w:t>
      </w:r>
      <w:proofErr w:type="gramStart"/>
      <w:r w:rsidRPr="00680C9D">
        <w:rPr>
          <w:b/>
          <w:sz w:val="20"/>
          <w:lang w:val="en-GB"/>
        </w:rPr>
        <w:t>( N</w:t>
      </w:r>
      <w:proofErr w:type="gramEnd"/>
      <w:r w:rsidRPr="00680C9D">
        <w:rPr>
          <w:b/>
          <w:sz w:val="20"/>
          <w:lang w:val="en-GB"/>
        </w:rPr>
        <w:t xml:space="preserve"> = </w:t>
      </w:r>
      <w:r w:rsidRPr="009F01DC">
        <w:rPr>
          <w:b/>
          <w:sz w:val="20"/>
          <w:szCs w:val="20"/>
          <w:lang w:val="en-GB"/>
        </w:rPr>
        <w:t>5,173).</w:t>
      </w:r>
    </w:p>
    <w:tbl>
      <w:tblPr>
        <w:tblW w:w="10545" w:type="dxa"/>
        <w:tblLook w:val="04A0" w:firstRow="1" w:lastRow="0" w:firstColumn="1" w:lastColumn="0" w:noHBand="0" w:noVBand="1"/>
      </w:tblPr>
      <w:tblGrid>
        <w:gridCol w:w="2665"/>
        <w:gridCol w:w="1984"/>
        <w:gridCol w:w="1587"/>
        <w:gridCol w:w="3345"/>
        <w:gridCol w:w="964"/>
      </w:tblGrid>
      <w:tr w:rsidR="00E07858" w:rsidRPr="009F01DC" w:rsidTr="0099716D">
        <w:tc>
          <w:tcPr>
            <w:tcW w:w="2665" w:type="dxa"/>
            <w:tcBorders>
              <w:top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b/>
                <w:lang w:val="en-GB"/>
              </w:rPr>
            </w:pPr>
            <w:r w:rsidRPr="00680C9D">
              <w:rPr>
                <w:b/>
                <w:lang w:val="en-GB"/>
              </w:rPr>
              <w:t>Outcomes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</w:p>
        </w:tc>
      </w:tr>
      <w:tr w:rsidR="00E07858" w:rsidRPr="009F01DC" w:rsidTr="0099716D">
        <w:tc>
          <w:tcPr>
            <w:tcW w:w="2665" w:type="dxa"/>
            <w:tcBorders>
              <w:bottom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b/>
                <w:lang w:val="en-GB"/>
              </w:rPr>
            </w:pPr>
            <w:r w:rsidRPr="00680C9D">
              <w:rPr>
                <w:b/>
                <w:lang w:val="en-GB"/>
              </w:rPr>
              <w:t xml:space="preserve">All neoplasia </w:t>
            </w:r>
          </w:p>
          <w:p w:rsidR="00E07858" w:rsidRPr="00680C9D" w:rsidRDefault="00E07858" w:rsidP="0099716D">
            <w:pPr>
              <w:widowControl/>
              <w:jc w:val="left"/>
              <w:rPr>
                <w:b/>
                <w:lang w:val="en-GB"/>
              </w:rPr>
            </w:pPr>
            <w:r w:rsidRPr="00680C9D">
              <w:rPr>
                <w:b/>
                <w:lang w:val="en-GB"/>
              </w:rPr>
              <w:t xml:space="preserve">(N = </w:t>
            </w:r>
            <w:proofErr w:type="gramStart"/>
            <w:r w:rsidRPr="00680C9D">
              <w:rPr>
                <w:b/>
                <w:lang w:val="en-GB"/>
              </w:rPr>
              <w:t>2399 )</w:t>
            </w:r>
            <w:proofErr w:type="gramEnd"/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b/>
                <w:lang w:val="en-GB"/>
              </w:rPr>
            </w:pPr>
            <w:r w:rsidRPr="00680C9D">
              <w:rPr>
                <w:b/>
                <w:lang w:val="en-GB"/>
              </w:rPr>
              <w:t>Non</w:t>
            </w:r>
            <w:r w:rsidRPr="009F01DC">
              <w:rPr>
                <w:b/>
                <w:lang w:val="en-GB"/>
              </w:rPr>
              <w:t>-</w:t>
            </w:r>
            <w:r w:rsidRPr="00680C9D">
              <w:rPr>
                <w:b/>
                <w:lang w:val="en-GB"/>
              </w:rPr>
              <w:t>neoplasia</w:t>
            </w:r>
          </w:p>
          <w:p w:rsidR="00E07858" w:rsidRPr="00680C9D" w:rsidRDefault="00E07858" w:rsidP="0099716D">
            <w:pPr>
              <w:widowControl/>
              <w:jc w:val="left"/>
              <w:rPr>
                <w:b/>
                <w:lang w:val="en-GB"/>
              </w:rPr>
            </w:pPr>
            <w:r w:rsidRPr="00680C9D">
              <w:rPr>
                <w:b/>
                <w:lang w:val="en-GB"/>
              </w:rPr>
              <w:t>(N = 2774)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b/>
                <w:lang w:val="en-GB"/>
              </w:rPr>
            </w:pPr>
            <w:r w:rsidRPr="00680C9D">
              <w:rPr>
                <w:b/>
                <w:lang w:val="en-GB"/>
              </w:rPr>
              <w:t xml:space="preserve">Adjusted </w:t>
            </w:r>
            <w:r w:rsidRPr="009F01DC">
              <w:rPr>
                <w:b/>
                <w:lang w:val="en-GB"/>
              </w:rPr>
              <w:t>odds</w:t>
            </w:r>
            <w:r w:rsidRPr="00680C9D">
              <w:rPr>
                <w:b/>
                <w:lang w:val="en-GB"/>
              </w:rPr>
              <w:t xml:space="preserve"> ratio </w:t>
            </w:r>
          </w:p>
          <w:p w:rsidR="00E07858" w:rsidRPr="00680C9D" w:rsidRDefault="00E07858" w:rsidP="0099716D">
            <w:pPr>
              <w:widowControl/>
              <w:jc w:val="left"/>
              <w:rPr>
                <w:b/>
                <w:lang w:val="en-GB"/>
              </w:rPr>
            </w:pPr>
            <w:r w:rsidRPr="00680C9D">
              <w:rPr>
                <w:b/>
                <w:lang w:val="en-GB"/>
              </w:rPr>
              <w:t>(95% confidence interval)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b/>
                <w:lang w:val="en-GB"/>
              </w:rPr>
            </w:pPr>
            <w:r w:rsidRPr="00680C9D">
              <w:rPr>
                <w:b/>
                <w:lang w:val="en-GB"/>
              </w:rPr>
              <w:t>P</w:t>
            </w:r>
            <w:r w:rsidRPr="009F01DC">
              <w:rPr>
                <w:b/>
                <w:lang w:val="en-GB"/>
              </w:rPr>
              <w:t>-</w:t>
            </w:r>
            <w:r w:rsidRPr="00680C9D">
              <w:rPr>
                <w:b/>
                <w:lang w:val="en-GB"/>
              </w:rPr>
              <w:t>value</w:t>
            </w:r>
          </w:p>
        </w:tc>
      </w:tr>
      <w:tr w:rsidR="00E07858" w:rsidRPr="009F01DC" w:rsidTr="0099716D">
        <w:tc>
          <w:tcPr>
            <w:tcW w:w="2665" w:type="dxa"/>
            <w:tcBorders>
              <w:top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DOAC non-</w:t>
            </w:r>
            <w:r w:rsidRPr="009F01DC">
              <w:rPr>
                <w:lang w:val="en-GB"/>
              </w:rPr>
              <w:t>users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9F01DC">
              <w:rPr>
                <w:lang w:val="en-GB"/>
              </w:rPr>
              <w:t>2,275</w:t>
            </w:r>
            <w:r w:rsidRPr="00680C9D">
              <w:rPr>
                <w:lang w:val="en-GB"/>
              </w:rPr>
              <w:t xml:space="preserve"> (94.83) 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9F01DC">
              <w:rPr>
                <w:lang w:val="en-GB"/>
              </w:rPr>
              <w:t>2,680</w:t>
            </w:r>
            <w:r w:rsidRPr="00680C9D">
              <w:rPr>
                <w:lang w:val="en-GB"/>
              </w:rPr>
              <w:t xml:space="preserve"> (96.61) 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</w:p>
        </w:tc>
      </w:tr>
      <w:tr w:rsidR="00E07858" w:rsidRPr="009F01DC" w:rsidTr="0099716D">
        <w:tc>
          <w:tcPr>
            <w:tcW w:w="2665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 xml:space="preserve">DOAC </w:t>
            </w:r>
            <w:r w:rsidRPr="009F01DC">
              <w:rPr>
                <w:lang w:val="en-GB"/>
              </w:rPr>
              <w:t>users</w:t>
            </w:r>
          </w:p>
        </w:tc>
        <w:tc>
          <w:tcPr>
            <w:tcW w:w="1984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124</w:t>
            </w:r>
            <w:r w:rsidRPr="009F01DC">
              <w:rPr>
                <w:lang w:val="en-GB"/>
              </w:rPr>
              <w:t xml:space="preserve"> </w:t>
            </w:r>
            <w:r w:rsidRPr="00680C9D">
              <w:rPr>
                <w:lang w:val="en-GB"/>
              </w:rPr>
              <w:t>(5.17)</w:t>
            </w:r>
          </w:p>
        </w:tc>
        <w:tc>
          <w:tcPr>
            <w:tcW w:w="1587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94 (3.39)</w:t>
            </w:r>
          </w:p>
        </w:tc>
        <w:tc>
          <w:tcPr>
            <w:tcW w:w="3345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1.42 (1.03</w:t>
            </w:r>
            <w:r w:rsidRPr="009F01DC">
              <w:rPr>
                <w:lang w:val="en-GB"/>
              </w:rPr>
              <w:t>–</w:t>
            </w:r>
            <w:r w:rsidRPr="00680C9D">
              <w:rPr>
                <w:lang w:val="en-GB"/>
              </w:rPr>
              <w:t>1.94)</w:t>
            </w:r>
          </w:p>
        </w:tc>
        <w:tc>
          <w:tcPr>
            <w:tcW w:w="964" w:type="dxa"/>
          </w:tcPr>
          <w:p w:rsidR="00E07858" w:rsidRPr="00680C9D" w:rsidRDefault="00E07858" w:rsidP="0099716D">
            <w:pPr>
              <w:widowControl/>
              <w:jc w:val="left"/>
              <w:rPr>
                <w:b/>
                <w:lang w:val="en-GB"/>
              </w:rPr>
            </w:pPr>
            <w:r w:rsidRPr="00680C9D">
              <w:rPr>
                <w:b/>
                <w:lang w:val="en-GB"/>
              </w:rPr>
              <w:t>0.030</w:t>
            </w:r>
          </w:p>
        </w:tc>
      </w:tr>
      <w:tr w:rsidR="00E07858" w:rsidRPr="009F01DC" w:rsidTr="0099716D">
        <w:tc>
          <w:tcPr>
            <w:tcW w:w="2665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Warfarin non-</w:t>
            </w:r>
            <w:r w:rsidRPr="009F01DC">
              <w:rPr>
                <w:lang w:val="en-GB"/>
              </w:rPr>
              <w:t>users</w:t>
            </w:r>
          </w:p>
        </w:tc>
        <w:tc>
          <w:tcPr>
            <w:tcW w:w="1984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9F01DC">
              <w:rPr>
                <w:lang w:val="en-GB"/>
              </w:rPr>
              <w:t>2,321</w:t>
            </w:r>
            <w:r w:rsidRPr="00680C9D">
              <w:rPr>
                <w:lang w:val="en-GB"/>
              </w:rPr>
              <w:t xml:space="preserve"> (96.75)</w:t>
            </w:r>
          </w:p>
        </w:tc>
        <w:tc>
          <w:tcPr>
            <w:tcW w:w="1587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9F01DC">
              <w:rPr>
                <w:lang w:val="en-GB"/>
              </w:rPr>
              <w:t>2,683</w:t>
            </w:r>
            <w:r w:rsidRPr="00680C9D">
              <w:rPr>
                <w:lang w:val="en-GB"/>
              </w:rPr>
              <w:t xml:space="preserve"> (96.72)</w:t>
            </w:r>
          </w:p>
        </w:tc>
        <w:tc>
          <w:tcPr>
            <w:tcW w:w="3345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1</w:t>
            </w:r>
          </w:p>
        </w:tc>
        <w:tc>
          <w:tcPr>
            <w:tcW w:w="964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</w:p>
        </w:tc>
      </w:tr>
      <w:tr w:rsidR="00E07858" w:rsidRPr="009F01DC" w:rsidTr="0099716D">
        <w:tc>
          <w:tcPr>
            <w:tcW w:w="2665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 xml:space="preserve">Warfarin </w:t>
            </w:r>
            <w:r w:rsidRPr="009F01DC">
              <w:rPr>
                <w:lang w:val="en-GB"/>
              </w:rPr>
              <w:t>users</w:t>
            </w:r>
          </w:p>
        </w:tc>
        <w:tc>
          <w:tcPr>
            <w:tcW w:w="1984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78 (3.25)</w:t>
            </w:r>
          </w:p>
        </w:tc>
        <w:tc>
          <w:tcPr>
            <w:tcW w:w="1587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91 (3.28)</w:t>
            </w:r>
          </w:p>
        </w:tc>
        <w:tc>
          <w:tcPr>
            <w:tcW w:w="3345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1.25 (0.87</w:t>
            </w:r>
            <w:r w:rsidRPr="009F01DC">
              <w:rPr>
                <w:lang w:val="en-GB"/>
              </w:rPr>
              <w:t>–</w:t>
            </w:r>
            <w:r w:rsidRPr="00680C9D">
              <w:rPr>
                <w:lang w:val="en-GB"/>
              </w:rPr>
              <w:t>1.79)</w:t>
            </w:r>
          </w:p>
        </w:tc>
        <w:tc>
          <w:tcPr>
            <w:tcW w:w="964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0.225</w:t>
            </w:r>
          </w:p>
        </w:tc>
      </w:tr>
      <w:tr w:rsidR="00E07858" w:rsidRPr="009F01DC" w:rsidTr="0099716D">
        <w:tc>
          <w:tcPr>
            <w:tcW w:w="2665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Aspirin non-</w:t>
            </w:r>
            <w:r w:rsidRPr="009F01DC">
              <w:rPr>
                <w:lang w:val="en-GB"/>
              </w:rPr>
              <w:t>users</w:t>
            </w:r>
          </w:p>
        </w:tc>
        <w:tc>
          <w:tcPr>
            <w:tcW w:w="1984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9F01DC">
              <w:rPr>
                <w:lang w:val="en-GB"/>
              </w:rPr>
              <w:t>2,177</w:t>
            </w:r>
            <w:r w:rsidRPr="00680C9D">
              <w:rPr>
                <w:lang w:val="en-GB"/>
              </w:rPr>
              <w:t xml:space="preserve"> (90.75)</w:t>
            </w:r>
          </w:p>
        </w:tc>
        <w:tc>
          <w:tcPr>
            <w:tcW w:w="1587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9F01DC">
              <w:rPr>
                <w:lang w:val="en-GB"/>
              </w:rPr>
              <w:t>2,547</w:t>
            </w:r>
            <w:r w:rsidRPr="00680C9D">
              <w:rPr>
                <w:lang w:val="en-GB"/>
              </w:rPr>
              <w:t xml:space="preserve"> (91.82)</w:t>
            </w:r>
          </w:p>
        </w:tc>
        <w:tc>
          <w:tcPr>
            <w:tcW w:w="3345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1</w:t>
            </w:r>
          </w:p>
        </w:tc>
        <w:tc>
          <w:tcPr>
            <w:tcW w:w="964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</w:p>
        </w:tc>
      </w:tr>
      <w:tr w:rsidR="00E07858" w:rsidRPr="009F01DC" w:rsidTr="0099716D">
        <w:tc>
          <w:tcPr>
            <w:tcW w:w="2665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 xml:space="preserve">Aspirin </w:t>
            </w:r>
            <w:r w:rsidRPr="009F01DC">
              <w:rPr>
                <w:lang w:val="en-GB"/>
              </w:rPr>
              <w:t>users</w:t>
            </w:r>
          </w:p>
        </w:tc>
        <w:tc>
          <w:tcPr>
            <w:tcW w:w="1984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222 (9.25)</w:t>
            </w:r>
          </w:p>
        </w:tc>
        <w:tc>
          <w:tcPr>
            <w:tcW w:w="1587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227 (8.18)</w:t>
            </w:r>
          </w:p>
        </w:tc>
        <w:tc>
          <w:tcPr>
            <w:tcW w:w="3345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0.95 (0.77</w:t>
            </w:r>
            <w:r w:rsidRPr="009F01DC">
              <w:rPr>
                <w:lang w:val="en-GB"/>
              </w:rPr>
              <w:t>–</w:t>
            </w:r>
            <w:r w:rsidRPr="00680C9D">
              <w:rPr>
                <w:lang w:val="en-GB"/>
              </w:rPr>
              <w:t>1.19)</w:t>
            </w:r>
          </w:p>
        </w:tc>
        <w:tc>
          <w:tcPr>
            <w:tcW w:w="964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0.679</w:t>
            </w:r>
          </w:p>
        </w:tc>
      </w:tr>
      <w:tr w:rsidR="00E07858" w:rsidRPr="009F01DC" w:rsidTr="0099716D">
        <w:tc>
          <w:tcPr>
            <w:tcW w:w="2665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Thienopyridine non-</w:t>
            </w:r>
            <w:r w:rsidRPr="009F01DC">
              <w:rPr>
                <w:lang w:val="en-GB"/>
              </w:rPr>
              <w:t>users</w:t>
            </w:r>
          </w:p>
        </w:tc>
        <w:tc>
          <w:tcPr>
            <w:tcW w:w="1984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9F01DC">
              <w:rPr>
                <w:lang w:val="en-GB"/>
              </w:rPr>
              <w:t>2,351</w:t>
            </w:r>
            <w:r w:rsidRPr="00680C9D">
              <w:rPr>
                <w:lang w:val="en-GB"/>
              </w:rPr>
              <w:t xml:space="preserve"> (98.00)</w:t>
            </w:r>
          </w:p>
        </w:tc>
        <w:tc>
          <w:tcPr>
            <w:tcW w:w="1587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9F01DC">
              <w:rPr>
                <w:lang w:val="en-GB"/>
              </w:rPr>
              <w:t>2,725</w:t>
            </w:r>
            <w:r w:rsidRPr="00680C9D">
              <w:rPr>
                <w:lang w:val="en-GB"/>
              </w:rPr>
              <w:t xml:space="preserve"> (98.23)</w:t>
            </w:r>
          </w:p>
        </w:tc>
        <w:tc>
          <w:tcPr>
            <w:tcW w:w="3345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1</w:t>
            </w:r>
          </w:p>
        </w:tc>
        <w:tc>
          <w:tcPr>
            <w:tcW w:w="964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</w:p>
        </w:tc>
      </w:tr>
      <w:tr w:rsidR="00E07858" w:rsidRPr="009F01DC" w:rsidTr="0099716D">
        <w:tc>
          <w:tcPr>
            <w:tcW w:w="2665" w:type="dxa"/>
            <w:tcBorders>
              <w:bottom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 xml:space="preserve">Thienopyridine </w:t>
            </w:r>
            <w:r w:rsidRPr="009F01DC">
              <w:rPr>
                <w:lang w:val="en-GB"/>
              </w:rPr>
              <w:t>users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48 (2.00)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49 (1.77)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0.94 (0.60</w:t>
            </w:r>
            <w:r w:rsidRPr="009F01DC">
              <w:rPr>
                <w:lang w:val="en-GB"/>
              </w:rPr>
              <w:t>–</w:t>
            </w:r>
            <w:r w:rsidRPr="00680C9D">
              <w:rPr>
                <w:lang w:val="en-GB"/>
              </w:rPr>
              <w:t>1.45)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0.765</w:t>
            </w:r>
          </w:p>
        </w:tc>
      </w:tr>
      <w:tr w:rsidR="00E07858" w:rsidRPr="009F01DC" w:rsidTr="0099716D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b/>
                <w:sz w:val="20"/>
                <w:lang w:val="en-GB"/>
              </w:rPr>
            </w:pPr>
            <w:r w:rsidRPr="00680C9D">
              <w:rPr>
                <w:b/>
                <w:sz w:val="20"/>
                <w:lang w:val="en-GB"/>
              </w:rPr>
              <w:t>Invasive cancer</w:t>
            </w:r>
          </w:p>
          <w:p w:rsidR="00E07858" w:rsidRPr="00680C9D" w:rsidRDefault="00E07858" w:rsidP="0099716D">
            <w:pPr>
              <w:widowControl/>
              <w:jc w:val="left"/>
              <w:rPr>
                <w:b/>
                <w:lang w:val="en-GB"/>
              </w:rPr>
            </w:pPr>
            <w:r w:rsidRPr="00680C9D">
              <w:rPr>
                <w:b/>
                <w:sz w:val="20"/>
                <w:lang w:val="en-GB"/>
              </w:rPr>
              <w:t>(N = 141)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b/>
                <w:lang w:val="en-GB"/>
              </w:rPr>
            </w:pPr>
            <w:r w:rsidRPr="00680C9D">
              <w:rPr>
                <w:b/>
                <w:lang w:val="en-GB"/>
              </w:rPr>
              <w:t>Non</w:t>
            </w:r>
            <w:r w:rsidRPr="009F01DC">
              <w:rPr>
                <w:b/>
                <w:lang w:val="en-GB"/>
              </w:rPr>
              <w:t>-</w:t>
            </w:r>
            <w:r w:rsidRPr="00680C9D">
              <w:rPr>
                <w:b/>
                <w:lang w:val="en-GB"/>
              </w:rPr>
              <w:t>cancer</w:t>
            </w:r>
          </w:p>
          <w:p w:rsidR="00E07858" w:rsidRPr="00680C9D" w:rsidRDefault="00E07858" w:rsidP="0099716D">
            <w:pPr>
              <w:widowControl/>
              <w:jc w:val="left"/>
              <w:rPr>
                <w:b/>
                <w:lang w:val="en-GB"/>
              </w:rPr>
            </w:pPr>
            <w:r w:rsidRPr="00680C9D">
              <w:rPr>
                <w:b/>
                <w:lang w:val="en-GB"/>
              </w:rPr>
              <w:t xml:space="preserve">(N = </w:t>
            </w:r>
            <w:r w:rsidRPr="009F01DC">
              <w:rPr>
                <w:b/>
                <w:lang w:val="en-GB"/>
              </w:rPr>
              <w:t>5,032</w:t>
            </w:r>
            <w:r w:rsidRPr="00680C9D">
              <w:rPr>
                <w:b/>
                <w:lang w:val="en-GB"/>
              </w:rPr>
              <w:t>)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</w:p>
        </w:tc>
      </w:tr>
      <w:tr w:rsidR="00E07858" w:rsidRPr="009F01DC" w:rsidTr="0099716D">
        <w:tc>
          <w:tcPr>
            <w:tcW w:w="2665" w:type="dxa"/>
            <w:tcBorders>
              <w:top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DOAC non-</w:t>
            </w:r>
            <w:r w:rsidRPr="009F01DC">
              <w:rPr>
                <w:lang w:val="en-GB"/>
              </w:rPr>
              <w:t>users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132</w:t>
            </w:r>
            <w:r w:rsidRPr="009F01DC">
              <w:rPr>
                <w:lang w:val="en-GB"/>
              </w:rPr>
              <w:t xml:space="preserve"> </w:t>
            </w:r>
            <w:r w:rsidRPr="00680C9D">
              <w:rPr>
                <w:lang w:val="en-GB"/>
              </w:rPr>
              <w:t>(93.62)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9F01DC">
              <w:rPr>
                <w:lang w:val="en-GB"/>
              </w:rPr>
              <w:t xml:space="preserve">4,823 </w:t>
            </w:r>
            <w:r w:rsidRPr="00680C9D">
              <w:rPr>
                <w:lang w:val="en-GB"/>
              </w:rPr>
              <w:t>(95.85)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</w:p>
        </w:tc>
      </w:tr>
      <w:tr w:rsidR="00E07858" w:rsidRPr="009F01DC" w:rsidTr="0099716D">
        <w:tc>
          <w:tcPr>
            <w:tcW w:w="2665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 xml:space="preserve">DOAC </w:t>
            </w:r>
            <w:r w:rsidRPr="009F01DC">
              <w:rPr>
                <w:lang w:val="en-GB"/>
              </w:rPr>
              <w:t>users</w:t>
            </w:r>
          </w:p>
        </w:tc>
        <w:tc>
          <w:tcPr>
            <w:tcW w:w="1984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9 (6.38)</w:t>
            </w:r>
          </w:p>
        </w:tc>
        <w:tc>
          <w:tcPr>
            <w:tcW w:w="1587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209</w:t>
            </w:r>
            <w:r w:rsidRPr="009F01DC">
              <w:rPr>
                <w:lang w:val="en-GB"/>
              </w:rPr>
              <w:t xml:space="preserve"> </w:t>
            </w:r>
            <w:r w:rsidRPr="00680C9D">
              <w:rPr>
                <w:lang w:val="en-GB"/>
              </w:rPr>
              <w:t>(4.15)</w:t>
            </w:r>
          </w:p>
        </w:tc>
        <w:tc>
          <w:tcPr>
            <w:tcW w:w="3345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1.43</w:t>
            </w:r>
            <w:r w:rsidRPr="009F01DC">
              <w:rPr>
                <w:lang w:val="en-GB"/>
              </w:rPr>
              <w:t xml:space="preserve"> </w:t>
            </w:r>
            <w:r w:rsidRPr="00680C9D">
              <w:rPr>
                <w:lang w:val="en-GB"/>
              </w:rPr>
              <w:t>(0.68</w:t>
            </w:r>
            <w:r w:rsidRPr="009F01DC">
              <w:rPr>
                <w:lang w:val="en-GB"/>
              </w:rPr>
              <w:t>–</w:t>
            </w:r>
            <w:r w:rsidRPr="00680C9D">
              <w:rPr>
                <w:lang w:val="en-GB"/>
              </w:rPr>
              <w:t>2.98)</w:t>
            </w:r>
          </w:p>
        </w:tc>
        <w:tc>
          <w:tcPr>
            <w:tcW w:w="964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0.338</w:t>
            </w:r>
          </w:p>
        </w:tc>
      </w:tr>
      <w:tr w:rsidR="00E07858" w:rsidRPr="009F01DC" w:rsidTr="0099716D">
        <w:tc>
          <w:tcPr>
            <w:tcW w:w="2665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Warfarin non-</w:t>
            </w:r>
            <w:r w:rsidRPr="009F01DC">
              <w:rPr>
                <w:lang w:val="en-GB"/>
              </w:rPr>
              <w:t>users</w:t>
            </w:r>
          </w:p>
        </w:tc>
        <w:tc>
          <w:tcPr>
            <w:tcW w:w="1984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134</w:t>
            </w:r>
            <w:r w:rsidRPr="009F01DC">
              <w:rPr>
                <w:lang w:val="en-GB"/>
              </w:rPr>
              <w:t xml:space="preserve"> </w:t>
            </w:r>
            <w:r w:rsidRPr="00680C9D">
              <w:rPr>
                <w:lang w:val="en-GB"/>
              </w:rPr>
              <w:t>(95.04)</w:t>
            </w:r>
          </w:p>
        </w:tc>
        <w:tc>
          <w:tcPr>
            <w:tcW w:w="1587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9F01DC">
              <w:rPr>
                <w:lang w:val="en-GB"/>
              </w:rPr>
              <w:t xml:space="preserve">4,870 </w:t>
            </w:r>
            <w:r w:rsidRPr="00680C9D">
              <w:rPr>
                <w:lang w:val="en-GB"/>
              </w:rPr>
              <w:t>(96.78)</w:t>
            </w:r>
          </w:p>
        </w:tc>
        <w:tc>
          <w:tcPr>
            <w:tcW w:w="3345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1</w:t>
            </w:r>
          </w:p>
        </w:tc>
        <w:tc>
          <w:tcPr>
            <w:tcW w:w="964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</w:p>
        </w:tc>
      </w:tr>
      <w:tr w:rsidR="00E07858" w:rsidRPr="009F01DC" w:rsidTr="0099716D">
        <w:tc>
          <w:tcPr>
            <w:tcW w:w="2665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 xml:space="preserve">Warfarin </w:t>
            </w:r>
            <w:r w:rsidRPr="009F01DC">
              <w:rPr>
                <w:lang w:val="en-GB"/>
              </w:rPr>
              <w:t>users</w:t>
            </w:r>
          </w:p>
        </w:tc>
        <w:tc>
          <w:tcPr>
            <w:tcW w:w="1984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7</w:t>
            </w:r>
            <w:r w:rsidRPr="009F01DC">
              <w:rPr>
                <w:lang w:val="en-GB"/>
              </w:rPr>
              <w:t xml:space="preserve"> </w:t>
            </w:r>
            <w:r w:rsidRPr="00680C9D">
              <w:rPr>
                <w:lang w:val="en-GB"/>
              </w:rPr>
              <w:t>(4.96)</w:t>
            </w:r>
          </w:p>
        </w:tc>
        <w:tc>
          <w:tcPr>
            <w:tcW w:w="1587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162</w:t>
            </w:r>
            <w:r w:rsidRPr="009F01DC">
              <w:rPr>
                <w:lang w:val="en-GB"/>
              </w:rPr>
              <w:t xml:space="preserve"> </w:t>
            </w:r>
            <w:r w:rsidRPr="00680C9D">
              <w:rPr>
                <w:lang w:val="en-GB"/>
              </w:rPr>
              <w:t>(3.22)</w:t>
            </w:r>
          </w:p>
        </w:tc>
        <w:tc>
          <w:tcPr>
            <w:tcW w:w="3345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1.53</w:t>
            </w:r>
            <w:r w:rsidRPr="009F01DC">
              <w:rPr>
                <w:lang w:val="en-GB"/>
              </w:rPr>
              <w:t xml:space="preserve"> </w:t>
            </w:r>
            <w:r w:rsidRPr="00680C9D">
              <w:rPr>
                <w:lang w:val="en-GB"/>
              </w:rPr>
              <w:t>(0.65</w:t>
            </w:r>
            <w:r w:rsidRPr="009F01DC">
              <w:rPr>
                <w:lang w:val="en-GB"/>
              </w:rPr>
              <w:t>–</w:t>
            </w:r>
            <w:r w:rsidRPr="00680C9D">
              <w:rPr>
                <w:lang w:val="en-GB"/>
              </w:rPr>
              <w:t>3.58)</w:t>
            </w:r>
          </w:p>
        </w:tc>
        <w:tc>
          <w:tcPr>
            <w:tcW w:w="964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0.331</w:t>
            </w:r>
          </w:p>
        </w:tc>
      </w:tr>
      <w:tr w:rsidR="00E07858" w:rsidRPr="009F01DC" w:rsidTr="0099716D">
        <w:tc>
          <w:tcPr>
            <w:tcW w:w="2665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Aspirin non-</w:t>
            </w:r>
            <w:r w:rsidRPr="009F01DC">
              <w:rPr>
                <w:lang w:val="en-GB"/>
              </w:rPr>
              <w:t>users</w:t>
            </w:r>
          </w:p>
        </w:tc>
        <w:tc>
          <w:tcPr>
            <w:tcW w:w="1984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126</w:t>
            </w:r>
            <w:r w:rsidRPr="009F01DC">
              <w:rPr>
                <w:lang w:val="en-GB"/>
              </w:rPr>
              <w:t xml:space="preserve"> </w:t>
            </w:r>
            <w:r w:rsidRPr="00680C9D">
              <w:rPr>
                <w:lang w:val="en-GB"/>
              </w:rPr>
              <w:t>(89.36)</w:t>
            </w:r>
          </w:p>
        </w:tc>
        <w:tc>
          <w:tcPr>
            <w:tcW w:w="1587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9F01DC">
              <w:rPr>
                <w:lang w:val="en-GB"/>
              </w:rPr>
              <w:t xml:space="preserve">4,598 </w:t>
            </w:r>
            <w:r w:rsidRPr="00680C9D">
              <w:rPr>
                <w:lang w:val="en-GB"/>
              </w:rPr>
              <w:t>(91.38)</w:t>
            </w:r>
          </w:p>
        </w:tc>
        <w:tc>
          <w:tcPr>
            <w:tcW w:w="3345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1</w:t>
            </w:r>
          </w:p>
        </w:tc>
        <w:tc>
          <w:tcPr>
            <w:tcW w:w="964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</w:p>
        </w:tc>
      </w:tr>
      <w:tr w:rsidR="00E07858" w:rsidRPr="009F01DC" w:rsidTr="0099716D">
        <w:tc>
          <w:tcPr>
            <w:tcW w:w="2665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 xml:space="preserve">Aspirin </w:t>
            </w:r>
            <w:r w:rsidRPr="009F01DC">
              <w:rPr>
                <w:lang w:val="en-GB"/>
              </w:rPr>
              <w:t>users</w:t>
            </w:r>
          </w:p>
        </w:tc>
        <w:tc>
          <w:tcPr>
            <w:tcW w:w="1984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15</w:t>
            </w:r>
            <w:r w:rsidRPr="009F01DC">
              <w:rPr>
                <w:lang w:val="en-GB"/>
              </w:rPr>
              <w:t xml:space="preserve"> </w:t>
            </w:r>
            <w:r w:rsidRPr="00680C9D">
              <w:rPr>
                <w:lang w:val="en-GB"/>
              </w:rPr>
              <w:t>(10.64)</w:t>
            </w:r>
          </w:p>
        </w:tc>
        <w:tc>
          <w:tcPr>
            <w:tcW w:w="1587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434</w:t>
            </w:r>
            <w:r w:rsidRPr="009F01DC">
              <w:rPr>
                <w:lang w:val="en-GB"/>
              </w:rPr>
              <w:t xml:space="preserve"> </w:t>
            </w:r>
            <w:r w:rsidRPr="00680C9D">
              <w:rPr>
                <w:lang w:val="en-GB"/>
              </w:rPr>
              <w:t>(8.62)</w:t>
            </w:r>
          </w:p>
        </w:tc>
        <w:tc>
          <w:tcPr>
            <w:tcW w:w="3345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0.87</w:t>
            </w:r>
            <w:r w:rsidRPr="009F01DC">
              <w:rPr>
                <w:lang w:val="en-GB"/>
              </w:rPr>
              <w:t xml:space="preserve"> </w:t>
            </w:r>
            <w:r w:rsidRPr="00680C9D">
              <w:rPr>
                <w:lang w:val="en-GB"/>
              </w:rPr>
              <w:t>(0.48</w:t>
            </w:r>
            <w:r w:rsidRPr="009F01DC">
              <w:rPr>
                <w:lang w:val="en-GB"/>
              </w:rPr>
              <w:t>–</w:t>
            </w:r>
            <w:r w:rsidRPr="00680C9D">
              <w:rPr>
                <w:lang w:val="en-GB"/>
              </w:rPr>
              <w:t>1.59)</w:t>
            </w:r>
          </w:p>
        </w:tc>
        <w:tc>
          <w:tcPr>
            <w:tcW w:w="964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0.650</w:t>
            </w:r>
          </w:p>
        </w:tc>
      </w:tr>
      <w:tr w:rsidR="00E07858" w:rsidRPr="009F01DC" w:rsidTr="0099716D">
        <w:tc>
          <w:tcPr>
            <w:tcW w:w="2665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Thienopyridine non-</w:t>
            </w:r>
            <w:r w:rsidRPr="009F01DC">
              <w:rPr>
                <w:lang w:val="en-GB"/>
              </w:rPr>
              <w:t>users</w:t>
            </w:r>
          </w:p>
        </w:tc>
        <w:tc>
          <w:tcPr>
            <w:tcW w:w="1984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139</w:t>
            </w:r>
            <w:r w:rsidRPr="009F01DC">
              <w:rPr>
                <w:lang w:val="en-GB"/>
              </w:rPr>
              <w:t xml:space="preserve"> </w:t>
            </w:r>
            <w:r w:rsidRPr="00680C9D">
              <w:rPr>
                <w:lang w:val="en-GB"/>
              </w:rPr>
              <w:t>(98.58)</w:t>
            </w:r>
          </w:p>
        </w:tc>
        <w:tc>
          <w:tcPr>
            <w:tcW w:w="1587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9F01DC">
              <w:rPr>
                <w:lang w:val="en-GB"/>
              </w:rPr>
              <w:t xml:space="preserve">4,937 </w:t>
            </w:r>
            <w:r w:rsidRPr="00680C9D">
              <w:rPr>
                <w:lang w:val="en-GB"/>
              </w:rPr>
              <w:t>(98.11)</w:t>
            </w:r>
          </w:p>
        </w:tc>
        <w:tc>
          <w:tcPr>
            <w:tcW w:w="3345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1</w:t>
            </w:r>
          </w:p>
        </w:tc>
        <w:tc>
          <w:tcPr>
            <w:tcW w:w="964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</w:p>
        </w:tc>
      </w:tr>
      <w:tr w:rsidR="00E07858" w:rsidRPr="009F01DC" w:rsidTr="0099716D">
        <w:tc>
          <w:tcPr>
            <w:tcW w:w="2665" w:type="dxa"/>
            <w:tcBorders>
              <w:bottom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 xml:space="preserve">Thienopyridine </w:t>
            </w:r>
            <w:r w:rsidRPr="009F01DC">
              <w:rPr>
                <w:lang w:val="en-GB"/>
              </w:rPr>
              <w:t>users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2</w:t>
            </w:r>
            <w:r w:rsidRPr="009F01DC">
              <w:rPr>
                <w:lang w:val="en-GB"/>
              </w:rPr>
              <w:t xml:space="preserve"> </w:t>
            </w:r>
            <w:r w:rsidRPr="00680C9D">
              <w:rPr>
                <w:lang w:val="en-GB"/>
              </w:rPr>
              <w:t>(1.42)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95</w:t>
            </w:r>
            <w:r w:rsidRPr="009F01DC">
              <w:rPr>
                <w:lang w:val="en-GB"/>
              </w:rPr>
              <w:t xml:space="preserve"> </w:t>
            </w:r>
            <w:r w:rsidRPr="00680C9D">
              <w:rPr>
                <w:lang w:val="en-GB"/>
              </w:rPr>
              <w:t>(1.89)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0.53</w:t>
            </w:r>
            <w:r w:rsidRPr="009F01DC">
              <w:rPr>
                <w:lang w:val="en-GB"/>
              </w:rPr>
              <w:t xml:space="preserve"> </w:t>
            </w:r>
            <w:r w:rsidRPr="00680C9D">
              <w:rPr>
                <w:lang w:val="en-GB"/>
              </w:rPr>
              <w:t>(0.12</w:t>
            </w:r>
            <w:r w:rsidRPr="009F01DC">
              <w:rPr>
                <w:lang w:val="en-GB"/>
              </w:rPr>
              <w:t>–</w:t>
            </w:r>
            <w:r w:rsidRPr="00680C9D">
              <w:rPr>
                <w:lang w:val="en-GB"/>
              </w:rPr>
              <w:t>2.26)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0.392</w:t>
            </w:r>
          </w:p>
        </w:tc>
      </w:tr>
      <w:tr w:rsidR="00E07858" w:rsidRPr="009F01DC" w:rsidTr="0099716D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b/>
                <w:sz w:val="20"/>
                <w:lang w:val="en-GB"/>
              </w:rPr>
            </w:pPr>
            <w:r w:rsidRPr="00680C9D">
              <w:rPr>
                <w:b/>
                <w:sz w:val="20"/>
                <w:lang w:val="en-GB"/>
              </w:rPr>
              <w:t>Non-invasive cancer</w:t>
            </w:r>
          </w:p>
          <w:p w:rsidR="00E07858" w:rsidRPr="00680C9D" w:rsidRDefault="00E07858" w:rsidP="0099716D">
            <w:pPr>
              <w:widowControl/>
              <w:jc w:val="left"/>
              <w:rPr>
                <w:b/>
                <w:lang w:val="en-GB"/>
              </w:rPr>
            </w:pPr>
            <w:r w:rsidRPr="00680C9D">
              <w:rPr>
                <w:b/>
                <w:sz w:val="20"/>
                <w:lang w:val="en-GB"/>
              </w:rPr>
              <w:t>(N = 582)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b/>
                <w:lang w:val="en-GB"/>
              </w:rPr>
            </w:pPr>
            <w:r w:rsidRPr="00680C9D">
              <w:rPr>
                <w:b/>
                <w:lang w:val="en-GB"/>
              </w:rPr>
              <w:t>Non</w:t>
            </w:r>
            <w:r w:rsidRPr="009F01DC">
              <w:rPr>
                <w:b/>
                <w:lang w:val="en-GB"/>
              </w:rPr>
              <w:t>-</w:t>
            </w:r>
            <w:r w:rsidRPr="00680C9D">
              <w:rPr>
                <w:b/>
                <w:lang w:val="en-GB"/>
              </w:rPr>
              <w:t>cancer</w:t>
            </w:r>
          </w:p>
          <w:p w:rsidR="00E07858" w:rsidRPr="00680C9D" w:rsidRDefault="00E07858" w:rsidP="0099716D">
            <w:pPr>
              <w:widowControl/>
              <w:jc w:val="left"/>
              <w:rPr>
                <w:b/>
                <w:lang w:val="en-GB"/>
              </w:rPr>
            </w:pPr>
            <w:r w:rsidRPr="00680C9D">
              <w:rPr>
                <w:b/>
                <w:lang w:val="en-GB"/>
              </w:rPr>
              <w:t xml:space="preserve">(N = </w:t>
            </w:r>
            <w:r w:rsidRPr="009F01DC">
              <w:rPr>
                <w:b/>
                <w:lang w:val="en-GB"/>
              </w:rPr>
              <w:t>4,591</w:t>
            </w:r>
            <w:r w:rsidRPr="00680C9D">
              <w:rPr>
                <w:b/>
                <w:lang w:val="en-GB"/>
              </w:rPr>
              <w:t>)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</w:p>
        </w:tc>
      </w:tr>
      <w:tr w:rsidR="00E07858" w:rsidRPr="009F01DC" w:rsidTr="0099716D">
        <w:tc>
          <w:tcPr>
            <w:tcW w:w="2665" w:type="dxa"/>
            <w:tcBorders>
              <w:top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DOAC non-</w:t>
            </w:r>
            <w:r w:rsidRPr="009F01DC">
              <w:rPr>
                <w:lang w:val="en-GB"/>
              </w:rPr>
              <w:t>users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sz w:val="20"/>
                <w:lang w:val="en-GB"/>
              </w:rPr>
            </w:pPr>
            <w:r w:rsidRPr="00680C9D">
              <w:rPr>
                <w:sz w:val="20"/>
                <w:lang w:val="en-GB"/>
              </w:rPr>
              <w:t>542 (93.13)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9F01DC">
              <w:rPr>
                <w:lang w:val="en-GB"/>
              </w:rPr>
              <w:t>4,413</w:t>
            </w:r>
            <w:r w:rsidRPr="00680C9D">
              <w:rPr>
                <w:lang w:val="en-GB"/>
              </w:rPr>
              <w:t xml:space="preserve"> (96.12)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</w:p>
        </w:tc>
      </w:tr>
      <w:tr w:rsidR="00E07858" w:rsidRPr="009F01DC" w:rsidTr="0099716D">
        <w:tc>
          <w:tcPr>
            <w:tcW w:w="2665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 xml:space="preserve">DOAC </w:t>
            </w:r>
            <w:r w:rsidRPr="009F01DC">
              <w:rPr>
                <w:lang w:val="en-GB"/>
              </w:rPr>
              <w:t>users</w:t>
            </w:r>
          </w:p>
        </w:tc>
        <w:tc>
          <w:tcPr>
            <w:tcW w:w="1984" w:type="dxa"/>
          </w:tcPr>
          <w:p w:rsidR="00E07858" w:rsidRPr="00680C9D" w:rsidRDefault="00E07858" w:rsidP="0099716D">
            <w:pPr>
              <w:widowControl/>
              <w:jc w:val="left"/>
              <w:rPr>
                <w:sz w:val="20"/>
                <w:lang w:val="en-GB"/>
              </w:rPr>
            </w:pPr>
            <w:r w:rsidRPr="00680C9D">
              <w:rPr>
                <w:sz w:val="20"/>
                <w:lang w:val="en-GB"/>
              </w:rPr>
              <w:t>40 (6.87)</w:t>
            </w:r>
          </w:p>
        </w:tc>
        <w:tc>
          <w:tcPr>
            <w:tcW w:w="1587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178 (3.88)</w:t>
            </w:r>
          </w:p>
        </w:tc>
        <w:tc>
          <w:tcPr>
            <w:tcW w:w="3345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1.27</w:t>
            </w:r>
            <w:r w:rsidRPr="009F01DC">
              <w:rPr>
                <w:lang w:val="en-GB"/>
              </w:rPr>
              <w:t xml:space="preserve"> </w:t>
            </w:r>
            <w:r w:rsidRPr="00680C9D">
              <w:rPr>
                <w:lang w:val="en-GB"/>
              </w:rPr>
              <w:t>(0.75</w:t>
            </w:r>
            <w:r w:rsidRPr="009F01DC">
              <w:rPr>
                <w:lang w:val="en-GB"/>
              </w:rPr>
              <w:t>–</w:t>
            </w:r>
            <w:r w:rsidRPr="00680C9D">
              <w:rPr>
                <w:lang w:val="en-GB"/>
              </w:rPr>
              <w:t>2.17)</w:t>
            </w:r>
          </w:p>
        </w:tc>
        <w:tc>
          <w:tcPr>
            <w:tcW w:w="964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0.378</w:t>
            </w:r>
          </w:p>
        </w:tc>
      </w:tr>
      <w:tr w:rsidR="00E07858" w:rsidRPr="009F01DC" w:rsidTr="0099716D">
        <w:tc>
          <w:tcPr>
            <w:tcW w:w="2665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Warfarin non-</w:t>
            </w:r>
            <w:r w:rsidRPr="009F01DC">
              <w:rPr>
                <w:lang w:val="en-GB"/>
              </w:rPr>
              <w:t>users</w:t>
            </w:r>
          </w:p>
        </w:tc>
        <w:tc>
          <w:tcPr>
            <w:tcW w:w="1984" w:type="dxa"/>
          </w:tcPr>
          <w:p w:rsidR="00E07858" w:rsidRPr="00680C9D" w:rsidRDefault="00E07858" w:rsidP="0099716D">
            <w:pPr>
              <w:widowControl/>
              <w:jc w:val="left"/>
              <w:rPr>
                <w:sz w:val="20"/>
                <w:lang w:val="en-GB"/>
              </w:rPr>
            </w:pPr>
            <w:r w:rsidRPr="00680C9D">
              <w:rPr>
                <w:sz w:val="20"/>
                <w:lang w:val="en-GB"/>
              </w:rPr>
              <w:t>557 (95.70)</w:t>
            </w:r>
          </w:p>
        </w:tc>
        <w:tc>
          <w:tcPr>
            <w:tcW w:w="1587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144 (3.14)</w:t>
            </w:r>
          </w:p>
        </w:tc>
        <w:tc>
          <w:tcPr>
            <w:tcW w:w="3345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1</w:t>
            </w:r>
          </w:p>
        </w:tc>
        <w:tc>
          <w:tcPr>
            <w:tcW w:w="964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</w:p>
        </w:tc>
      </w:tr>
      <w:tr w:rsidR="00E07858" w:rsidRPr="009F01DC" w:rsidTr="0099716D">
        <w:tc>
          <w:tcPr>
            <w:tcW w:w="2665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 xml:space="preserve">Warfarin </w:t>
            </w:r>
            <w:r w:rsidRPr="009F01DC">
              <w:rPr>
                <w:lang w:val="en-GB"/>
              </w:rPr>
              <w:t>users</w:t>
            </w:r>
          </w:p>
        </w:tc>
        <w:tc>
          <w:tcPr>
            <w:tcW w:w="1984" w:type="dxa"/>
          </w:tcPr>
          <w:p w:rsidR="00E07858" w:rsidRPr="00680C9D" w:rsidRDefault="00E07858" w:rsidP="0099716D">
            <w:pPr>
              <w:widowControl/>
              <w:jc w:val="left"/>
              <w:rPr>
                <w:sz w:val="20"/>
                <w:lang w:val="en-GB"/>
              </w:rPr>
            </w:pPr>
            <w:r w:rsidRPr="00680C9D">
              <w:rPr>
                <w:sz w:val="20"/>
                <w:lang w:val="en-GB"/>
              </w:rPr>
              <w:t>25 (4.30)</w:t>
            </w:r>
          </w:p>
        </w:tc>
        <w:tc>
          <w:tcPr>
            <w:tcW w:w="1587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9F01DC">
              <w:rPr>
                <w:lang w:val="en-GB"/>
              </w:rPr>
              <w:t>4,447</w:t>
            </w:r>
            <w:r w:rsidRPr="00680C9D">
              <w:rPr>
                <w:lang w:val="en-GB"/>
              </w:rPr>
              <w:t xml:space="preserve"> (96.86)</w:t>
            </w:r>
          </w:p>
        </w:tc>
        <w:tc>
          <w:tcPr>
            <w:tcW w:w="3345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1.87</w:t>
            </w:r>
            <w:r w:rsidRPr="009F01DC">
              <w:rPr>
                <w:lang w:val="en-GB"/>
              </w:rPr>
              <w:t xml:space="preserve"> </w:t>
            </w:r>
            <w:r w:rsidRPr="00680C9D">
              <w:rPr>
                <w:lang w:val="en-GB"/>
              </w:rPr>
              <w:t>(1.02</w:t>
            </w:r>
            <w:r w:rsidRPr="009F01DC">
              <w:rPr>
                <w:lang w:val="en-GB"/>
              </w:rPr>
              <w:t>–</w:t>
            </w:r>
            <w:r w:rsidRPr="00680C9D">
              <w:rPr>
                <w:lang w:val="en-GB"/>
              </w:rPr>
              <w:t>3.43)</w:t>
            </w:r>
          </w:p>
        </w:tc>
        <w:tc>
          <w:tcPr>
            <w:tcW w:w="964" w:type="dxa"/>
          </w:tcPr>
          <w:p w:rsidR="00E07858" w:rsidRPr="00680C9D" w:rsidRDefault="00E07858" w:rsidP="0099716D">
            <w:pPr>
              <w:widowControl/>
              <w:jc w:val="left"/>
              <w:rPr>
                <w:b/>
                <w:lang w:val="en-GB"/>
              </w:rPr>
            </w:pPr>
            <w:r w:rsidRPr="00680C9D">
              <w:rPr>
                <w:b/>
                <w:lang w:val="en-GB"/>
              </w:rPr>
              <w:t>0.043</w:t>
            </w:r>
          </w:p>
        </w:tc>
      </w:tr>
      <w:tr w:rsidR="00E07858" w:rsidRPr="009F01DC" w:rsidTr="0099716D">
        <w:tc>
          <w:tcPr>
            <w:tcW w:w="2665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Aspirin non-</w:t>
            </w:r>
            <w:r w:rsidRPr="009F01DC">
              <w:rPr>
                <w:lang w:val="en-GB"/>
              </w:rPr>
              <w:t>users</w:t>
            </w:r>
          </w:p>
        </w:tc>
        <w:tc>
          <w:tcPr>
            <w:tcW w:w="1984" w:type="dxa"/>
          </w:tcPr>
          <w:p w:rsidR="00E07858" w:rsidRPr="00680C9D" w:rsidRDefault="00E07858" w:rsidP="0099716D">
            <w:pPr>
              <w:widowControl/>
              <w:jc w:val="left"/>
              <w:rPr>
                <w:sz w:val="20"/>
                <w:lang w:val="en-GB"/>
              </w:rPr>
            </w:pPr>
            <w:r w:rsidRPr="00680C9D">
              <w:rPr>
                <w:sz w:val="20"/>
                <w:lang w:val="en-GB"/>
              </w:rPr>
              <w:t>517 (88.83)</w:t>
            </w:r>
          </w:p>
        </w:tc>
        <w:tc>
          <w:tcPr>
            <w:tcW w:w="1587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9F01DC">
              <w:rPr>
                <w:lang w:val="en-GB"/>
              </w:rPr>
              <w:t>4,207</w:t>
            </w:r>
            <w:r w:rsidRPr="00680C9D">
              <w:rPr>
                <w:lang w:val="en-GB"/>
              </w:rPr>
              <w:t xml:space="preserve"> (91.64)</w:t>
            </w:r>
          </w:p>
        </w:tc>
        <w:tc>
          <w:tcPr>
            <w:tcW w:w="3345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1</w:t>
            </w:r>
          </w:p>
        </w:tc>
        <w:tc>
          <w:tcPr>
            <w:tcW w:w="964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</w:p>
        </w:tc>
      </w:tr>
      <w:tr w:rsidR="00E07858" w:rsidRPr="009F01DC" w:rsidTr="0099716D">
        <w:tc>
          <w:tcPr>
            <w:tcW w:w="2665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 xml:space="preserve">Aspirin </w:t>
            </w:r>
            <w:r w:rsidRPr="009F01DC">
              <w:rPr>
                <w:lang w:val="en-GB"/>
              </w:rPr>
              <w:t>users</w:t>
            </w:r>
          </w:p>
        </w:tc>
        <w:tc>
          <w:tcPr>
            <w:tcW w:w="1984" w:type="dxa"/>
          </w:tcPr>
          <w:p w:rsidR="00E07858" w:rsidRPr="00680C9D" w:rsidRDefault="00E07858" w:rsidP="0099716D">
            <w:pPr>
              <w:widowControl/>
              <w:jc w:val="left"/>
              <w:rPr>
                <w:sz w:val="20"/>
                <w:lang w:val="en-GB"/>
              </w:rPr>
            </w:pPr>
            <w:r w:rsidRPr="00680C9D">
              <w:rPr>
                <w:sz w:val="20"/>
                <w:lang w:val="en-GB"/>
              </w:rPr>
              <w:t>65 (11.17)</w:t>
            </w:r>
          </w:p>
        </w:tc>
        <w:tc>
          <w:tcPr>
            <w:tcW w:w="1587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384 (8.36)</w:t>
            </w:r>
          </w:p>
        </w:tc>
        <w:tc>
          <w:tcPr>
            <w:tcW w:w="3345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1.01</w:t>
            </w:r>
            <w:r>
              <w:rPr>
                <w:lang w:val="en-GB"/>
              </w:rPr>
              <w:t xml:space="preserve"> </w:t>
            </w:r>
            <w:r w:rsidRPr="00680C9D">
              <w:rPr>
                <w:lang w:val="en-GB"/>
              </w:rPr>
              <w:t>(0.66</w:t>
            </w:r>
            <w:r w:rsidRPr="009F01DC">
              <w:rPr>
                <w:lang w:val="en-GB"/>
              </w:rPr>
              <w:t>–</w:t>
            </w:r>
            <w:r w:rsidRPr="00680C9D">
              <w:rPr>
                <w:lang w:val="en-GB"/>
              </w:rPr>
              <w:t>1.53)</w:t>
            </w:r>
          </w:p>
        </w:tc>
        <w:tc>
          <w:tcPr>
            <w:tcW w:w="964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0.973</w:t>
            </w:r>
          </w:p>
        </w:tc>
      </w:tr>
      <w:tr w:rsidR="00E07858" w:rsidRPr="009F01DC" w:rsidTr="0099716D">
        <w:tc>
          <w:tcPr>
            <w:tcW w:w="2665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Thienopyridine non-</w:t>
            </w:r>
            <w:r w:rsidRPr="009F01DC">
              <w:rPr>
                <w:lang w:val="en-GB"/>
              </w:rPr>
              <w:t>users</w:t>
            </w:r>
          </w:p>
        </w:tc>
        <w:tc>
          <w:tcPr>
            <w:tcW w:w="1984" w:type="dxa"/>
          </w:tcPr>
          <w:p w:rsidR="00E07858" w:rsidRPr="00680C9D" w:rsidRDefault="00E07858" w:rsidP="0099716D">
            <w:pPr>
              <w:widowControl/>
              <w:jc w:val="left"/>
              <w:rPr>
                <w:sz w:val="20"/>
                <w:lang w:val="en-GB"/>
              </w:rPr>
            </w:pPr>
            <w:r w:rsidRPr="00680C9D">
              <w:rPr>
                <w:sz w:val="20"/>
                <w:lang w:val="en-GB"/>
              </w:rPr>
              <w:t>14 (97.59)</w:t>
            </w:r>
          </w:p>
        </w:tc>
        <w:tc>
          <w:tcPr>
            <w:tcW w:w="1587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4508</w:t>
            </w:r>
            <w:r w:rsidRPr="009F01DC">
              <w:rPr>
                <w:lang w:val="en-GB"/>
              </w:rPr>
              <w:t xml:space="preserve"> </w:t>
            </w:r>
            <w:r w:rsidRPr="00680C9D">
              <w:rPr>
                <w:lang w:val="en-GB"/>
              </w:rPr>
              <w:t>(98.19)</w:t>
            </w:r>
          </w:p>
        </w:tc>
        <w:tc>
          <w:tcPr>
            <w:tcW w:w="3345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1</w:t>
            </w:r>
          </w:p>
        </w:tc>
        <w:tc>
          <w:tcPr>
            <w:tcW w:w="964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</w:p>
        </w:tc>
      </w:tr>
      <w:tr w:rsidR="00E07858" w:rsidRPr="009F01DC" w:rsidTr="0099716D">
        <w:tc>
          <w:tcPr>
            <w:tcW w:w="2665" w:type="dxa"/>
            <w:tcBorders>
              <w:bottom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 xml:space="preserve">Thienopyridine </w:t>
            </w:r>
            <w:r w:rsidRPr="009F01DC">
              <w:rPr>
                <w:lang w:val="en-GB"/>
              </w:rPr>
              <w:t>users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sz w:val="20"/>
                <w:lang w:val="en-GB"/>
              </w:rPr>
            </w:pPr>
            <w:r w:rsidRPr="00680C9D">
              <w:rPr>
                <w:sz w:val="20"/>
                <w:lang w:val="en-GB"/>
              </w:rPr>
              <w:t>568 (2.41)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83 (1.81)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1.53(0.70</w:t>
            </w:r>
            <w:r w:rsidRPr="009F01DC">
              <w:rPr>
                <w:lang w:val="en-GB"/>
              </w:rPr>
              <w:t>–</w:t>
            </w:r>
            <w:r w:rsidRPr="00680C9D">
              <w:rPr>
                <w:lang w:val="en-GB"/>
              </w:rPr>
              <w:t>3.36)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0.286</w:t>
            </w:r>
          </w:p>
        </w:tc>
      </w:tr>
      <w:tr w:rsidR="00E07858" w:rsidRPr="009F01DC" w:rsidTr="0099716D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b/>
                <w:sz w:val="20"/>
                <w:lang w:val="en-GB"/>
              </w:rPr>
            </w:pPr>
            <w:r w:rsidRPr="00680C9D">
              <w:rPr>
                <w:b/>
                <w:sz w:val="20"/>
                <w:lang w:val="en-GB"/>
              </w:rPr>
              <w:t>Adenoma</w:t>
            </w:r>
          </w:p>
          <w:p w:rsidR="00E07858" w:rsidRPr="00680C9D" w:rsidRDefault="00E07858" w:rsidP="0099716D">
            <w:pPr>
              <w:widowControl/>
              <w:jc w:val="left"/>
              <w:rPr>
                <w:b/>
                <w:sz w:val="20"/>
                <w:lang w:val="en-GB"/>
              </w:rPr>
            </w:pPr>
            <w:r w:rsidRPr="00680C9D">
              <w:rPr>
                <w:b/>
                <w:sz w:val="20"/>
                <w:lang w:val="en-GB"/>
              </w:rPr>
              <w:t xml:space="preserve">(N = </w:t>
            </w:r>
            <w:r w:rsidRPr="009F01DC">
              <w:rPr>
                <w:b/>
                <w:sz w:val="20"/>
                <w:szCs w:val="20"/>
                <w:lang w:val="en-GB"/>
              </w:rPr>
              <w:t>2,290</w:t>
            </w:r>
            <w:r w:rsidRPr="00680C9D">
              <w:rPr>
                <w:b/>
                <w:sz w:val="20"/>
                <w:lang w:val="en-GB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b/>
                <w:lang w:val="en-GB"/>
              </w:rPr>
            </w:pPr>
            <w:r w:rsidRPr="00680C9D">
              <w:rPr>
                <w:b/>
                <w:lang w:val="en-GB"/>
              </w:rPr>
              <w:t>Non</w:t>
            </w:r>
            <w:r w:rsidRPr="009F01DC">
              <w:rPr>
                <w:b/>
                <w:lang w:val="en-GB"/>
              </w:rPr>
              <w:t>-</w:t>
            </w:r>
            <w:r w:rsidRPr="00680C9D">
              <w:rPr>
                <w:b/>
                <w:lang w:val="en-GB"/>
              </w:rPr>
              <w:t>adenoma</w:t>
            </w:r>
          </w:p>
          <w:p w:rsidR="00E07858" w:rsidRPr="00680C9D" w:rsidRDefault="00E07858" w:rsidP="0099716D">
            <w:pPr>
              <w:widowControl/>
              <w:jc w:val="left"/>
              <w:rPr>
                <w:b/>
                <w:lang w:val="en-GB"/>
              </w:rPr>
            </w:pPr>
            <w:r w:rsidRPr="00680C9D">
              <w:rPr>
                <w:b/>
                <w:lang w:val="en-GB"/>
              </w:rPr>
              <w:t xml:space="preserve">(N = </w:t>
            </w:r>
            <w:r w:rsidRPr="009F01DC">
              <w:rPr>
                <w:b/>
                <w:lang w:val="en-GB"/>
              </w:rPr>
              <w:t>2,883</w:t>
            </w:r>
            <w:r w:rsidRPr="00680C9D">
              <w:rPr>
                <w:b/>
                <w:lang w:val="en-GB"/>
              </w:rPr>
              <w:t>)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</w:p>
        </w:tc>
      </w:tr>
      <w:tr w:rsidR="00E07858" w:rsidRPr="009F01DC" w:rsidTr="0099716D">
        <w:tc>
          <w:tcPr>
            <w:tcW w:w="2665" w:type="dxa"/>
            <w:tcBorders>
              <w:top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DOAC non-</w:t>
            </w:r>
            <w:r w:rsidRPr="009F01DC">
              <w:rPr>
                <w:lang w:val="en-GB"/>
              </w:rPr>
              <w:t>users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sz w:val="20"/>
                <w:lang w:val="en-GB"/>
              </w:rPr>
            </w:pPr>
            <w:r w:rsidRPr="009F01DC">
              <w:rPr>
                <w:sz w:val="20"/>
                <w:szCs w:val="20"/>
                <w:lang w:val="en-GB"/>
              </w:rPr>
              <w:t>2,174</w:t>
            </w:r>
            <w:r w:rsidRPr="00680C9D">
              <w:rPr>
                <w:sz w:val="20"/>
                <w:lang w:val="en-GB"/>
              </w:rPr>
              <w:t xml:space="preserve"> (94.93)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9F01DC">
              <w:rPr>
                <w:lang w:val="en-GB"/>
              </w:rPr>
              <w:t>2,781</w:t>
            </w:r>
            <w:r w:rsidRPr="00680C9D">
              <w:rPr>
                <w:lang w:val="en-GB"/>
              </w:rPr>
              <w:t xml:space="preserve"> (96.46)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</w:p>
        </w:tc>
      </w:tr>
      <w:tr w:rsidR="00E07858" w:rsidRPr="009F01DC" w:rsidTr="0099716D">
        <w:tc>
          <w:tcPr>
            <w:tcW w:w="2665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 xml:space="preserve">DOAC </w:t>
            </w:r>
            <w:r w:rsidRPr="009F01DC">
              <w:rPr>
                <w:lang w:val="en-GB"/>
              </w:rPr>
              <w:t>users</w:t>
            </w:r>
          </w:p>
        </w:tc>
        <w:tc>
          <w:tcPr>
            <w:tcW w:w="1984" w:type="dxa"/>
          </w:tcPr>
          <w:p w:rsidR="00E07858" w:rsidRPr="00680C9D" w:rsidRDefault="00E07858" w:rsidP="0099716D">
            <w:pPr>
              <w:widowControl/>
              <w:jc w:val="left"/>
              <w:rPr>
                <w:sz w:val="20"/>
                <w:lang w:val="en-GB"/>
              </w:rPr>
            </w:pPr>
            <w:r w:rsidRPr="00680C9D">
              <w:rPr>
                <w:sz w:val="20"/>
                <w:lang w:val="en-GB"/>
              </w:rPr>
              <w:t>116 (5.07)</w:t>
            </w:r>
          </w:p>
        </w:tc>
        <w:tc>
          <w:tcPr>
            <w:tcW w:w="1587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102 (3.54)</w:t>
            </w:r>
          </w:p>
        </w:tc>
        <w:tc>
          <w:tcPr>
            <w:tcW w:w="3345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1.32</w:t>
            </w:r>
            <w:r w:rsidRPr="009F01DC">
              <w:rPr>
                <w:lang w:val="en-GB"/>
              </w:rPr>
              <w:t xml:space="preserve"> </w:t>
            </w:r>
            <w:r w:rsidRPr="00680C9D">
              <w:rPr>
                <w:lang w:val="en-GB"/>
              </w:rPr>
              <w:t>(0.97</w:t>
            </w:r>
            <w:r w:rsidRPr="009F01DC">
              <w:rPr>
                <w:lang w:val="en-GB"/>
              </w:rPr>
              <w:t>–</w:t>
            </w:r>
            <w:r w:rsidRPr="00680C9D">
              <w:rPr>
                <w:lang w:val="en-GB"/>
              </w:rPr>
              <w:t>1.80)</w:t>
            </w:r>
          </w:p>
        </w:tc>
        <w:tc>
          <w:tcPr>
            <w:tcW w:w="964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0.083</w:t>
            </w:r>
          </w:p>
        </w:tc>
      </w:tr>
      <w:tr w:rsidR="00E07858" w:rsidRPr="009F01DC" w:rsidTr="0099716D">
        <w:tc>
          <w:tcPr>
            <w:tcW w:w="2665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Warfarin non-</w:t>
            </w:r>
            <w:r w:rsidRPr="009F01DC">
              <w:rPr>
                <w:lang w:val="en-GB"/>
              </w:rPr>
              <w:t>users</w:t>
            </w:r>
          </w:p>
        </w:tc>
        <w:tc>
          <w:tcPr>
            <w:tcW w:w="1984" w:type="dxa"/>
          </w:tcPr>
          <w:p w:rsidR="00E07858" w:rsidRPr="00680C9D" w:rsidRDefault="00E07858" w:rsidP="0099716D">
            <w:pPr>
              <w:widowControl/>
              <w:jc w:val="left"/>
              <w:rPr>
                <w:sz w:val="20"/>
                <w:lang w:val="en-GB"/>
              </w:rPr>
            </w:pPr>
            <w:r w:rsidRPr="009F01DC">
              <w:rPr>
                <w:sz w:val="20"/>
                <w:szCs w:val="20"/>
                <w:lang w:val="en-GB"/>
              </w:rPr>
              <w:t>2,218</w:t>
            </w:r>
            <w:r w:rsidRPr="00680C9D">
              <w:rPr>
                <w:sz w:val="20"/>
                <w:lang w:val="en-GB"/>
              </w:rPr>
              <w:t xml:space="preserve"> (96.86)</w:t>
            </w:r>
          </w:p>
        </w:tc>
        <w:tc>
          <w:tcPr>
            <w:tcW w:w="1587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9F01DC">
              <w:rPr>
                <w:lang w:val="en-GB"/>
              </w:rPr>
              <w:t xml:space="preserve">2,786 </w:t>
            </w:r>
            <w:r w:rsidRPr="00680C9D">
              <w:rPr>
                <w:lang w:val="en-GB"/>
              </w:rPr>
              <w:t>(96.64)</w:t>
            </w:r>
          </w:p>
        </w:tc>
        <w:tc>
          <w:tcPr>
            <w:tcW w:w="3345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1</w:t>
            </w:r>
          </w:p>
        </w:tc>
        <w:tc>
          <w:tcPr>
            <w:tcW w:w="964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</w:p>
        </w:tc>
      </w:tr>
      <w:tr w:rsidR="00E07858" w:rsidRPr="009F01DC" w:rsidTr="0099716D">
        <w:tc>
          <w:tcPr>
            <w:tcW w:w="2665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 xml:space="preserve">Warfarin </w:t>
            </w:r>
            <w:r w:rsidRPr="009F01DC">
              <w:rPr>
                <w:lang w:val="en-GB"/>
              </w:rPr>
              <w:t>users</w:t>
            </w:r>
          </w:p>
        </w:tc>
        <w:tc>
          <w:tcPr>
            <w:tcW w:w="1984" w:type="dxa"/>
          </w:tcPr>
          <w:p w:rsidR="00E07858" w:rsidRPr="00680C9D" w:rsidRDefault="00E07858" w:rsidP="0099716D">
            <w:pPr>
              <w:widowControl/>
              <w:jc w:val="left"/>
              <w:rPr>
                <w:sz w:val="20"/>
                <w:lang w:val="en-GB"/>
              </w:rPr>
            </w:pPr>
            <w:r w:rsidRPr="00680C9D">
              <w:rPr>
                <w:sz w:val="20"/>
                <w:lang w:val="en-GB"/>
              </w:rPr>
              <w:t>72 (3.14)</w:t>
            </w:r>
          </w:p>
        </w:tc>
        <w:tc>
          <w:tcPr>
            <w:tcW w:w="1587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97</w:t>
            </w:r>
            <w:r w:rsidRPr="009F01DC">
              <w:rPr>
                <w:lang w:val="en-GB"/>
              </w:rPr>
              <w:t xml:space="preserve"> </w:t>
            </w:r>
            <w:r w:rsidRPr="00680C9D">
              <w:rPr>
                <w:lang w:val="en-GB"/>
              </w:rPr>
              <w:t>(3.36)</w:t>
            </w:r>
          </w:p>
        </w:tc>
        <w:tc>
          <w:tcPr>
            <w:tcW w:w="3345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1.18</w:t>
            </w:r>
            <w:r w:rsidRPr="009F01DC">
              <w:rPr>
                <w:lang w:val="en-GB"/>
              </w:rPr>
              <w:t xml:space="preserve"> </w:t>
            </w:r>
            <w:r w:rsidRPr="00680C9D">
              <w:rPr>
                <w:lang w:val="en-GB"/>
              </w:rPr>
              <w:t>(0.82</w:t>
            </w:r>
            <w:r w:rsidRPr="009F01DC">
              <w:rPr>
                <w:lang w:val="en-GB"/>
              </w:rPr>
              <w:t>–</w:t>
            </w:r>
            <w:r w:rsidRPr="00680C9D">
              <w:rPr>
                <w:lang w:val="en-GB"/>
              </w:rPr>
              <w:t>1.68)</w:t>
            </w:r>
          </w:p>
        </w:tc>
        <w:tc>
          <w:tcPr>
            <w:tcW w:w="964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0.370</w:t>
            </w:r>
          </w:p>
        </w:tc>
      </w:tr>
      <w:tr w:rsidR="00E07858" w:rsidRPr="009F01DC" w:rsidTr="0099716D">
        <w:tc>
          <w:tcPr>
            <w:tcW w:w="2665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Aspirin non-</w:t>
            </w:r>
            <w:r w:rsidRPr="009F01DC">
              <w:rPr>
                <w:lang w:val="en-GB"/>
              </w:rPr>
              <w:t>users</w:t>
            </w:r>
          </w:p>
        </w:tc>
        <w:tc>
          <w:tcPr>
            <w:tcW w:w="1984" w:type="dxa"/>
          </w:tcPr>
          <w:p w:rsidR="00E07858" w:rsidRPr="00680C9D" w:rsidRDefault="00E07858" w:rsidP="0099716D">
            <w:pPr>
              <w:widowControl/>
              <w:jc w:val="left"/>
              <w:rPr>
                <w:sz w:val="20"/>
                <w:lang w:val="en-GB"/>
              </w:rPr>
            </w:pPr>
            <w:r w:rsidRPr="009F01DC">
              <w:rPr>
                <w:sz w:val="20"/>
                <w:szCs w:val="20"/>
                <w:lang w:val="en-GB"/>
              </w:rPr>
              <w:t>2,081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680C9D">
              <w:rPr>
                <w:sz w:val="20"/>
                <w:lang w:val="en-GB"/>
              </w:rPr>
              <w:t>(90.87)</w:t>
            </w:r>
          </w:p>
        </w:tc>
        <w:tc>
          <w:tcPr>
            <w:tcW w:w="1587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240</w:t>
            </w:r>
            <w:r w:rsidRPr="009F01DC">
              <w:rPr>
                <w:lang w:val="en-GB"/>
              </w:rPr>
              <w:t xml:space="preserve"> </w:t>
            </w:r>
            <w:r w:rsidRPr="00680C9D">
              <w:rPr>
                <w:lang w:val="en-GB"/>
              </w:rPr>
              <w:t>(8.32)</w:t>
            </w:r>
          </w:p>
        </w:tc>
        <w:tc>
          <w:tcPr>
            <w:tcW w:w="3345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1</w:t>
            </w:r>
          </w:p>
        </w:tc>
        <w:tc>
          <w:tcPr>
            <w:tcW w:w="964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</w:p>
        </w:tc>
      </w:tr>
      <w:tr w:rsidR="00E07858" w:rsidRPr="009F01DC" w:rsidTr="0099716D">
        <w:tc>
          <w:tcPr>
            <w:tcW w:w="2665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 xml:space="preserve">Aspirin </w:t>
            </w:r>
            <w:r w:rsidRPr="009F01DC">
              <w:rPr>
                <w:lang w:val="en-GB"/>
              </w:rPr>
              <w:t>users</w:t>
            </w:r>
          </w:p>
        </w:tc>
        <w:tc>
          <w:tcPr>
            <w:tcW w:w="1984" w:type="dxa"/>
          </w:tcPr>
          <w:p w:rsidR="00E07858" w:rsidRPr="00680C9D" w:rsidRDefault="00E07858" w:rsidP="0099716D">
            <w:pPr>
              <w:widowControl/>
              <w:jc w:val="left"/>
              <w:rPr>
                <w:sz w:val="20"/>
                <w:lang w:val="en-GB"/>
              </w:rPr>
            </w:pPr>
            <w:r w:rsidRPr="00680C9D">
              <w:rPr>
                <w:sz w:val="20"/>
                <w:lang w:val="en-GB"/>
              </w:rPr>
              <w:t>209</w:t>
            </w:r>
            <w:r w:rsidRPr="009F01DC">
              <w:rPr>
                <w:sz w:val="20"/>
                <w:szCs w:val="20"/>
                <w:lang w:val="en-GB"/>
              </w:rPr>
              <w:t xml:space="preserve"> </w:t>
            </w:r>
            <w:r w:rsidRPr="00680C9D">
              <w:rPr>
                <w:sz w:val="20"/>
                <w:lang w:val="en-GB"/>
              </w:rPr>
              <w:t>(9.13)</w:t>
            </w:r>
          </w:p>
        </w:tc>
        <w:tc>
          <w:tcPr>
            <w:tcW w:w="1587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9F01DC">
              <w:rPr>
                <w:lang w:val="en-GB"/>
              </w:rPr>
              <w:t xml:space="preserve">2,643 </w:t>
            </w:r>
            <w:r w:rsidRPr="00680C9D">
              <w:rPr>
                <w:lang w:val="en-GB"/>
              </w:rPr>
              <w:t>(91.68)</w:t>
            </w:r>
          </w:p>
        </w:tc>
        <w:tc>
          <w:tcPr>
            <w:tcW w:w="3345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0.95</w:t>
            </w:r>
            <w:r w:rsidRPr="009F01DC">
              <w:rPr>
                <w:lang w:val="en-GB"/>
              </w:rPr>
              <w:t xml:space="preserve"> </w:t>
            </w:r>
            <w:r w:rsidRPr="00680C9D">
              <w:rPr>
                <w:lang w:val="en-GB"/>
              </w:rPr>
              <w:t>(0.76</w:t>
            </w:r>
            <w:r w:rsidRPr="009F01DC">
              <w:rPr>
                <w:lang w:val="en-GB"/>
              </w:rPr>
              <w:t>–</w:t>
            </w:r>
            <w:r w:rsidRPr="00680C9D">
              <w:rPr>
                <w:lang w:val="en-GB"/>
              </w:rPr>
              <w:t>1.19)</w:t>
            </w:r>
          </w:p>
        </w:tc>
        <w:tc>
          <w:tcPr>
            <w:tcW w:w="964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0.647</w:t>
            </w:r>
          </w:p>
        </w:tc>
      </w:tr>
      <w:tr w:rsidR="00E07858" w:rsidRPr="009F01DC" w:rsidTr="0099716D">
        <w:tc>
          <w:tcPr>
            <w:tcW w:w="2665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lastRenderedPageBreak/>
              <w:t>Thienopyridine non-</w:t>
            </w:r>
            <w:r w:rsidRPr="009F01DC">
              <w:rPr>
                <w:lang w:val="en-GB"/>
              </w:rPr>
              <w:t>users</w:t>
            </w:r>
          </w:p>
        </w:tc>
        <w:tc>
          <w:tcPr>
            <w:tcW w:w="1984" w:type="dxa"/>
          </w:tcPr>
          <w:p w:rsidR="00E07858" w:rsidRPr="00680C9D" w:rsidRDefault="00E07858" w:rsidP="0099716D">
            <w:pPr>
              <w:widowControl/>
              <w:jc w:val="left"/>
              <w:rPr>
                <w:sz w:val="20"/>
                <w:lang w:val="en-GB"/>
              </w:rPr>
            </w:pPr>
            <w:r w:rsidRPr="009F01DC">
              <w:rPr>
                <w:sz w:val="20"/>
                <w:szCs w:val="20"/>
                <w:lang w:val="en-GB"/>
              </w:rPr>
              <w:t xml:space="preserve">2,243 </w:t>
            </w:r>
            <w:r w:rsidRPr="00680C9D">
              <w:rPr>
                <w:sz w:val="20"/>
                <w:lang w:val="en-GB"/>
              </w:rPr>
              <w:t>(97.95)</w:t>
            </w:r>
          </w:p>
        </w:tc>
        <w:tc>
          <w:tcPr>
            <w:tcW w:w="1587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9F01DC">
              <w:rPr>
                <w:lang w:val="en-GB"/>
              </w:rPr>
              <w:t xml:space="preserve">2,833 </w:t>
            </w:r>
            <w:r w:rsidRPr="00680C9D">
              <w:rPr>
                <w:lang w:val="en-GB"/>
              </w:rPr>
              <w:t>(98.27)</w:t>
            </w:r>
          </w:p>
        </w:tc>
        <w:tc>
          <w:tcPr>
            <w:tcW w:w="3345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1</w:t>
            </w:r>
          </w:p>
        </w:tc>
        <w:tc>
          <w:tcPr>
            <w:tcW w:w="964" w:type="dxa"/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</w:p>
        </w:tc>
      </w:tr>
      <w:tr w:rsidR="00E07858" w:rsidRPr="009F01DC" w:rsidTr="0099716D">
        <w:tc>
          <w:tcPr>
            <w:tcW w:w="2665" w:type="dxa"/>
            <w:tcBorders>
              <w:bottom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 xml:space="preserve">Thienopyridine </w:t>
            </w:r>
            <w:r w:rsidRPr="009F01DC">
              <w:rPr>
                <w:lang w:val="en-GB"/>
              </w:rPr>
              <w:t>users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sz w:val="20"/>
                <w:lang w:val="en-GB"/>
              </w:rPr>
            </w:pPr>
            <w:r w:rsidRPr="00680C9D">
              <w:rPr>
                <w:sz w:val="20"/>
                <w:lang w:val="en-GB"/>
              </w:rPr>
              <w:t>47</w:t>
            </w:r>
            <w:r w:rsidRPr="009F01DC">
              <w:rPr>
                <w:sz w:val="20"/>
                <w:szCs w:val="20"/>
                <w:lang w:val="en-GB"/>
              </w:rPr>
              <w:t xml:space="preserve"> </w:t>
            </w:r>
            <w:r w:rsidRPr="00680C9D">
              <w:rPr>
                <w:sz w:val="20"/>
                <w:lang w:val="en-GB"/>
              </w:rPr>
              <w:t>(2.05)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50</w:t>
            </w:r>
            <w:r w:rsidRPr="009F01DC">
              <w:rPr>
                <w:lang w:val="en-GB"/>
              </w:rPr>
              <w:t xml:space="preserve"> </w:t>
            </w:r>
            <w:r w:rsidRPr="00680C9D">
              <w:rPr>
                <w:lang w:val="en-GB"/>
              </w:rPr>
              <w:t>(1.73)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1.06</w:t>
            </w:r>
            <w:r w:rsidRPr="009F01DC">
              <w:rPr>
                <w:lang w:val="en-GB"/>
              </w:rPr>
              <w:t xml:space="preserve"> </w:t>
            </w:r>
            <w:r w:rsidRPr="00680C9D">
              <w:rPr>
                <w:lang w:val="en-GB"/>
              </w:rPr>
              <w:t>(0.68</w:t>
            </w:r>
            <w:r w:rsidRPr="009F01DC">
              <w:rPr>
                <w:lang w:val="en-GB"/>
              </w:rPr>
              <w:t>–</w:t>
            </w:r>
            <w:r w:rsidRPr="00680C9D">
              <w:rPr>
                <w:lang w:val="en-GB"/>
              </w:rPr>
              <w:t>1.65)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07858" w:rsidRPr="00680C9D" w:rsidRDefault="00E07858" w:rsidP="0099716D">
            <w:pPr>
              <w:widowControl/>
              <w:jc w:val="left"/>
              <w:rPr>
                <w:lang w:val="en-GB"/>
              </w:rPr>
            </w:pPr>
            <w:r w:rsidRPr="00680C9D">
              <w:rPr>
                <w:lang w:val="en-GB"/>
              </w:rPr>
              <w:t>0.790</w:t>
            </w:r>
          </w:p>
        </w:tc>
      </w:tr>
    </w:tbl>
    <w:p w:rsidR="00E07858" w:rsidRPr="00680C9D" w:rsidRDefault="00E07858" w:rsidP="00E07858">
      <w:pPr>
        <w:widowControl/>
        <w:jc w:val="left"/>
        <w:rPr>
          <w:lang w:val="en-GB"/>
        </w:rPr>
      </w:pPr>
      <w:r w:rsidRPr="00680C9D">
        <w:rPr>
          <w:lang w:val="en-GB"/>
        </w:rPr>
        <w:t xml:space="preserve">Adjusted odds </w:t>
      </w:r>
      <w:r w:rsidRPr="009F01DC">
        <w:rPr>
          <w:lang w:val="en-GB"/>
        </w:rPr>
        <w:t>ratios were</w:t>
      </w:r>
      <w:r w:rsidRPr="00680C9D">
        <w:rPr>
          <w:lang w:val="en-GB"/>
        </w:rPr>
        <w:t xml:space="preserve"> calculated </w:t>
      </w:r>
      <w:r>
        <w:rPr>
          <w:rFonts w:hint="eastAsia"/>
        </w:rPr>
        <w:t xml:space="preserve">using factors of </w:t>
      </w:r>
      <w:r w:rsidRPr="007E7477">
        <w:t>patient</w:t>
      </w:r>
      <w:r w:rsidRPr="00680C9D">
        <w:rPr>
          <w:lang w:val="en-GB"/>
        </w:rPr>
        <w:t xml:space="preserve"> demographic factors, including age, sex, physical </w:t>
      </w:r>
      <w:r w:rsidRPr="009F01DC">
        <w:rPr>
          <w:lang w:val="en-GB"/>
        </w:rPr>
        <w:t>status</w:t>
      </w:r>
      <w:r w:rsidRPr="00680C9D">
        <w:rPr>
          <w:lang w:val="en-GB"/>
        </w:rPr>
        <w:t>, family cancer history, family colorectal cancer history, smoking</w:t>
      </w:r>
      <w:r w:rsidRPr="009F01DC">
        <w:rPr>
          <w:lang w:val="en-GB"/>
        </w:rPr>
        <w:t xml:space="preserve"> status</w:t>
      </w:r>
      <w:r w:rsidRPr="00680C9D">
        <w:rPr>
          <w:lang w:val="en-GB"/>
        </w:rPr>
        <w:t xml:space="preserve">, alcohol consumption, </w:t>
      </w:r>
      <w:r w:rsidRPr="009F01DC">
        <w:rPr>
          <w:lang w:val="en-GB"/>
        </w:rPr>
        <w:t>drug use</w:t>
      </w:r>
      <w:r w:rsidRPr="00680C9D">
        <w:rPr>
          <w:lang w:val="en-GB"/>
        </w:rPr>
        <w:t xml:space="preserve">, colonoscopy history, preparation quality, incomplete </w:t>
      </w:r>
      <w:proofErr w:type="spellStart"/>
      <w:r w:rsidRPr="009F01DC">
        <w:rPr>
          <w:lang w:val="en-GB"/>
        </w:rPr>
        <w:t>c</w:t>
      </w:r>
      <w:r>
        <w:rPr>
          <w:lang w:val="en-GB"/>
        </w:rPr>
        <w:t>o</w:t>
      </w:r>
      <w:r w:rsidRPr="009F01DC">
        <w:rPr>
          <w:lang w:val="en-GB"/>
        </w:rPr>
        <w:t>ecal</w:t>
      </w:r>
      <w:proofErr w:type="spellEnd"/>
      <w:r w:rsidRPr="00680C9D">
        <w:rPr>
          <w:lang w:val="en-GB"/>
        </w:rPr>
        <w:t xml:space="preserve"> intubation, insertion time</w:t>
      </w:r>
      <w:r w:rsidRPr="009F01DC">
        <w:rPr>
          <w:lang w:val="en-GB"/>
        </w:rPr>
        <w:t xml:space="preserve"> (</w:t>
      </w:r>
      <w:r w:rsidRPr="00680C9D">
        <w:rPr>
          <w:lang w:val="en-GB"/>
        </w:rPr>
        <w:t xml:space="preserve">calculated using </w:t>
      </w:r>
      <w:r w:rsidRPr="009F01DC">
        <w:rPr>
          <w:lang w:val="en-GB"/>
        </w:rPr>
        <w:t>imputed</w:t>
      </w:r>
      <w:r w:rsidRPr="00680C9D">
        <w:rPr>
          <w:lang w:val="en-GB"/>
        </w:rPr>
        <w:t xml:space="preserve"> data</w:t>
      </w:r>
      <w:r w:rsidRPr="009F01DC">
        <w:rPr>
          <w:lang w:val="en-GB"/>
        </w:rPr>
        <w:t>),</w:t>
      </w:r>
      <w:r w:rsidRPr="00680C9D">
        <w:rPr>
          <w:lang w:val="en-GB"/>
        </w:rPr>
        <w:t xml:space="preserve"> and hospital. </w:t>
      </w:r>
    </w:p>
    <w:p w:rsidR="00E07858" w:rsidRPr="009F01DC" w:rsidRDefault="00E07858" w:rsidP="00E07858">
      <w:pPr>
        <w:widowControl/>
        <w:jc w:val="left"/>
        <w:rPr>
          <w:lang w:val="en-GB"/>
        </w:rPr>
      </w:pPr>
    </w:p>
    <w:p w:rsidR="00E07858" w:rsidRPr="0045210F" w:rsidRDefault="00E07858" w:rsidP="00E07858">
      <w:pPr>
        <w:widowControl/>
        <w:jc w:val="left"/>
        <w:rPr>
          <w:lang w:val="en-GB"/>
        </w:rPr>
      </w:pPr>
    </w:p>
    <w:p w:rsidR="000910A6" w:rsidRPr="00E07858" w:rsidRDefault="000910A6">
      <w:pPr>
        <w:rPr>
          <w:lang w:val="en-GB"/>
        </w:rPr>
      </w:pPr>
      <w:bookmarkStart w:id="0" w:name="_GoBack"/>
      <w:bookmarkEnd w:id="0"/>
    </w:p>
    <w:sectPr w:rsidR="000910A6" w:rsidRPr="00E07858" w:rsidSect="00C063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58"/>
    <w:rsid w:val="000910A6"/>
    <w:rsid w:val="005F2C79"/>
    <w:rsid w:val="00904FEE"/>
    <w:rsid w:val="00945ED6"/>
    <w:rsid w:val="00C91517"/>
    <w:rsid w:val="00D87727"/>
    <w:rsid w:val="00E0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B34B66-65C1-4A98-AD9C-4A1E8800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7858"/>
    <w:pPr>
      <w:widowControl w:val="0"/>
      <w:jc w:val="both"/>
    </w:pPr>
    <w:rPr>
      <w:rFonts w:ascii="Times New Roman" w:eastAsia="ＭＳ 明朝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rniikura</dc:creator>
  <cp:keywords/>
  <dc:description/>
  <cp:lastModifiedBy>rniikura</cp:lastModifiedBy>
  <cp:revision>1</cp:revision>
  <dcterms:created xsi:type="dcterms:W3CDTF">2018-05-12T01:37:00Z</dcterms:created>
  <dcterms:modified xsi:type="dcterms:W3CDTF">2018-05-12T01:37:00Z</dcterms:modified>
</cp:coreProperties>
</file>