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F12" w:rsidRPr="00886EF8" w:rsidRDefault="00657F12" w:rsidP="00657F12">
      <w:pPr>
        <w:spacing w:line="480" w:lineRule="auto"/>
        <w:rPr>
          <w:rFonts w:ascii="Times New Roman" w:hAnsi="Times New Roman" w:cs="Times New Roman"/>
          <w:b/>
        </w:rPr>
      </w:pPr>
      <w:r w:rsidRPr="00886EF8">
        <w:rPr>
          <w:rFonts w:ascii="Times New Roman" w:hAnsi="Times New Roman" w:cs="Times New Roman"/>
          <w:b/>
        </w:rPr>
        <w:t>Supplemental Information</w:t>
      </w:r>
    </w:p>
    <w:p w:rsidR="00657F12" w:rsidRPr="00886EF8" w:rsidRDefault="00657F12" w:rsidP="00657F12">
      <w:pPr>
        <w:spacing w:line="480" w:lineRule="auto"/>
        <w:rPr>
          <w:rFonts w:ascii="Times New Roman" w:hAnsi="Times New Roman" w:cs="Times New Roman"/>
        </w:rPr>
      </w:pPr>
      <w:r w:rsidRPr="00886EF8">
        <w:rPr>
          <w:rFonts w:ascii="Times New Roman" w:hAnsi="Times New Roman" w:cs="Times New Roman"/>
        </w:rPr>
        <w:t xml:space="preserve">As detailed in the main body of the report, midodrine patients were dissimilar from potential control patients in aggregate (leftmost column, </w:t>
      </w:r>
      <w:r w:rsidRPr="00685389">
        <w:rPr>
          <w:rFonts w:ascii="Times New Roman" w:hAnsi="Times New Roman" w:cs="Times New Roman"/>
          <w:b/>
        </w:rPr>
        <w:t>Table S1</w:t>
      </w:r>
      <w:r w:rsidRPr="00886EF8">
        <w:rPr>
          <w:rFonts w:ascii="Times New Roman" w:hAnsi="Times New Roman" w:cs="Times New Roman"/>
        </w:rPr>
        <w:t xml:space="preserve"> &amp; </w:t>
      </w:r>
      <w:r w:rsidRPr="00685389">
        <w:rPr>
          <w:rFonts w:ascii="Times New Roman" w:hAnsi="Times New Roman" w:cs="Times New Roman"/>
          <w:b/>
        </w:rPr>
        <w:t>Figure S2A</w:t>
      </w:r>
      <w:r w:rsidRPr="00886EF8">
        <w:rPr>
          <w:rFonts w:ascii="Times New Roman" w:hAnsi="Times New Roman" w:cs="Times New Roman"/>
        </w:rPr>
        <w:t xml:space="preserve">). To mitigate resultant confounding, we matched midodrine patients to eligible controls on four key variables: vintage, pre-dialysis blood pressure, nadir intradialytic blood pressure, and the percent of treatments impacted by IDH. For the purposes of accomplishing the matching, these were defined for the calendar month immediately preceding midodrine start for exposed patients and for the contemporaneous calendar month for controls. We successfully matched 3,133 midodrine patients to one (n= </w:t>
      </w:r>
      <w:r w:rsidRPr="00886EF8" w:rsidDel="0009500F">
        <w:rPr>
          <w:rFonts w:ascii="Times New Roman" w:hAnsi="Times New Roman" w:cs="Times New Roman"/>
        </w:rPr>
        <w:t>161</w:t>
      </w:r>
      <w:r w:rsidRPr="00886EF8">
        <w:rPr>
          <w:rFonts w:ascii="Times New Roman" w:hAnsi="Times New Roman" w:cs="Times New Roman"/>
        </w:rPr>
        <w:t>) or two</w:t>
      </w:r>
      <w:r w:rsidRPr="00886EF8" w:rsidDel="0009500F">
        <w:rPr>
          <w:rFonts w:ascii="Times New Roman" w:hAnsi="Times New Roman" w:cs="Times New Roman"/>
        </w:rPr>
        <w:t xml:space="preserve"> </w:t>
      </w:r>
      <w:r w:rsidRPr="00886EF8">
        <w:rPr>
          <w:rFonts w:ascii="Times New Roman" w:hAnsi="Times New Roman" w:cs="Times New Roman"/>
        </w:rPr>
        <w:t>(n=</w:t>
      </w:r>
      <w:r w:rsidRPr="00886EF8" w:rsidDel="0009500F">
        <w:rPr>
          <w:rFonts w:ascii="Times New Roman" w:hAnsi="Times New Roman" w:cs="Times New Roman"/>
        </w:rPr>
        <w:t xml:space="preserve"> 2972</w:t>
      </w:r>
      <w:r w:rsidRPr="00886EF8">
        <w:rPr>
          <w:rFonts w:ascii="Times New Roman" w:hAnsi="Times New Roman" w:cs="Times New Roman"/>
        </w:rPr>
        <w:t>) controls.</w:t>
      </w:r>
    </w:p>
    <w:p w:rsidR="00657F12" w:rsidRPr="00886EF8" w:rsidRDefault="00657F12" w:rsidP="00657F12">
      <w:pPr>
        <w:spacing w:line="480" w:lineRule="auto"/>
        <w:rPr>
          <w:rFonts w:ascii="Times New Roman" w:hAnsi="Times New Roman" w:cs="Times New Roman"/>
        </w:rPr>
        <w:sectPr w:rsidR="00657F12" w:rsidRPr="00886EF8" w:rsidSect="003F5749">
          <w:pgSz w:w="12240" w:h="15840"/>
          <w:pgMar w:top="1440" w:right="1440" w:bottom="1440" w:left="1440" w:header="720" w:footer="720" w:gutter="0"/>
          <w:cols w:space="720"/>
          <w:docGrid w:linePitch="360"/>
        </w:sectPr>
      </w:pPr>
      <w:r w:rsidRPr="00886EF8">
        <w:rPr>
          <w:rFonts w:ascii="Times New Roman" w:hAnsi="Times New Roman" w:cs="Times New Roman"/>
        </w:rPr>
        <w:t xml:space="preserve">As of month start, midodrine patients and controls were well-matched on all four variables (second column, </w:t>
      </w:r>
      <w:r w:rsidRPr="00685389">
        <w:rPr>
          <w:rFonts w:ascii="Times New Roman" w:hAnsi="Times New Roman" w:cs="Times New Roman"/>
          <w:b/>
        </w:rPr>
        <w:t>Table S1</w:t>
      </w:r>
      <w:r w:rsidRPr="00886EF8">
        <w:rPr>
          <w:rFonts w:ascii="Times New Roman" w:hAnsi="Times New Roman" w:cs="Times New Roman"/>
        </w:rPr>
        <w:t xml:space="preserve"> &amp; </w:t>
      </w:r>
      <w:r w:rsidRPr="00685389">
        <w:rPr>
          <w:rFonts w:ascii="Times New Roman" w:hAnsi="Times New Roman" w:cs="Times New Roman"/>
          <w:b/>
        </w:rPr>
        <w:t>Figure S2B</w:t>
      </w:r>
      <w:r w:rsidRPr="00886EF8">
        <w:rPr>
          <w:rFonts w:ascii="Times New Roman" w:hAnsi="Times New Roman" w:cs="Times New Roman"/>
        </w:rPr>
        <w:t xml:space="preserve">). However as of index date (the date of midodrine initiation for the exposed patients from each group), pre-dialysis blood pressure and nadir intradialytic blood pressure had fallen among midodrine patients and the percent of treatments affected by IDH had risen such that differences emerged between the two groups (third column, </w:t>
      </w:r>
      <w:r w:rsidRPr="00685389">
        <w:rPr>
          <w:rFonts w:ascii="Times New Roman" w:hAnsi="Times New Roman" w:cs="Times New Roman"/>
          <w:b/>
        </w:rPr>
        <w:t>Table S1</w:t>
      </w:r>
      <w:r w:rsidRPr="00886EF8">
        <w:rPr>
          <w:rFonts w:ascii="Times New Roman" w:hAnsi="Times New Roman" w:cs="Times New Roman"/>
        </w:rPr>
        <w:t xml:space="preserve"> &amp; </w:t>
      </w:r>
      <w:r w:rsidRPr="00685389">
        <w:rPr>
          <w:rFonts w:ascii="Times New Roman" w:hAnsi="Times New Roman" w:cs="Times New Roman"/>
          <w:b/>
        </w:rPr>
        <w:t>Figure S2C</w:t>
      </w:r>
      <w:r w:rsidRPr="00886EF8">
        <w:rPr>
          <w:rFonts w:ascii="Times New Roman" w:hAnsi="Times New Roman" w:cs="Times New Roman"/>
        </w:rPr>
        <w:t xml:space="preserve">). However, balanced remained at index for the subset of matched groups among whom index date occurred within the first 10 days of the month (among whom there was less opportunity for clinical differences to emerge; rightmost column, </w:t>
      </w:r>
      <w:r w:rsidRPr="00685389">
        <w:rPr>
          <w:rFonts w:ascii="Times New Roman" w:hAnsi="Times New Roman" w:cs="Times New Roman"/>
          <w:b/>
        </w:rPr>
        <w:t>Table S1</w:t>
      </w:r>
      <w:r w:rsidRPr="00886EF8">
        <w:rPr>
          <w:rFonts w:ascii="Times New Roman" w:hAnsi="Times New Roman" w:cs="Times New Roman"/>
        </w:rPr>
        <w:t xml:space="preserve"> &amp; </w:t>
      </w:r>
      <w:r w:rsidRPr="00685389">
        <w:rPr>
          <w:rFonts w:ascii="Times New Roman" w:hAnsi="Times New Roman" w:cs="Times New Roman"/>
          <w:b/>
        </w:rPr>
        <w:t>Figure S2D</w:t>
      </w:r>
      <w:r w:rsidRPr="00886EF8">
        <w:rPr>
          <w:rFonts w:ascii="Times New Roman" w:hAnsi="Times New Roman" w:cs="Times New Roman"/>
        </w:rPr>
        <w:t>); these formed the analytic cohort for the present study.</w:t>
      </w:r>
    </w:p>
    <w:p w:rsidR="00657F12" w:rsidRPr="00581709" w:rsidRDefault="00657F12" w:rsidP="00657F12"/>
    <w:p w:rsidR="00657F12" w:rsidRPr="00D56253" w:rsidRDefault="00657F12" w:rsidP="00657F12">
      <w:pPr>
        <w:pStyle w:val="Caption"/>
        <w:rPr>
          <w:rFonts w:ascii="Times New Roman" w:eastAsia="Times New Roman" w:hAnsi="Times New Roman" w:cs="Times New Roman"/>
          <w:b/>
          <w:i w:val="0"/>
          <w:iCs w:val="0"/>
          <w:color w:val="auto"/>
        </w:rPr>
      </w:pPr>
      <w:r w:rsidRPr="00D56253">
        <w:rPr>
          <w:rFonts w:ascii="Times New Roman" w:eastAsia="Times New Roman" w:hAnsi="Times New Roman" w:cs="Times New Roman"/>
          <w:b/>
          <w:i w:val="0"/>
          <w:iCs w:val="0"/>
          <w:color w:val="auto"/>
        </w:rPr>
        <w:t>Table S1:</w:t>
      </w:r>
      <w:r w:rsidRPr="00D56253">
        <w:rPr>
          <w:rFonts w:ascii="Times New Roman" w:eastAsia="Times New Roman" w:hAnsi="Times New Roman" w:cs="Times New Roman"/>
          <w:b/>
          <w:i w:val="0"/>
          <w:iCs w:val="0"/>
          <w:color w:val="auto"/>
        </w:rPr>
        <w:tab/>
        <w:t>Patient Characteristics in Unmatched, Matched, and Analytic Cohorts</w:t>
      </w:r>
    </w:p>
    <w:tbl>
      <w:tblPr>
        <w:tblStyle w:val="TableGrid"/>
        <w:tblW w:w="12392" w:type="dxa"/>
        <w:tblInd w:w="-15" w:type="dxa"/>
        <w:tblLook w:val="04A0" w:firstRow="1" w:lastRow="0" w:firstColumn="1" w:lastColumn="0" w:noHBand="0" w:noVBand="1"/>
      </w:tblPr>
      <w:tblGrid>
        <w:gridCol w:w="2340"/>
        <w:gridCol w:w="1256"/>
        <w:gridCol w:w="1257"/>
        <w:gridCol w:w="1256"/>
        <w:gridCol w:w="1257"/>
        <w:gridCol w:w="1256"/>
        <w:gridCol w:w="1257"/>
        <w:gridCol w:w="1256"/>
        <w:gridCol w:w="1257"/>
      </w:tblGrid>
      <w:tr w:rsidR="00657F12" w:rsidRPr="00D56253" w:rsidTr="003F5749">
        <w:tc>
          <w:tcPr>
            <w:tcW w:w="2340" w:type="dxa"/>
            <w:tcBorders>
              <w:top w:val="single" w:sz="12" w:space="0" w:color="auto"/>
              <w:left w:val="single" w:sz="12" w:space="0" w:color="auto"/>
              <w:bottom w:val="nil"/>
              <w:right w:val="single" w:sz="12" w:space="0" w:color="auto"/>
            </w:tcBorders>
          </w:tcPr>
          <w:p w:rsidR="00657F12" w:rsidRPr="00D56253" w:rsidRDefault="00657F12" w:rsidP="003F5749">
            <w:pPr>
              <w:pStyle w:val="BodyText"/>
              <w:spacing w:before="0" w:line="240" w:lineRule="auto"/>
              <w:rPr>
                <w:rFonts w:ascii="Times New Roman" w:hAnsi="Times New Roman"/>
                <w:sz w:val="18"/>
                <w:szCs w:val="18"/>
                <w:lang w:val="en-US"/>
              </w:rPr>
            </w:pPr>
          </w:p>
        </w:tc>
        <w:tc>
          <w:tcPr>
            <w:tcW w:w="2513" w:type="dxa"/>
            <w:gridSpan w:val="2"/>
            <w:tcBorders>
              <w:top w:val="single" w:sz="12" w:space="0" w:color="auto"/>
              <w:left w:val="single" w:sz="12" w:space="0" w:color="auto"/>
              <w:bottom w:val="nil"/>
              <w:right w:val="single" w:sz="12" w:space="0" w:color="auto"/>
            </w:tcBorders>
            <w:vAlign w:val="bottom"/>
          </w:tcPr>
          <w:p w:rsidR="00657F12" w:rsidRPr="00D56253" w:rsidRDefault="00657F12" w:rsidP="003F5749">
            <w:pPr>
              <w:pStyle w:val="BodyText"/>
              <w:spacing w:before="0" w:line="240" w:lineRule="auto"/>
              <w:jc w:val="center"/>
              <w:rPr>
                <w:rFonts w:ascii="Times New Roman" w:hAnsi="Times New Roman"/>
                <w:b/>
                <w:sz w:val="18"/>
                <w:szCs w:val="18"/>
                <w:vertAlign w:val="superscript"/>
                <w:lang w:val="en-US"/>
              </w:rPr>
            </w:pPr>
            <w:r w:rsidRPr="00D56253">
              <w:rPr>
                <w:rFonts w:ascii="Times New Roman" w:hAnsi="Times New Roman"/>
                <w:b/>
                <w:sz w:val="22"/>
                <w:szCs w:val="18"/>
                <w:lang w:val="en-US"/>
              </w:rPr>
              <w:t>Unmatched</w:t>
            </w:r>
          </w:p>
        </w:tc>
        <w:tc>
          <w:tcPr>
            <w:tcW w:w="2513" w:type="dxa"/>
            <w:gridSpan w:val="2"/>
            <w:tcBorders>
              <w:top w:val="single" w:sz="12" w:space="0" w:color="auto"/>
              <w:left w:val="single" w:sz="12" w:space="0" w:color="auto"/>
              <w:bottom w:val="nil"/>
              <w:right w:val="single" w:sz="12" w:space="0" w:color="auto"/>
            </w:tcBorders>
            <w:vAlign w:val="bottom"/>
          </w:tcPr>
          <w:p w:rsidR="00657F12" w:rsidRPr="00D56253" w:rsidRDefault="00657F12" w:rsidP="003F5749">
            <w:pPr>
              <w:pStyle w:val="BodyText"/>
              <w:spacing w:before="0" w:line="240" w:lineRule="auto"/>
              <w:jc w:val="center"/>
              <w:rPr>
                <w:rFonts w:ascii="Times New Roman" w:hAnsi="Times New Roman"/>
                <w:b/>
                <w:sz w:val="18"/>
                <w:szCs w:val="18"/>
                <w:vertAlign w:val="superscript"/>
                <w:lang w:val="en-US"/>
              </w:rPr>
            </w:pPr>
            <w:r>
              <w:rPr>
                <w:rFonts w:ascii="Times New Roman" w:hAnsi="Times New Roman"/>
                <w:b/>
                <w:sz w:val="22"/>
                <w:szCs w:val="18"/>
                <w:lang w:val="en-US"/>
              </w:rPr>
              <w:t xml:space="preserve">All </w:t>
            </w:r>
            <w:r w:rsidRPr="00D56253">
              <w:rPr>
                <w:rFonts w:ascii="Times New Roman" w:hAnsi="Times New Roman"/>
                <w:b/>
                <w:sz w:val="22"/>
                <w:szCs w:val="18"/>
                <w:lang w:val="en-US"/>
              </w:rPr>
              <w:t>Matched</w:t>
            </w:r>
            <w:r>
              <w:rPr>
                <w:rFonts w:ascii="Times New Roman" w:hAnsi="Times New Roman"/>
                <w:b/>
                <w:sz w:val="22"/>
                <w:szCs w:val="18"/>
                <w:lang w:val="en-US"/>
              </w:rPr>
              <w:t xml:space="preserve"> Groups: Calendar Month Prior to Index Date</w:t>
            </w:r>
            <w:r w:rsidRPr="00D56253">
              <w:rPr>
                <w:rFonts w:ascii="Times New Roman" w:hAnsi="Times New Roman"/>
                <w:b/>
                <w:sz w:val="22"/>
                <w:szCs w:val="18"/>
                <w:lang w:val="en-US"/>
              </w:rPr>
              <w:t xml:space="preserve"> </w:t>
            </w:r>
            <w:r w:rsidRPr="00D56253">
              <w:rPr>
                <w:rFonts w:ascii="Times New Roman" w:hAnsi="Times New Roman"/>
                <w:b/>
                <w:sz w:val="22"/>
                <w:szCs w:val="18"/>
                <w:vertAlign w:val="superscript"/>
                <w:lang w:val="en-US"/>
              </w:rPr>
              <w:t>c</w:t>
            </w:r>
          </w:p>
        </w:tc>
        <w:tc>
          <w:tcPr>
            <w:tcW w:w="2513" w:type="dxa"/>
            <w:gridSpan w:val="2"/>
            <w:tcBorders>
              <w:top w:val="single" w:sz="12" w:space="0" w:color="auto"/>
              <w:left w:val="single" w:sz="12" w:space="0" w:color="auto"/>
              <w:bottom w:val="nil"/>
              <w:right w:val="single" w:sz="12" w:space="0" w:color="auto"/>
            </w:tcBorders>
            <w:vAlign w:val="bottom"/>
          </w:tcPr>
          <w:p w:rsidR="00657F12" w:rsidRDefault="00657F12" w:rsidP="003F5749">
            <w:pPr>
              <w:pStyle w:val="BodyText"/>
              <w:spacing w:before="0" w:line="240" w:lineRule="auto"/>
              <w:jc w:val="center"/>
              <w:rPr>
                <w:rFonts w:ascii="Times New Roman" w:hAnsi="Times New Roman"/>
                <w:b/>
                <w:sz w:val="22"/>
                <w:szCs w:val="18"/>
                <w:lang w:val="en-US"/>
              </w:rPr>
            </w:pPr>
            <w:r>
              <w:rPr>
                <w:rFonts w:ascii="Times New Roman" w:hAnsi="Times New Roman"/>
                <w:b/>
                <w:sz w:val="22"/>
                <w:szCs w:val="18"/>
                <w:lang w:val="en-US"/>
              </w:rPr>
              <w:t xml:space="preserve">All </w:t>
            </w:r>
            <w:r w:rsidRPr="00D56253">
              <w:rPr>
                <w:rFonts w:ascii="Times New Roman" w:hAnsi="Times New Roman"/>
                <w:b/>
                <w:sz w:val="22"/>
                <w:szCs w:val="18"/>
                <w:lang w:val="en-US"/>
              </w:rPr>
              <w:t xml:space="preserve">Matched </w:t>
            </w:r>
            <w:r>
              <w:rPr>
                <w:rFonts w:ascii="Times New Roman" w:hAnsi="Times New Roman"/>
                <w:b/>
                <w:sz w:val="22"/>
                <w:szCs w:val="18"/>
                <w:lang w:val="en-US"/>
              </w:rPr>
              <w:t>Groups:</w:t>
            </w:r>
          </w:p>
          <w:p w:rsidR="00657F12" w:rsidRPr="00D56253" w:rsidRDefault="00657F12" w:rsidP="003F5749">
            <w:pPr>
              <w:pStyle w:val="BodyText"/>
              <w:spacing w:before="0" w:line="240" w:lineRule="auto"/>
              <w:jc w:val="center"/>
              <w:rPr>
                <w:rFonts w:ascii="Times New Roman" w:hAnsi="Times New Roman"/>
                <w:b/>
                <w:sz w:val="22"/>
                <w:szCs w:val="18"/>
                <w:lang w:val="en-US"/>
              </w:rPr>
            </w:pPr>
            <w:r>
              <w:rPr>
                <w:rFonts w:ascii="Times New Roman" w:hAnsi="Times New Roman"/>
                <w:b/>
                <w:sz w:val="22"/>
                <w:szCs w:val="18"/>
                <w:lang w:val="en-US"/>
              </w:rPr>
              <w:t>as of Index Date</w:t>
            </w:r>
            <w:r w:rsidRPr="00D56253">
              <w:rPr>
                <w:rFonts w:ascii="Times New Roman" w:hAnsi="Times New Roman"/>
                <w:b/>
                <w:sz w:val="22"/>
                <w:szCs w:val="18"/>
                <w:vertAlign w:val="superscript"/>
                <w:lang w:val="en-US"/>
              </w:rPr>
              <w:t>d</w:t>
            </w:r>
          </w:p>
        </w:tc>
        <w:tc>
          <w:tcPr>
            <w:tcW w:w="2513" w:type="dxa"/>
            <w:gridSpan w:val="2"/>
            <w:tcBorders>
              <w:top w:val="single" w:sz="12" w:space="0" w:color="auto"/>
              <w:left w:val="single" w:sz="12" w:space="0" w:color="auto"/>
              <w:bottom w:val="nil"/>
              <w:right w:val="single" w:sz="12" w:space="0" w:color="auto"/>
            </w:tcBorders>
            <w:vAlign w:val="bottom"/>
          </w:tcPr>
          <w:p w:rsidR="00657F12" w:rsidRDefault="00657F12" w:rsidP="003F5749">
            <w:pPr>
              <w:pStyle w:val="BodyText"/>
              <w:spacing w:before="0" w:line="240" w:lineRule="auto"/>
              <w:jc w:val="center"/>
              <w:rPr>
                <w:rFonts w:ascii="Times New Roman" w:hAnsi="Times New Roman"/>
                <w:b/>
                <w:sz w:val="22"/>
                <w:szCs w:val="18"/>
                <w:lang w:val="en-US"/>
              </w:rPr>
            </w:pPr>
            <w:r w:rsidRPr="00D56253">
              <w:rPr>
                <w:rFonts w:ascii="Times New Roman" w:hAnsi="Times New Roman"/>
                <w:b/>
                <w:sz w:val="22"/>
                <w:szCs w:val="18"/>
                <w:lang w:val="en-US"/>
              </w:rPr>
              <w:t>Analytic</w:t>
            </w:r>
            <w:r>
              <w:rPr>
                <w:rFonts w:ascii="Times New Roman" w:hAnsi="Times New Roman"/>
                <w:b/>
                <w:sz w:val="22"/>
                <w:szCs w:val="18"/>
                <w:lang w:val="en-US"/>
              </w:rPr>
              <w:t xml:space="preserve"> Cohort:</w:t>
            </w:r>
          </w:p>
          <w:p w:rsidR="00657F12" w:rsidRPr="00D56253" w:rsidRDefault="00657F12" w:rsidP="003F5749">
            <w:pPr>
              <w:pStyle w:val="BodyText"/>
              <w:spacing w:before="0" w:line="240" w:lineRule="auto"/>
              <w:jc w:val="center"/>
              <w:rPr>
                <w:rFonts w:ascii="Times New Roman" w:hAnsi="Times New Roman"/>
                <w:b/>
                <w:sz w:val="18"/>
                <w:szCs w:val="18"/>
                <w:lang w:val="en-US"/>
              </w:rPr>
            </w:pPr>
            <w:r>
              <w:rPr>
                <w:rFonts w:ascii="Times New Roman" w:hAnsi="Times New Roman"/>
                <w:b/>
                <w:sz w:val="22"/>
                <w:szCs w:val="18"/>
                <w:lang w:val="en-US"/>
              </w:rPr>
              <w:t>as of Index Date</w:t>
            </w:r>
            <w:r w:rsidRPr="00D56253">
              <w:rPr>
                <w:rFonts w:ascii="Times New Roman" w:hAnsi="Times New Roman"/>
                <w:b/>
                <w:sz w:val="22"/>
                <w:szCs w:val="18"/>
                <w:lang w:val="en-US"/>
              </w:rPr>
              <w:t xml:space="preserve"> </w:t>
            </w:r>
            <w:proofErr w:type="spellStart"/>
            <w:r w:rsidRPr="00D56253">
              <w:rPr>
                <w:rFonts w:ascii="Times New Roman" w:hAnsi="Times New Roman"/>
                <w:b/>
                <w:sz w:val="22"/>
                <w:szCs w:val="18"/>
                <w:vertAlign w:val="superscript"/>
                <w:lang w:val="en-US"/>
              </w:rPr>
              <w:t>c,e</w:t>
            </w:r>
            <w:proofErr w:type="spellEnd"/>
          </w:p>
        </w:tc>
      </w:tr>
      <w:tr w:rsidR="00657F12" w:rsidRPr="00D56253" w:rsidTr="003F5749">
        <w:tc>
          <w:tcPr>
            <w:tcW w:w="2340" w:type="dxa"/>
            <w:tcBorders>
              <w:top w:val="nil"/>
              <w:left w:val="single" w:sz="12" w:space="0" w:color="auto"/>
              <w:bottom w:val="single" w:sz="12" w:space="0" w:color="auto"/>
              <w:right w:val="single" w:sz="12" w:space="0" w:color="auto"/>
            </w:tcBorders>
          </w:tcPr>
          <w:p w:rsidR="00657F12" w:rsidRPr="00D56253" w:rsidRDefault="00657F12" w:rsidP="003F5749">
            <w:pPr>
              <w:pStyle w:val="BodyText"/>
              <w:spacing w:before="0" w:line="240" w:lineRule="auto"/>
              <w:rPr>
                <w:rFonts w:ascii="Times New Roman" w:hAnsi="Times New Roman"/>
                <w:sz w:val="18"/>
                <w:szCs w:val="18"/>
                <w:lang w:val="en-US"/>
              </w:rPr>
            </w:pPr>
          </w:p>
        </w:tc>
        <w:tc>
          <w:tcPr>
            <w:tcW w:w="1256" w:type="dxa"/>
            <w:tcBorders>
              <w:top w:val="nil"/>
              <w:left w:val="single" w:sz="12" w:space="0" w:color="auto"/>
              <w:bottom w:val="single" w:sz="12" w:space="0" w:color="auto"/>
              <w:right w:val="nil"/>
            </w:tcBorders>
          </w:tcPr>
          <w:p w:rsidR="00657F12" w:rsidRPr="00D56253" w:rsidRDefault="00657F12" w:rsidP="003F5749">
            <w:pPr>
              <w:pStyle w:val="BodyText"/>
              <w:spacing w:before="0" w:line="240" w:lineRule="auto"/>
              <w:jc w:val="center"/>
              <w:rPr>
                <w:rFonts w:ascii="Times New Roman" w:hAnsi="Times New Roman"/>
                <w:b/>
                <w:sz w:val="18"/>
                <w:szCs w:val="18"/>
                <w:vertAlign w:val="superscript"/>
                <w:lang w:val="en-US"/>
              </w:rPr>
            </w:pPr>
            <w:r>
              <w:rPr>
                <w:rFonts w:ascii="Times New Roman" w:hAnsi="Times New Roman"/>
                <w:b/>
                <w:sz w:val="18"/>
                <w:szCs w:val="18"/>
                <w:lang w:val="en-US"/>
              </w:rPr>
              <w:t>Control</w:t>
            </w:r>
            <w:r w:rsidRPr="00D56253">
              <w:rPr>
                <w:rFonts w:ascii="Times New Roman" w:hAnsi="Times New Roman"/>
                <w:b/>
                <w:sz w:val="18"/>
                <w:szCs w:val="18"/>
                <w:lang w:val="en-US"/>
              </w:rPr>
              <w:t xml:space="preserve"> </w:t>
            </w:r>
            <w:r w:rsidRPr="00D56253">
              <w:rPr>
                <w:rFonts w:ascii="Times New Roman" w:hAnsi="Times New Roman"/>
                <w:b/>
                <w:sz w:val="18"/>
                <w:szCs w:val="18"/>
                <w:vertAlign w:val="superscript"/>
                <w:lang w:val="en-US"/>
              </w:rPr>
              <w:t>a</w:t>
            </w:r>
          </w:p>
          <w:p w:rsidR="00657F12" w:rsidRPr="00D56253" w:rsidRDefault="00657F12" w:rsidP="003F5749">
            <w:pPr>
              <w:pStyle w:val="BodyText"/>
              <w:spacing w:before="0" w:line="240" w:lineRule="auto"/>
              <w:jc w:val="center"/>
              <w:rPr>
                <w:rFonts w:ascii="Times New Roman" w:hAnsi="Times New Roman"/>
                <w:b/>
                <w:sz w:val="18"/>
                <w:szCs w:val="18"/>
                <w:lang w:val="en-US"/>
              </w:rPr>
            </w:pPr>
            <w:r>
              <w:rPr>
                <w:rFonts w:ascii="Times New Roman" w:hAnsi="Times New Roman"/>
                <w:b/>
                <w:sz w:val="18"/>
                <w:szCs w:val="18"/>
                <w:lang w:val="en-US"/>
              </w:rPr>
              <w:t xml:space="preserve">N=887 </w:t>
            </w:r>
            <w:r w:rsidRPr="00D56253">
              <w:rPr>
                <w:rFonts w:ascii="Times New Roman" w:hAnsi="Times New Roman"/>
                <w:b/>
                <w:sz w:val="18"/>
                <w:szCs w:val="18"/>
                <w:lang w:val="en-US"/>
              </w:rPr>
              <w:t>735</w:t>
            </w:r>
          </w:p>
        </w:tc>
        <w:tc>
          <w:tcPr>
            <w:tcW w:w="1257" w:type="dxa"/>
            <w:tcBorders>
              <w:top w:val="nil"/>
              <w:left w:val="nil"/>
              <w:bottom w:val="single" w:sz="12" w:space="0" w:color="auto"/>
              <w:right w:val="nil"/>
            </w:tcBorders>
          </w:tcPr>
          <w:p w:rsidR="00657F12" w:rsidRPr="00D56253" w:rsidRDefault="00657F12" w:rsidP="003F5749">
            <w:pPr>
              <w:pStyle w:val="BodyText"/>
              <w:spacing w:before="0" w:line="240" w:lineRule="auto"/>
              <w:jc w:val="center"/>
              <w:rPr>
                <w:rFonts w:ascii="Times New Roman" w:hAnsi="Times New Roman"/>
                <w:b/>
                <w:sz w:val="18"/>
                <w:szCs w:val="18"/>
                <w:vertAlign w:val="superscript"/>
                <w:lang w:val="en-US"/>
              </w:rPr>
            </w:pPr>
            <w:r w:rsidRPr="00D56253">
              <w:rPr>
                <w:rFonts w:ascii="Times New Roman" w:hAnsi="Times New Roman"/>
                <w:b/>
                <w:sz w:val="18"/>
                <w:szCs w:val="18"/>
                <w:lang w:val="en-US"/>
              </w:rPr>
              <w:t xml:space="preserve">Midodrine </w:t>
            </w:r>
            <w:r w:rsidRPr="00D56253">
              <w:rPr>
                <w:rFonts w:ascii="Times New Roman" w:hAnsi="Times New Roman"/>
                <w:b/>
                <w:sz w:val="18"/>
                <w:szCs w:val="18"/>
                <w:vertAlign w:val="superscript"/>
                <w:lang w:val="en-US"/>
              </w:rPr>
              <w:t>b</w:t>
            </w:r>
          </w:p>
          <w:p w:rsidR="00657F12" w:rsidRPr="00D56253" w:rsidRDefault="00657F12" w:rsidP="003F5749">
            <w:pPr>
              <w:pStyle w:val="BodyText"/>
              <w:spacing w:before="0" w:line="240" w:lineRule="auto"/>
              <w:jc w:val="center"/>
              <w:rPr>
                <w:rFonts w:ascii="Times New Roman" w:hAnsi="Times New Roman"/>
                <w:b/>
                <w:sz w:val="18"/>
                <w:szCs w:val="18"/>
                <w:lang w:val="en-US"/>
              </w:rPr>
            </w:pPr>
            <w:r w:rsidRPr="00D56253">
              <w:rPr>
                <w:rFonts w:ascii="Times New Roman" w:hAnsi="Times New Roman"/>
                <w:b/>
                <w:sz w:val="18"/>
                <w:szCs w:val="18"/>
                <w:lang w:val="en-US"/>
              </w:rPr>
              <w:t>N=3201</w:t>
            </w:r>
          </w:p>
        </w:tc>
        <w:tc>
          <w:tcPr>
            <w:tcW w:w="1256" w:type="dxa"/>
            <w:tcBorders>
              <w:top w:val="nil"/>
              <w:left w:val="single" w:sz="12" w:space="0" w:color="auto"/>
              <w:bottom w:val="single" w:sz="12" w:space="0" w:color="auto"/>
              <w:right w:val="nil"/>
            </w:tcBorders>
          </w:tcPr>
          <w:p w:rsidR="00657F12" w:rsidRPr="00D56253" w:rsidRDefault="00657F12" w:rsidP="003F5749">
            <w:pPr>
              <w:pStyle w:val="BodyText"/>
              <w:spacing w:before="0" w:line="240" w:lineRule="auto"/>
              <w:jc w:val="center"/>
              <w:rPr>
                <w:rFonts w:ascii="Times New Roman" w:hAnsi="Times New Roman"/>
                <w:b/>
                <w:sz w:val="18"/>
                <w:szCs w:val="18"/>
                <w:vertAlign w:val="superscript"/>
                <w:lang w:val="en-US"/>
              </w:rPr>
            </w:pPr>
            <w:r>
              <w:rPr>
                <w:rFonts w:ascii="Times New Roman" w:hAnsi="Times New Roman"/>
                <w:b/>
                <w:sz w:val="18"/>
                <w:szCs w:val="18"/>
                <w:lang w:val="en-US"/>
              </w:rPr>
              <w:t>Control</w:t>
            </w:r>
            <w:r w:rsidRPr="00D56253">
              <w:rPr>
                <w:rFonts w:ascii="Times New Roman" w:hAnsi="Times New Roman"/>
                <w:b/>
                <w:sz w:val="18"/>
                <w:szCs w:val="18"/>
                <w:lang w:val="en-US"/>
              </w:rPr>
              <w:t xml:space="preserve"> </w:t>
            </w:r>
            <w:r w:rsidRPr="00D56253">
              <w:rPr>
                <w:rFonts w:ascii="Times New Roman" w:hAnsi="Times New Roman"/>
                <w:b/>
                <w:sz w:val="18"/>
                <w:szCs w:val="18"/>
                <w:vertAlign w:val="superscript"/>
                <w:lang w:val="en-US"/>
              </w:rPr>
              <w:t>b</w:t>
            </w:r>
          </w:p>
          <w:p w:rsidR="00657F12" w:rsidRPr="00D56253" w:rsidRDefault="00657F12" w:rsidP="003F5749">
            <w:pPr>
              <w:pStyle w:val="BodyText"/>
              <w:spacing w:before="0" w:line="240" w:lineRule="auto"/>
              <w:jc w:val="center"/>
              <w:rPr>
                <w:rFonts w:ascii="Times New Roman" w:hAnsi="Times New Roman"/>
                <w:b/>
                <w:sz w:val="18"/>
                <w:szCs w:val="18"/>
                <w:lang w:val="en-US"/>
              </w:rPr>
            </w:pPr>
            <w:r w:rsidRPr="00D56253">
              <w:rPr>
                <w:rFonts w:ascii="Times New Roman" w:hAnsi="Times New Roman"/>
                <w:b/>
                <w:sz w:val="18"/>
                <w:szCs w:val="18"/>
                <w:lang w:val="en-US"/>
              </w:rPr>
              <w:t>N=6105</w:t>
            </w:r>
          </w:p>
        </w:tc>
        <w:tc>
          <w:tcPr>
            <w:tcW w:w="1257" w:type="dxa"/>
            <w:tcBorders>
              <w:top w:val="nil"/>
              <w:left w:val="nil"/>
              <w:bottom w:val="single" w:sz="12" w:space="0" w:color="auto"/>
              <w:right w:val="nil"/>
            </w:tcBorders>
          </w:tcPr>
          <w:p w:rsidR="00657F12" w:rsidRPr="00D56253" w:rsidRDefault="00657F12" w:rsidP="003F5749">
            <w:pPr>
              <w:pStyle w:val="BodyText"/>
              <w:spacing w:before="0" w:line="240" w:lineRule="auto"/>
              <w:jc w:val="center"/>
              <w:rPr>
                <w:rFonts w:ascii="Times New Roman" w:hAnsi="Times New Roman"/>
                <w:b/>
                <w:sz w:val="18"/>
                <w:szCs w:val="18"/>
                <w:vertAlign w:val="superscript"/>
                <w:lang w:val="en-US"/>
              </w:rPr>
            </w:pPr>
            <w:r w:rsidRPr="00D56253">
              <w:rPr>
                <w:rFonts w:ascii="Times New Roman" w:hAnsi="Times New Roman"/>
                <w:b/>
                <w:sz w:val="18"/>
                <w:szCs w:val="18"/>
                <w:lang w:val="en-US"/>
              </w:rPr>
              <w:t xml:space="preserve">Midodrine </w:t>
            </w:r>
            <w:r w:rsidRPr="00D56253">
              <w:rPr>
                <w:rFonts w:ascii="Times New Roman" w:hAnsi="Times New Roman"/>
                <w:b/>
                <w:sz w:val="18"/>
                <w:szCs w:val="18"/>
                <w:vertAlign w:val="superscript"/>
                <w:lang w:val="en-US"/>
              </w:rPr>
              <w:t>b</w:t>
            </w:r>
          </w:p>
          <w:p w:rsidR="00657F12" w:rsidRPr="00D56253" w:rsidRDefault="00657F12" w:rsidP="003F5749">
            <w:pPr>
              <w:pStyle w:val="BodyText"/>
              <w:spacing w:before="0" w:line="240" w:lineRule="auto"/>
              <w:jc w:val="center"/>
              <w:rPr>
                <w:rFonts w:ascii="Times New Roman" w:hAnsi="Times New Roman"/>
                <w:b/>
                <w:sz w:val="18"/>
                <w:szCs w:val="18"/>
                <w:lang w:val="en-US"/>
              </w:rPr>
            </w:pPr>
            <w:r w:rsidRPr="00D56253">
              <w:rPr>
                <w:rFonts w:ascii="Times New Roman" w:hAnsi="Times New Roman"/>
                <w:b/>
                <w:sz w:val="18"/>
                <w:szCs w:val="18"/>
                <w:lang w:val="en-US"/>
              </w:rPr>
              <w:t>N=3133</w:t>
            </w:r>
          </w:p>
        </w:tc>
        <w:tc>
          <w:tcPr>
            <w:tcW w:w="1256" w:type="dxa"/>
            <w:tcBorders>
              <w:top w:val="nil"/>
              <w:left w:val="single" w:sz="12" w:space="0" w:color="auto"/>
              <w:bottom w:val="single" w:sz="12" w:space="0" w:color="auto"/>
              <w:right w:val="single" w:sz="12" w:space="0" w:color="auto"/>
            </w:tcBorders>
          </w:tcPr>
          <w:p w:rsidR="00657F12" w:rsidRPr="00D56253" w:rsidRDefault="00657F12" w:rsidP="003F5749">
            <w:pPr>
              <w:pStyle w:val="BodyText"/>
              <w:spacing w:before="0" w:line="240" w:lineRule="auto"/>
              <w:jc w:val="center"/>
              <w:rPr>
                <w:rFonts w:ascii="Times New Roman" w:hAnsi="Times New Roman"/>
                <w:b/>
                <w:sz w:val="18"/>
                <w:szCs w:val="18"/>
                <w:vertAlign w:val="superscript"/>
                <w:lang w:val="en-US"/>
              </w:rPr>
            </w:pPr>
            <w:r>
              <w:rPr>
                <w:rFonts w:ascii="Times New Roman" w:hAnsi="Times New Roman"/>
                <w:b/>
                <w:sz w:val="18"/>
                <w:szCs w:val="18"/>
                <w:lang w:val="en-US"/>
              </w:rPr>
              <w:t>Control</w:t>
            </w:r>
            <w:r w:rsidRPr="00D56253">
              <w:rPr>
                <w:rFonts w:ascii="Times New Roman" w:hAnsi="Times New Roman"/>
                <w:b/>
                <w:sz w:val="18"/>
                <w:szCs w:val="18"/>
                <w:lang w:val="en-US"/>
              </w:rPr>
              <w:t xml:space="preserve"> </w:t>
            </w:r>
            <w:r w:rsidRPr="00D56253">
              <w:rPr>
                <w:rFonts w:ascii="Times New Roman" w:hAnsi="Times New Roman"/>
                <w:b/>
                <w:sz w:val="18"/>
                <w:szCs w:val="18"/>
                <w:vertAlign w:val="superscript"/>
                <w:lang w:val="en-US"/>
              </w:rPr>
              <w:t>b</w:t>
            </w:r>
          </w:p>
          <w:p w:rsidR="00657F12" w:rsidRPr="00D56253" w:rsidRDefault="00657F12" w:rsidP="003F5749">
            <w:pPr>
              <w:pStyle w:val="BodyText"/>
              <w:spacing w:before="0" w:line="240" w:lineRule="auto"/>
              <w:jc w:val="center"/>
              <w:rPr>
                <w:rFonts w:ascii="Times New Roman" w:hAnsi="Times New Roman"/>
                <w:b/>
                <w:sz w:val="18"/>
                <w:szCs w:val="18"/>
                <w:lang w:val="en-US"/>
              </w:rPr>
            </w:pPr>
            <w:r w:rsidRPr="00D56253">
              <w:rPr>
                <w:rFonts w:ascii="Times New Roman" w:hAnsi="Times New Roman"/>
                <w:b/>
                <w:sz w:val="18"/>
                <w:szCs w:val="18"/>
                <w:lang w:val="en-US"/>
              </w:rPr>
              <w:t>N=6105</w:t>
            </w:r>
          </w:p>
        </w:tc>
        <w:tc>
          <w:tcPr>
            <w:tcW w:w="1257" w:type="dxa"/>
            <w:tcBorders>
              <w:top w:val="nil"/>
              <w:left w:val="single" w:sz="12" w:space="0" w:color="auto"/>
              <w:bottom w:val="single" w:sz="12" w:space="0" w:color="auto"/>
              <w:right w:val="single" w:sz="12" w:space="0" w:color="auto"/>
            </w:tcBorders>
          </w:tcPr>
          <w:p w:rsidR="00657F12" w:rsidRPr="00D56253" w:rsidRDefault="00657F12" w:rsidP="003F5749">
            <w:pPr>
              <w:pStyle w:val="BodyText"/>
              <w:spacing w:before="0" w:line="240" w:lineRule="auto"/>
              <w:jc w:val="center"/>
              <w:rPr>
                <w:rFonts w:ascii="Times New Roman" w:hAnsi="Times New Roman"/>
                <w:b/>
                <w:sz w:val="18"/>
                <w:szCs w:val="18"/>
                <w:vertAlign w:val="superscript"/>
                <w:lang w:val="en-US"/>
              </w:rPr>
            </w:pPr>
            <w:r w:rsidRPr="00D56253">
              <w:rPr>
                <w:rFonts w:ascii="Times New Roman" w:hAnsi="Times New Roman"/>
                <w:b/>
                <w:sz w:val="18"/>
                <w:szCs w:val="18"/>
                <w:lang w:val="en-US"/>
              </w:rPr>
              <w:t xml:space="preserve">Midodrine </w:t>
            </w:r>
            <w:r w:rsidRPr="00D56253">
              <w:rPr>
                <w:rFonts w:ascii="Times New Roman" w:hAnsi="Times New Roman"/>
                <w:b/>
                <w:sz w:val="18"/>
                <w:szCs w:val="18"/>
                <w:vertAlign w:val="superscript"/>
                <w:lang w:val="en-US"/>
              </w:rPr>
              <w:t>b</w:t>
            </w:r>
          </w:p>
          <w:p w:rsidR="00657F12" w:rsidRPr="00D56253" w:rsidRDefault="00657F12" w:rsidP="003F5749">
            <w:pPr>
              <w:pStyle w:val="BodyText"/>
              <w:spacing w:before="0" w:line="240" w:lineRule="auto"/>
              <w:jc w:val="center"/>
              <w:rPr>
                <w:rFonts w:ascii="Times New Roman" w:hAnsi="Times New Roman"/>
                <w:b/>
                <w:sz w:val="18"/>
                <w:szCs w:val="18"/>
                <w:lang w:val="en-US"/>
              </w:rPr>
            </w:pPr>
            <w:r w:rsidRPr="00D56253">
              <w:rPr>
                <w:rFonts w:ascii="Times New Roman" w:hAnsi="Times New Roman"/>
                <w:b/>
                <w:sz w:val="18"/>
                <w:szCs w:val="18"/>
                <w:lang w:val="en-US"/>
              </w:rPr>
              <w:t>N=3133</w:t>
            </w:r>
          </w:p>
        </w:tc>
        <w:tc>
          <w:tcPr>
            <w:tcW w:w="1256" w:type="dxa"/>
            <w:tcBorders>
              <w:top w:val="nil"/>
              <w:left w:val="single" w:sz="12" w:space="0" w:color="auto"/>
              <w:bottom w:val="single" w:sz="12" w:space="0" w:color="auto"/>
              <w:right w:val="nil"/>
            </w:tcBorders>
          </w:tcPr>
          <w:p w:rsidR="00657F12" w:rsidRPr="00D56253" w:rsidRDefault="00657F12" w:rsidP="003F5749">
            <w:pPr>
              <w:pStyle w:val="BodyText"/>
              <w:spacing w:before="0" w:line="240" w:lineRule="auto"/>
              <w:jc w:val="center"/>
              <w:rPr>
                <w:rFonts w:ascii="Times New Roman" w:hAnsi="Times New Roman"/>
                <w:b/>
                <w:sz w:val="18"/>
                <w:szCs w:val="18"/>
                <w:vertAlign w:val="superscript"/>
                <w:lang w:val="en-US"/>
              </w:rPr>
            </w:pPr>
            <w:r>
              <w:rPr>
                <w:rFonts w:ascii="Times New Roman" w:hAnsi="Times New Roman"/>
                <w:b/>
                <w:sz w:val="18"/>
                <w:szCs w:val="18"/>
                <w:lang w:val="en-US"/>
              </w:rPr>
              <w:t>Control</w:t>
            </w:r>
            <w:r w:rsidRPr="00D56253">
              <w:rPr>
                <w:rFonts w:ascii="Times New Roman" w:hAnsi="Times New Roman"/>
                <w:b/>
                <w:sz w:val="18"/>
                <w:szCs w:val="18"/>
                <w:lang w:val="en-US"/>
              </w:rPr>
              <w:t xml:space="preserve"> </w:t>
            </w:r>
            <w:r w:rsidRPr="00D56253">
              <w:rPr>
                <w:rFonts w:ascii="Times New Roman" w:hAnsi="Times New Roman"/>
                <w:b/>
                <w:sz w:val="18"/>
                <w:szCs w:val="18"/>
                <w:vertAlign w:val="superscript"/>
                <w:lang w:val="en-US"/>
              </w:rPr>
              <w:t>b</w:t>
            </w:r>
          </w:p>
          <w:p w:rsidR="00657F12" w:rsidRPr="00D56253" w:rsidRDefault="00657F12" w:rsidP="003F5749">
            <w:pPr>
              <w:pStyle w:val="BodyText"/>
              <w:spacing w:before="0" w:line="240" w:lineRule="auto"/>
              <w:jc w:val="center"/>
              <w:rPr>
                <w:rFonts w:ascii="Times New Roman" w:hAnsi="Times New Roman"/>
                <w:b/>
                <w:sz w:val="18"/>
                <w:szCs w:val="18"/>
                <w:lang w:val="en-US"/>
              </w:rPr>
            </w:pPr>
            <w:r w:rsidRPr="00D56253">
              <w:rPr>
                <w:rFonts w:ascii="Times New Roman" w:hAnsi="Times New Roman"/>
                <w:b/>
                <w:sz w:val="18"/>
                <w:szCs w:val="18"/>
                <w:lang w:val="en-US"/>
              </w:rPr>
              <w:t>N=2037</w:t>
            </w:r>
          </w:p>
        </w:tc>
        <w:tc>
          <w:tcPr>
            <w:tcW w:w="1257" w:type="dxa"/>
            <w:tcBorders>
              <w:top w:val="nil"/>
              <w:left w:val="nil"/>
              <w:bottom w:val="single" w:sz="12" w:space="0" w:color="auto"/>
              <w:right w:val="single" w:sz="12" w:space="0" w:color="auto"/>
            </w:tcBorders>
          </w:tcPr>
          <w:p w:rsidR="00657F12" w:rsidRPr="00D56253" w:rsidRDefault="00657F12" w:rsidP="003F5749">
            <w:pPr>
              <w:pStyle w:val="BodyText"/>
              <w:spacing w:before="0" w:line="240" w:lineRule="auto"/>
              <w:jc w:val="center"/>
              <w:rPr>
                <w:rFonts w:ascii="Times New Roman" w:hAnsi="Times New Roman"/>
                <w:b/>
                <w:sz w:val="18"/>
                <w:szCs w:val="18"/>
                <w:vertAlign w:val="superscript"/>
                <w:lang w:val="en-US"/>
              </w:rPr>
            </w:pPr>
            <w:r w:rsidRPr="00D56253">
              <w:rPr>
                <w:rFonts w:ascii="Times New Roman" w:hAnsi="Times New Roman"/>
                <w:b/>
                <w:sz w:val="18"/>
                <w:szCs w:val="18"/>
                <w:lang w:val="en-US"/>
              </w:rPr>
              <w:t xml:space="preserve">Midodrine </w:t>
            </w:r>
            <w:r w:rsidRPr="00D56253">
              <w:rPr>
                <w:rFonts w:ascii="Times New Roman" w:hAnsi="Times New Roman"/>
                <w:b/>
                <w:sz w:val="18"/>
                <w:szCs w:val="18"/>
                <w:vertAlign w:val="superscript"/>
                <w:lang w:val="en-US"/>
              </w:rPr>
              <w:t>b</w:t>
            </w:r>
          </w:p>
          <w:p w:rsidR="00657F12" w:rsidRPr="00D56253" w:rsidRDefault="00657F12" w:rsidP="003F5749">
            <w:pPr>
              <w:pStyle w:val="BodyText"/>
              <w:spacing w:before="0" w:line="240" w:lineRule="auto"/>
              <w:jc w:val="center"/>
              <w:rPr>
                <w:rFonts w:ascii="Times New Roman" w:hAnsi="Times New Roman"/>
                <w:b/>
                <w:sz w:val="18"/>
                <w:szCs w:val="18"/>
                <w:lang w:val="en-US"/>
              </w:rPr>
            </w:pPr>
            <w:r w:rsidRPr="00D56253">
              <w:rPr>
                <w:rFonts w:ascii="Times New Roman" w:hAnsi="Times New Roman"/>
                <w:b/>
                <w:sz w:val="18"/>
                <w:szCs w:val="18"/>
                <w:lang w:val="en-US"/>
              </w:rPr>
              <w:t>N=1046</w:t>
            </w:r>
          </w:p>
        </w:tc>
      </w:tr>
      <w:tr w:rsidR="00657F12" w:rsidRPr="00D56253" w:rsidTr="003F5749">
        <w:tc>
          <w:tcPr>
            <w:tcW w:w="2340" w:type="dxa"/>
            <w:tcBorders>
              <w:top w:val="single" w:sz="12" w:space="0" w:color="auto"/>
              <w:left w:val="single" w:sz="12" w:space="0" w:color="auto"/>
              <w:right w:val="single" w:sz="12" w:space="0" w:color="auto"/>
            </w:tcBorders>
          </w:tcPr>
          <w:p w:rsidR="00657F12" w:rsidRPr="00D56253" w:rsidRDefault="00657F12" w:rsidP="003F5749">
            <w:pPr>
              <w:pStyle w:val="BodyText"/>
              <w:spacing w:before="0" w:line="240" w:lineRule="auto"/>
              <w:rPr>
                <w:rFonts w:ascii="Times New Roman" w:hAnsi="Times New Roman"/>
                <w:sz w:val="18"/>
                <w:szCs w:val="18"/>
                <w:lang w:val="en-US"/>
              </w:rPr>
            </w:pPr>
            <w:r w:rsidRPr="00D56253">
              <w:rPr>
                <w:rFonts w:ascii="Times New Roman" w:hAnsi="Times New Roman"/>
                <w:b/>
                <w:sz w:val="18"/>
                <w:szCs w:val="18"/>
                <w:lang w:val="en-US"/>
              </w:rPr>
              <w:t>Vintage</w:t>
            </w:r>
            <w:r>
              <w:rPr>
                <w:rFonts w:ascii="Times New Roman" w:hAnsi="Times New Roman"/>
                <w:sz w:val="18"/>
                <w:szCs w:val="18"/>
                <w:lang w:val="en-US"/>
              </w:rPr>
              <w:t xml:space="preserve">, </w:t>
            </w:r>
            <w:proofErr w:type="spellStart"/>
            <w:r>
              <w:rPr>
                <w:rFonts w:ascii="Times New Roman" w:hAnsi="Times New Roman"/>
                <w:sz w:val="18"/>
                <w:szCs w:val="18"/>
                <w:lang w:val="en-US"/>
              </w:rPr>
              <w:t>mo</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mean±</w:t>
            </w:r>
            <w:r w:rsidRPr="00D56253">
              <w:rPr>
                <w:rFonts w:ascii="Times New Roman" w:hAnsi="Times New Roman"/>
                <w:sz w:val="18"/>
                <w:szCs w:val="18"/>
                <w:lang w:val="en-US"/>
              </w:rPr>
              <w:t>SD</w:t>
            </w:r>
            <w:proofErr w:type="spellEnd"/>
          </w:p>
        </w:tc>
        <w:tc>
          <w:tcPr>
            <w:tcW w:w="1256" w:type="dxa"/>
            <w:tcBorders>
              <w:top w:val="single" w:sz="12" w:space="0" w:color="auto"/>
              <w:left w:val="single" w:sz="12" w:space="0" w:color="auto"/>
            </w:tcBorders>
          </w:tcPr>
          <w:p w:rsidR="00657F12" w:rsidRPr="00D56253" w:rsidRDefault="00657F12" w:rsidP="003F5749">
            <w:pPr>
              <w:pStyle w:val="BodyText"/>
              <w:spacing w:before="0" w:line="240" w:lineRule="auto"/>
              <w:jc w:val="center"/>
              <w:rPr>
                <w:rFonts w:ascii="Times New Roman" w:hAnsi="Times New Roman"/>
                <w:sz w:val="18"/>
                <w:szCs w:val="18"/>
                <w:lang w:val="en-US"/>
              </w:rPr>
            </w:pPr>
            <w:r w:rsidRPr="00D56253">
              <w:rPr>
                <w:rFonts w:ascii="Times New Roman" w:hAnsi="Times New Roman"/>
                <w:sz w:val="18"/>
                <w:szCs w:val="18"/>
                <w:lang w:val="en-US"/>
              </w:rPr>
              <w:t>30.7 ± 21.8</w:t>
            </w:r>
          </w:p>
        </w:tc>
        <w:tc>
          <w:tcPr>
            <w:tcW w:w="1257" w:type="dxa"/>
            <w:tcBorders>
              <w:top w:val="single" w:sz="12" w:space="0" w:color="auto"/>
            </w:tcBorders>
          </w:tcPr>
          <w:p w:rsidR="00657F12" w:rsidRPr="00D56253" w:rsidRDefault="00657F12" w:rsidP="003F5749">
            <w:pPr>
              <w:pStyle w:val="BodyText"/>
              <w:spacing w:before="0" w:line="240" w:lineRule="auto"/>
              <w:jc w:val="center"/>
              <w:rPr>
                <w:rFonts w:ascii="Times New Roman" w:hAnsi="Times New Roman"/>
                <w:sz w:val="18"/>
                <w:szCs w:val="18"/>
                <w:lang w:val="en-US"/>
              </w:rPr>
            </w:pPr>
            <w:r w:rsidRPr="00D56253">
              <w:rPr>
                <w:rFonts w:ascii="Times New Roman" w:hAnsi="Times New Roman"/>
                <w:sz w:val="18"/>
                <w:szCs w:val="18"/>
                <w:lang w:val="en-US"/>
              </w:rPr>
              <w:t>27.6 ± 22.4*</w:t>
            </w:r>
          </w:p>
        </w:tc>
        <w:tc>
          <w:tcPr>
            <w:tcW w:w="1256" w:type="dxa"/>
            <w:tcBorders>
              <w:top w:val="single" w:sz="12" w:space="0" w:color="auto"/>
              <w:left w:val="single" w:sz="12" w:space="0" w:color="auto"/>
            </w:tcBorders>
          </w:tcPr>
          <w:p w:rsidR="00657F12" w:rsidRPr="00D56253" w:rsidRDefault="00657F12" w:rsidP="003F5749">
            <w:pPr>
              <w:pStyle w:val="BodyText"/>
              <w:spacing w:before="0" w:line="240" w:lineRule="auto"/>
              <w:jc w:val="center"/>
              <w:rPr>
                <w:rFonts w:ascii="Times New Roman" w:hAnsi="Times New Roman"/>
                <w:sz w:val="18"/>
                <w:szCs w:val="18"/>
                <w:lang w:val="en-US"/>
              </w:rPr>
            </w:pPr>
            <w:r w:rsidRPr="00D56253">
              <w:rPr>
                <w:rFonts w:ascii="Times New Roman" w:hAnsi="Times New Roman"/>
                <w:sz w:val="18"/>
                <w:szCs w:val="18"/>
                <w:lang w:val="en-US"/>
              </w:rPr>
              <w:t>27.2 ± 21.7</w:t>
            </w:r>
          </w:p>
        </w:tc>
        <w:tc>
          <w:tcPr>
            <w:tcW w:w="1257" w:type="dxa"/>
            <w:tcBorders>
              <w:top w:val="single" w:sz="12" w:space="0" w:color="auto"/>
            </w:tcBorders>
          </w:tcPr>
          <w:p w:rsidR="00657F12" w:rsidRPr="00D56253" w:rsidRDefault="00657F12" w:rsidP="003F5749">
            <w:pPr>
              <w:pStyle w:val="BodyText"/>
              <w:spacing w:before="0" w:line="240" w:lineRule="auto"/>
              <w:jc w:val="center"/>
              <w:rPr>
                <w:rFonts w:ascii="Times New Roman" w:hAnsi="Times New Roman"/>
                <w:sz w:val="18"/>
                <w:szCs w:val="18"/>
                <w:lang w:val="en-US"/>
              </w:rPr>
            </w:pPr>
            <w:r w:rsidRPr="00D56253">
              <w:rPr>
                <w:rFonts w:ascii="Times New Roman" w:hAnsi="Times New Roman"/>
                <w:sz w:val="18"/>
                <w:szCs w:val="18"/>
                <w:lang w:val="en-US"/>
              </w:rPr>
              <w:t>27.1 ± 22.1</w:t>
            </w:r>
          </w:p>
        </w:tc>
        <w:tc>
          <w:tcPr>
            <w:tcW w:w="1256" w:type="dxa"/>
            <w:tcBorders>
              <w:top w:val="single" w:sz="12" w:space="0" w:color="auto"/>
            </w:tcBorders>
          </w:tcPr>
          <w:p w:rsidR="00657F12" w:rsidRPr="00D56253" w:rsidRDefault="00657F12" w:rsidP="003F5749">
            <w:pPr>
              <w:pStyle w:val="BodyText"/>
              <w:spacing w:before="0" w:line="240" w:lineRule="auto"/>
              <w:jc w:val="center"/>
              <w:rPr>
                <w:rFonts w:ascii="Times New Roman" w:hAnsi="Times New Roman"/>
                <w:sz w:val="18"/>
                <w:szCs w:val="18"/>
                <w:lang w:val="en-US"/>
              </w:rPr>
            </w:pPr>
            <w:r w:rsidRPr="00D56253">
              <w:rPr>
                <w:rFonts w:ascii="Times New Roman" w:hAnsi="Times New Roman"/>
                <w:sz w:val="18"/>
                <w:szCs w:val="18"/>
                <w:lang w:val="en-US"/>
              </w:rPr>
              <w:t>27.2 ± 21.7</w:t>
            </w:r>
          </w:p>
        </w:tc>
        <w:tc>
          <w:tcPr>
            <w:tcW w:w="1257" w:type="dxa"/>
            <w:tcBorders>
              <w:top w:val="single" w:sz="12" w:space="0" w:color="auto"/>
            </w:tcBorders>
          </w:tcPr>
          <w:p w:rsidR="00657F12" w:rsidRPr="00D56253" w:rsidRDefault="00657F12" w:rsidP="003F5749">
            <w:pPr>
              <w:pStyle w:val="BodyText"/>
              <w:spacing w:before="0" w:line="240" w:lineRule="auto"/>
              <w:jc w:val="center"/>
              <w:rPr>
                <w:rFonts w:ascii="Times New Roman" w:hAnsi="Times New Roman"/>
                <w:sz w:val="18"/>
                <w:szCs w:val="18"/>
                <w:lang w:val="en-US"/>
              </w:rPr>
            </w:pPr>
            <w:r w:rsidRPr="00D56253">
              <w:rPr>
                <w:rFonts w:ascii="Times New Roman" w:hAnsi="Times New Roman"/>
                <w:sz w:val="18"/>
                <w:szCs w:val="18"/>
                <w:lang w:val="en-US"/>
              </w:rPr>
              <w:t>27.1 ± 22.1</w:t>
            </w:r>
          </w:p>
        </w:tc>
        <w:tc>
          <w:tcPr>
            <w:tcW w:w="1256" w:type="dxa"/>
            <w:tcBorders>
              <w:top w:val="single" w:sz="12" w:space="0" w:color="auto"/>
              <w:left w:val="single" w:sz="12" w:space="0" w:color="auto"/>
            </w:tcBorders>
          </w:tcPr>
          <w:p w:rsidR="00657F12" w:rsidRPr="00D56253" w:rsidRDefault="00657F12" w:rsidP="003F5749">
            <w:pPr>
              <w:pStyle w:val="BodyText"/>
              <w:spacing w:before="0" w:line="240" w:lineRule="auto"/>
              <w:jc w:val="center"/>
              <w:rPr>
                <w:rFonts w:ascii="Times New Roman" w:hAnsi="Times New Roman"/>
                <w:sz w:val="18"/>
                <w:szCs w:val="18"/>
                <w:lang w:val="en-US"/>
              </w:rPr>
            </w:pPr>
            <w:r w:rsidRPr="00D56253">
              <w:rPr>
                <w:rFonts w:ascii="Times New Roman" w:hAnsi="Times New Roman"/>
                <w:sz w:val="18"/>
                <w:szCs w:val="18"/>
                <w:lang w:val="en-US"/>
              </w:rPr>
              <w:t>27.1 ± 21.4</w:t>
            </w:r>
          </w:p>
        </w:tc>
        <w:tc>
          <w:tcPr>
            <w:tcW w:w="1257" w:type="dxa"/>
            <w:tcBorders>
              <w:top w:val="single" w:sz="12" w:space="0" w:color="auto"/>
              <w:right w:val="single" w:sz="12" w:space="0" w:color="auto"/>
            </w:tcBorders>
          </w:tcPr>
          <w:p w:rsidR="00657F12" w:rsidRPr="00D56253" w:rsidRDefault="00657F12" w:rsidP="003F5749">
            <w:pPr>
              <w:pStyle w:val="BodyText"/>
              <w:spacing w:before="0" w:line="240" w:lineRule="auto"/>
              <w:jc w:val="center"/>
              <w:rPr>
                <w:rFonts w:ascii="Times New Roman" w:hAnsi="Times New Roman"/>
                <w:sz w:val="18"/>
                <w:szCs w:val="18"/>
                <w:lang w:val="en-US"/>
              </w:rPr>
            </w:pPr>
            <w:r w:rsidRPr="00D56253">
              <w:rPr>
                <w:rFonts w:ascii="Times New Roman" w:hAnsi="Times New Roman"/>
                <w:sz w:val="18"/>
                <w:szCs w:val="18"/>
                <w:lang w:val="en-US"/>
              </w:rPr>
              <w:t>27.2 ± 21.7</w:t>
            </w:r>
          </w:p>
        </w:tc>
      </w:tr>
      <w:tr w:rsidR="00657F12" w:rsidRPr="00D56253" w:rsidTr="003F5749">
        <w:tc>
          <w:tcPr>
            <w:tcW w:w="2340" w:type="dxa"/>
            <w:tcBorders>
              <w:left w:val="single" w:sz="12" w:space="0" w:color="auto"/>
              <w:right w:val="single" w:sz="12" w:space="0" w:color="auto"/>
            </w:tcBorders>
          </w:tcPr>
          <w:p w:rsidR="00657F12" w:rsidRPr="00D56253" w:rsidRDefault="00657F12" w:rsidP="003F5749">
            <w:pPr>
              <w:pStyle w:val="BodyText"/>
              <w:spacing w:before="0" w:line="240" w:lineRule="auto"/>
              <w:rPr>
                <w:rFonts w:ascii="Times New Roman" w:hAnsi="Times New Roman"/>
                <w:sz w:val="18"/>
                <w:szCs w:val="18"/>
                <w:lang w:val="en-US"/>
              </w:rPr>
            </w:pPr>
            <w:r w:rsidRPr="00D56253">
              <w:rPr>
                <w:rFonts w:ascii="Times New Roman" w:hAnsi="Times New Roman"/>
                <w:b/>
                <w:sz w:val="18"/>
                <w:szCs w:val="18"/>
                <w:lang w:val="en-US"/>
              </w:rPr>
              <w:t>Pre-dialysis SBP</w:t>
            </w:r>
            <w:r>
              <w:rPr>
                <w:rFonts w:ascii="Times New Roman" w:hAnsi="Times New Roman"/>
                <w:sz w:val="18"/>
                <w:szCs w:val="18"/>
                <w:lang w:val="en-US"/>
              </w:rPr>
              <w:t xml:space="preserve">, </w:t>
            </w:r>
            <w:proofErr w:type="spellStart"/>
            <w:r>
              <w:rPr>
                <w:rFonts w:ascii="Times New Roman" w:hAnsi="Times New Roman"/>
                <w:sz w:val="18"/>
                <w:szCs w:val="18"/>
                <w:lang w:val="en-US"/>
              </w:rPr>
              <w:t>mean±</w:t>
            </w:r>
            <w:r w:rsidRPr="00D56253">
              <w:rPr>
                <w:rFonts w:ascii="Times New Roman" w:hAnsi="Times New Roman"/>
                <w:sz w:val="18"/>
                <w:szCs w:val="18"/>
                <w:lang w:val="en-US"/>
              </w:rPr>
              <w:t>SD</w:t>
            </w:r>
            <w:proofErr w:type="spellEnd"/>
          </w:p>
        </w:tc>
        <w:tc>
          <w:tcPr>
            <w:tcW w:w="1256" w:type="dxa"/>
            <w:tcBorders>
              <w:left w:val="single" w:sz="12" w:space="0" w:color="auto"/>
            </w:tcBorders>
          </w:tcPr>
          <w:p w:rsidR="00657F12" w:rsidRPr="00D56253" w:rsidRDefault="00657F12" w:rsidP="003F5749">
            <w:pPr>
              <w:pStyle w:val="BodyText"/>
              <w:spacing w:before="0" w:line="240" w:lineRule="auto"/>
              <w:jc w:val="center"/>
              <w:rPr>
                <w:rFonts w:ascii="Times New Roman" w:hAnsi="Times New Roman"/>
                <w:sz w:val="18"/>
                <w:szCs w:val="18"/>
                <w:lang w:val="en-US"/>
              </w:rPr>
            </w:pPr>
            <w:r w:rsidRPr="00D56253">
              <w:rPr>
                <w:rFonts w:ascii="Times New Roman" w:hAnsi="Times New Roman"/>
                <w:sz w:val="18"/>
                <w:szCs w:val="18"/>
                <w:lang w:val="en-US"/>
              </w:rPr>
              <w:t>149 ± 20</w:t>
            </w:r>
          </w:p>
        </w:tc>
        <w:tc>
          <w:tcPr>
            <w:tcW w:w="1257" w:type="dxa"/>
          </w:tcPr>
          <w:p w:rsidR="00657F12" w:rsidRPr="00D56253" w:rsidRDefault="00657F12" w:rsidP="003F5749">
            <w:pPr>
              <w:pStyle w:val="BodyText"/>
              <w:spacing w:before="0" w:line="240" w:lineRule="auto"/>
              <w:jc w:val="center"/>
              <w:rPr>
                <w:rFonts w:ascii="Times New Roman" w:hAnsi="Times New Roman"/>
                <w:sz w:val="18"/>
                <w:szCs w:val="18"/>
                <w:lang w:val="en-US"/>
              </w:rPr>
            </w:pPr>
            <w:r w:rsidRPr="00D56253">
              <w:rPr>
                <w:rFonts w:ascii="Times New Roman" w:hAnsi="Times New Roman"/>
                <w:sz w:val="18"/>
                <w:szCs w:val="18"/>
                <w:lang w:val="en-US"/>
              </w:rPr>
              <w:t>128 ± 20*</w:t>
            </w:r>
          </w:p>
        </w:tc>
        <w:tc>
          <w:tcPr>
            <w:tcW w:w="1256" w:type="dxa"/>
            <w:tcBorders>
              <w:left w:val="single" w:sz="12" w:space="0" w:color="auto"/>
            </w:tcBorders>
          </w:tcPr>
          <w:p w:rsidR="00657F12" w:rsidRPr="00D56253" w:rsidRDefault="00657F12" w:rsidP="003F5749">
            <w:pPr>
              <w:pStyle w:val="BodyText"/>
              <w:spacing w:before="0" w:line="240" w:lineRule="auto"/>
              <w:jc w:val="center"/>
              <w:rPr>
                <w:rFonts w:ascii="Times New Roman" w:hAnsi="Times New Roman"/>
                <w:sz w:val="18"/>
                <w:szCs w:val="18"/>
                <w:lang w:val="en-US"/>
              </w:rPr>
            </w:pPr>
            <w:r w:rsidRPr="00D56253">
              <w:rPr>
                <w:rFonts w:ascii="Times New Roman" w:hAnsi="Times New Roman"/>
                <w:sz w:val="18"/>
                <w:szCs w:val="18"/>
                <w:lang w:val="en-US"/>
              </w:rPr>
              <w:t>128 ± 19</w:t>
            </w:r>
          </w:p>
        </w:tc>
        <w:tc>
          <w:tcPr>
            <w:tcW w:w="1257" w:type="dxa"/>
          </w:tcPr>
          <w:p w:rsidR="00657F12" w:rsidRPr="00D56253" w:rsidRDefault="00657F12" w:rsidP="003F5749">
            <w:pPr>
              <w:pStyle w:val="BodyText"/>
              <w:spacing w:before="0" w:line="240" w:lineRule="auto"/>
              <w:jc w:val="center"/>
              <w:rPr>
                <w:rFonts w:ascii="Times New Roman" w:hAnsi="Times New Roman"/>
                <w:sz w:val="18"/>
                <w:szCs w:val="18"/>
                <w:lang w:val="en-US"/>
              </w:rPr>
            </w:pPr>
            <w:r w:rsidRPr="00D56253">
              <w:rPr>
                <w:rFonts w:ascii="Times New Roman" w:hAnsi="Times New Roman"/>
                <w:sz w:val="18"/>
                <w:szCs w:val="18"/>
                <w:lang w:val="en-US"/>
              </w:rPr>
              <w:t>128 ± 19</w:t>
            </w:r>
          </w:p>
        </w:tc>
        <w:tc>
          <w:tcPr>
            <w:tcW w:w="1256" w:type="dxa"/>
          </w:tcPr>
          <w:p w:rsidR="00657F12" w:rsidRPr="00D56253" w:rsidRDefault="00657F12" w:rsidP="003F5749">
            <w:pPr>
              <w:pStyle w:val="BodyText"/>
              <w:spacing w:before="0" w:line="240" w:lineRule="auto"/>
              <w:jc w:val="center"/>
              <w:rPr>
                <w:rFonts w:ascii="Times New Roman" w:hAnsi="Times New Roman"/>
                <w:sz w:val="18"/>
                <w:szCs w:val="18"/>
                <w:lang w:val="en-US"/>
              </w:rPr>
            </w:pPr>
            <w:r w:rsidRPr="00D56253">
              <w:rPr>
                <w:rFonts w:ascii="Times New Roman" w:hAnsi="Times New Roman"/>
                <w:sz w:val="18"/>
                <w:szCs w:val="18"/>
                <w:lang w:val="en-US"/>
              </w:rPr>
              <w:t>129 ± 20</w:t>
            </w:r>
          </w:p>
        </w:tc>
        <w:tc>
          <w:tcPr>
            <w:tcW w:w="1257" w:type="dxa"/>
          </w:tcPr>
          <w:p w:rsidR="00657F12" w:rsidRPr="00D56253" w:rsidRDefault="00657F12" w:rsidP="003F5749">
            <w:pPr>
              <w:pStyle w:val="BodyText"/>
              <w:spacing w:before="0" w:line="240" w:lineRule="auto"/>
              <w:jc w:val="center"/>
              <w:rPr>
                <w:rFonts w:ascii="Times New Roman" w:hAnsi="Times New Roman"/>
                <w:sz w:val="18"/>
                <w:szCs w:val="18"/>
                <w:lang w:val="en-US"/>
              </w:rPr>
            </w:pPr>
            <w:r w:rsidRPr="00D56253">
              <w:rPr>
                <w:rFonts w:ascii="Times New Roman" w:hAnsi="Times New Roman"/>
                <w:sz w:val="18"/>
                <w:szCs w:val="18"/>
                <w:lang w:val="en-US"/>
              </w:rPr>
              <w:t>126 ± 20*</w:t>
            </w:r>
          </w:p>
        </w:tc>
        <w:tc>
          <w:tcPr>
            <w:tcW w:w="1256" w:type="dxa"/>
            <w:tcBorders>
              <w:left w:val="single" w:sz="12" w:space="0" w:color="auto"/>
            </w:tcBorders>
          </w:tcPr>
          <w:p w:rsidR="00657F12" w:rsidRPr="00D56253" w:rsidRDefault="00657F12" w:rsidP="003F5749">
            <w:pPr>
              <w:pStyle w:val="BodyText"/>
              <w:spacing w:before="0" w:line="240" w:lineRule="auto"/>
              <w:jc w:val="center"/>
              <w:rPr>
                <w:rFonts w:ascii="Times New Roman" w:hAnsi="Times New Roman"/>
                <w:sz w:val="18"/>
                <w:szCs w:val="18"/>
                <w:lang w:val="en-US"/>
              </w:rPr>
            </w:pPr>
            <w:r w:rsidRPr="00D56253">
              <w:rPr>
                <w:rFonts w:ascii="Times New Roman" w:hAnsi="Times New Roman"/>
                <w:sz w:val="18"/>
                <w:szCs w:val="18"/>
                <w:lang w:val="en-US"/>
              </w:rPr>
              <w:t>128 ± 21</w:t>
            </w:r>
          </w:p>
        </w:tc>
        <w:tc>
          <w:tcPr>
            <w:tcW w:w="1257" w:type="dxa"/>
            <w:tcBorders>
              <w:right w:val="single" w:sz="12" w:space="0" w:color="auto"/>
            </w:tcBorders>
          </w:tcPr>
          <w:p w:rsidR="00657F12" w:rsidRPr="00D56253" w:rsidRDefault="00657F12" w:rsidP="003F5749">
            <w:pPr>
              <w:pStyle w:val="BodyText"/>
              <w:spacing w:before="0" w:line="240" w:lineRule="auto"/>
              <w:jc w:val="center"/>
              <w:rPr>
                <w:rFonts w:ascii="Times New Roman" w:hAnsi="Times New Roman"/>
                <w:sz w:val="18"/>
                <w:szCs w:val="18"/>
                <w:lang w:val="en-US"/>
              </w:rPr>
            </w:pPr>
            <w:r w:rsidRPr="00D56253">
              <w:rPr>
                <w:rFonts w:ascii="Times New Roman" w:hAnsi="Times New Roman"/>
                <w:sz w:val="18"/>
                <w:szCs w:val="18"/>
                <w:lang w:val="en-US"/>
              </w:rPr>
              <w:t>127 ± 20</w:t>
            </w:r>
          </w:p>
        </w:tc>
      </w:tr>
      <w:tr w:rsidR="00657F12" w:rsidRPr="00D56253" w:rsidTr="003F5749">
        <w:tc>
          <w:tcPr>
            <w:tcW w:w="2340" w:type="dxa"/>
            <w:tcBorders>
              <w:left w:val="single" w:sz="12" w:space="0" w:color="auto"/>
              <w:right w:val="single" w:sz="12" w:space="0" w:color="auto"/>
            </w:tcBorders>
          </w:tcPr>
          <w:p w:rsidR="00657F12" w:rsidRPr="00D56253" w:rsidRDefault="00657F12" w:rsidP="003F5749">
            <w:pPr>
              <w:pStyle w:val="BodyText"/>
              <w:spacing w:before="0" w:line="240" w:lineRule="auto"/>
              <w:rPr>
                <w:rFonts w:ascii="Times New Roman" w:hAnsi="Times New Roman"/>
                <w:sz w:val="18"/>
                <w:szCs w:val="18"/>
                <w:lang w:val="en-US"/>
              </w:rPr>
            </w:pPr>
            <w:r w:rsidRPr="00D56253">
              <w:rPr>
                <w:rFonts w:ascii="Times New Roman" w:hAnsi="Times New Roman"/>
                <w:b/>
                <w:sz w:val="18"/>
                <w:szCs w:val="18"/>
                <w:lang w:val="en-US"/>
              </w:rPr>
              <w:t>Nadir SBP</w:t>
            </w:r>
            <w:r>
              <w:rPr>
                <w:rFonts w:ascii="Times New Roman" w:hAnsi="Times New Roman"/>
                <w:sz w:val="18"/>
                <w:szCs w:val="18"/>
                <w:lang w:val="en-US"/>
              </w:rPr>
              <w:t xml:space="preserve">, </w:t>
            </w:r>
            <w:proofErr w:type="spellStart"/>
            <w:r>
              <w:rPr>
                <w:rFonts w:ascii="Times New Roman" w:hAnsi="Times New Roman"/>
                <w:sz w:val="18"/>
                <w:szCs w:val="18"/>
                <w:lang w:val="en-US"/>
              </w:rPr>
              <w:t>mean±</w:t>
            </w:r>
            <w:r w:rsidRPr="00D56253">
              <w:rPr>
                <w:rFonts w:ascii="Times New Roman" w:hAnsi="Times New Roman"/>
                <w:sz w:val="18"/>
                <w:szCs w:val="18"/>
                <w:lang w:val="en-US"/>
              </w:rPr>
              <w:t>SD</w:t>
            </w:r>
            <w:proofErr w:type="spellEnd"/>
          </w:p>
        </w:tc>
        <w:tc>
          <w:tcPr>
            <w:tcW w:w="1256" w:type="dxa"/>
            <w:tcBorders>
              <w:left w:val="single" w:sz="12" w:space="0" w:color="auto"/>
            </w:tcBorders>
          </w:tcPr>
          <w:p w:rsidR="00657F12" w:rsidRPr="00D56253" w:rsidRDefault="00657F12" w:rsidP="003F5749">
            <w:pPr>
              <w:pStyle w:val="BodyText"/>
              <w:spacing w:before="0" w:line="240" w:lineRule="auto"/>
              <w:jc w:val="center"/>
              <w:rPr>
                <w:rFonts w:ascii="Times New Roman" w:hAnsi="Times New Roman"/>
                <w:sz w:val="18"/>
                <w:szCs w:val="18"/>
                <w:lang w:val="en-US"/>
              </w:rPr>
            </w:pPr>
            <w:r w:rsidRPr="00D56253">
              <w:rPr>
                <w:rFonts w:ascii="Times New Roman" w:hAnsi="Times New Roman"/>
                <w:sz w:val="18"/>
                <w:szCs w:val="18"/>
                <w:lang w:val="en-US"/>
              </w:rPr>
              <w:t>112 ± 18</w:t>
            </w:r>
          </w:p>
        </w:tc>
        <w:tc>
          <w:tcPr>
            <w:tcW w:w="1257" w:type="dxa"/>
          </w:tcPr>
          <w:p w:rsidR="00657F12" w:rsidRPr="00D56253" w:rsidRDefault="00657F12" w:rsidP="003F5749">
            <w:pPr>
              <w:pStyle w:val="BodyText"/>
              <w:spacing w:before="0" w:line="240" w:lineRule="auto"/>
              <w:jc w:val="center"/>
              <w:rPr>
                <w:rFonts w:ascii="Times New Roman" w:hAnsi="Times New Roman"/>
                <w:sz w:val="18"/>
                <w:szCs w:val="18"/>
                <w:lang w:val="en-US"/>
              </w:rPr>
            </w:pPr>
            <w:r w:rsidRPr="00D56253">
              <w:rPr>
                <w:rFonts w:ascii="Times New Roman" w:hAnsi="Times New Roman"/>
                <w:sz w:val="18"/>
                <w:szCs w:val="18"/>
                <w:lang w:val="en-US"/>
              </w:rPr>
              <w:t>91 ± 14*</w:t>
            </w:r>
          </w:p>
        </w:tc>
        <w:tc>
          <w:tcPr>
            <w:tcW w:w="1256" w:type="dxa"/>
            <w:tcBorders>
              <w:left w:val="single" w:sz="12" w:space="0" w:color="auto"/>
            </w:tcBorders>
          </w:tcPr>
          <w:p w:rsidR="00657F12" w:rsidRPr="00D56253" w:rsidRDefault="00657F12" w:rsidP="003F5749">
            <w:pPr>
              <w:pStyle w:val="BodyText"/>
              <w:spacing w:before="0" w:line="240" w:lineRule="auto"/>
              <w:jc w:val="center"/>
              <w:rPr>
                <w:rFonts w:ascii="Times New Roman" w:hAnsi="Times New Roman"/>
                <w:sz w:val="18"/>
                <w:szCs w:val="18"/>
                <w:lang w:val="en-US"/>
              </w:rPr>
            </w:pPr>
            <w:r w:rsidRPr="00D56253">
              <w:rPr>
                <w:rFonts w:ascii="Times New Roman" w:hAnsi="Times New Roman"/>
                <w:sz w:val="18"/>
                <w:szCs w:val="18"/>
                <w:lang w:val="en-US"/>
              </w:rPr>
              <w:t>92 ± 13</w:t>
            </w:r>
          </w:p>
        </w:tc>
        <w:tc>
          <w:tcPr>
            <w:tcW w:w="1257" w:type="dxa"/>
          </w:tcPr>
          <w:p w:rsidR="00657F12" w:rsidRPr="00D56253" w:rsidRDefault="00657F12" w:rsidP="003F5749">
            <w:pPr>
              <w:pStyle w:val="BodyText"/>
              <w:spacing w:before="0" w:line="240" w:lineRule="auto"/>
              <w:jc w:val="center"/>
              <w:rPr>
                <w:rFonts w:ascii="Times New Roman" w:hAnsi="Times New Roman"/>
                <w:sz w:val="18"/>
                <w:szCs w:val="18"/>
                <w:lang w:val="en-US"/>
              </w:rPr>
            </w:pPr>
            <w:r w:rsidRPr="00D56253">
              <w:rPr>
                <w:rFonts w:ascii="Times New Roman" w:hAnsi="Times New Roman"/>
                <w:sz w:val="18"/>
                <w:szCs w:val="18"/>
                <w:lang w:val="en-US"/>
              </w:rPr>
              <w:t>91 ± 13</w:t>
            </w:r>
          </w:p>
        </w:tc>
        <w:tc>
          <w:tcPr>
            <w:tcW w:w="1256" w:type="dxa"/>
          </w:tcPr>
          <w:p w:rsidR="00657F12" w:rsidRPr="00D56253" w:rsidRDefault="00657F12" w:rsidP="003F5749">
            <w:pPr>
              <w:pStyle w:val="BodyText"/>
              <w:spacing w:before="0" w:line="240" w:lineRule="auto"/>
              <w:jc w:val="center"/>
              <w:rPr>
                <w:rFonts w:ascii="Times New Roman" w:hAnsi="Times New Roman"/>
                <w:sz w:val="18"/>
                <w:szCs w:val="18"/>
                <w:lang w:val="en-US"/>
              </w:rPr>
            </w:pPr>
            <w:r w:rsidRPr="00D56253">
              <w:rPr>
                <w:rFonts w:ascii="Times New Roman" w:hAnsi="Times New Roman"/>
                <w:sz w:val="18"/>
                <w:szCs w:val="18"/>
                <w:lang w:val="en-US"/>
              </w:rPr>
              <w:t>92 ± 14</w:t>
            </w:r>
          </w:p>
        </w:tc>
        <w:tc>
          <w:tcPr>
            <w:tcW w:w="1257" w:type="dxa"/>
          </w:tcPr>
          <w:p w:rsidR="00657F12" w:rsidRPr="00D56253" w:rsidRDefault="00657F12" w:rsidP="003F5749">
            <w:pPr>
              <w:pStyle w:val="BodyText"/>
              <w:spacing w:before="0" w:line="240" w:lineRule="auto"/>
              <w:jc w:val="center"/>
              <w:rPr>
                <w:rFonts w:ascii="Times New Roman" w:hAnsi="Times New Roman"/>
                <w:sz w:val="18"/>
                <w:szCs w:val="18"/>
                <w:lang w:val="en-US"/>
              </w:rPr>
            </w:pPr>
            <w:r w:rsidRPr="00D56253">
              <w:rPr>
                <w:rFonts w:ascii="Times New Roman" w:hAnsi="Times New Roman"/>
                <w:sz w:val="18"/>
                <w:szCs w:val="18"/>
                <w:lang w:val="en-US"/>
              </w:rPr>
              <w:t>89 ± 13*</w:t>
            </w:r>
          </w:p>
        </w:tc>
        <w:tc>
          <w:tcPr>
            <w:tcW w:w="1256" w:type="dxa"/>
            <w:tcBorders>
              <w:left w:val="single" w:sz="12" w:space="0" w:color="auto"/>
            </w:tcBorders>
          </w:tcPr>
          <w:p w:rsidR="00657F12" w:rsidRPr="00D56253" w:rsidRDefault="00657F12" w:rsidP="003F5749">
            <w:pPr>
              <w:pStyle w:val="BodyText"/>
              <w:spacing w:before="0" w:line="240" w:lineRule="auto"/>
              <w:jc w:val="center"/>
              <w:rPr>
                <w:rFonts w:ascii="Times New Roman" w:hAnsi="Times New Roman"/>
                <w:sz w:val="18"/>
                <w:szCs w:val="18"/>
                <w:lang w:val="en-US"/>
              </w:rPr>
            </w:pPr>
            <w:r w:rsidRPr="00D56253">
              <w:rPr>
                <w:rFonts w:ascii="Times New Roman" w:hAnsi="Times New Roman"/>
                <w:sz w:val="18"/>
                <w:szCs w:val="18"/>
                <w:lang w:val="en-US"/>
              </w:rPr>
              <w:t>91 ± 13</w:t>
            </w:r>
          </w:p>
        </w:tc>
        <w:tc>
          <w:tcPr>
            <w:tcW w:w="1257" w:type="dxa"/>
            <w:tcBorders>
              <w:right w:val="single" w:sz="12" w:space="0" w:color="auto"/>
            </w:tcBorders>
          </w:tcPr>
          <w:p w:rsidR="00657F12" w:rsidRPr="00D56253" w:rsidRDefault="00657F12" w:rsidP="003F5749">
            <w:pPr>
              <w:pStyle w:val="BodyText"/>
              <w:spacing w:before="0" w:line="240" w:lineRule="auto"/>
              <w:jc w:val="center"/>
              <w:rPr>
                <w:rFonts w:ascii="Times New Roman" w:hAnsi="Times New Roman"/>
                <w:sz w:val="18"/>
                <w:szCs w:val="18"/>
                <w:lang w:val="en-US"/>
              </w:rPr>
            </w:pPr>
            <w:r w:rsidRPr="00D56253">
              <w:rPr>
                <w:rFonts w:ascii="Times New Roman" w:hAnsi="Times New Roman"/>
                <w:sz w:val="18"/>
                <w:szCs w:val="18"/>
                <w:lang w:val="en-US"/>
              </w:rPr>
              <w:t>90 ± 13*</w:t>
            </w:r>
          </w:p>
        </w:tc>
      </w:tr>
      <w:tr w:rsidR="00657F12" w:rsidRPr="00D56253" w:rsidTr="003F5749">
        <w:tc>
          <w:tcPr>
            <w:tcW w:w="2340" w:type="dxa"/>
            <w:tcBorders>
              <w:left w:val="single" w:sz="12" w:space="0" w:color="auto"/>
              <w:bottom w:val="single" w:sz="12" w:space="0" w:color="auto"/>
              <w:right w:val="single" w:sz="12" w:space="0" w:color="auto"/>
            </w:tcBorders>
          </w:tcPr>
          <w:p w:rsidR="00657F12" w:rsidRPr="00D56253" w:rsidRDefault="00657F12" w:rsidP="003F5749">
            <w:pPr>
              <w:pStyle w:val="BodyText"/>
              <w:spacing w:before="0" w:line="240" w:lineRule="auto"/>
              <w:rPr>
                <w:rFonts w:ascii="Times New Roman" w:hAnsi="Times New Roman"/>
                <w:sz w:val="18"/>
                <w:szCs w:val="18"/>
                <w:lang w:val="en-US"/>
              </w:rPr>
            </w:pPr>
            <w:r w:rsidRPr="00D56253">
              <w:rPr>
                <w:rFonts w:ascii="Times New Roman" w:hAnsi="Times New Roman"/>
                <w:b/>
                <w:sz w:val="18"/>
                <w:szCs w:val="18"/>
                <w:lang w:val="en-US"/>
              </w:rPr>
              <w:t>IDH</w:t>
            </w:r>
            <w:r w:rsidRPr="00D56253">
              <w:rPr>
                <w:rFonts w:ascii="Times New Roman" w:hAnsi="Times New Roman"/>
                <w:sz w:val="18"/>
                <w:szCs w:val="18"/>
                <w:lang w:val="en-US"/>
              </w:rPr>
              <w:t>, % treatments</w:t>
            </w:r>
          </w:p>
        </w:tc>
        <w:tc>
          <w:tcPr>
            <w:tcW w:w="1256" w:type="dxa"/>
            <w:tcBorders>
              <w:left w:val="single" w:sz="12" w:space="0" w:color="auto"/>
              <w:bottom w:val="single" w:sz="12" w:space="0" w:color="auto"/>
            </w:tcBorders>
          </w:tcPr>
          <w:p w:rsidR="00657F12" w:rsidRPr="00D56253" w:rsidRDefault="00657F12" w:rsidP="003F5749">
            <w:pPr>
              <w:pStyle w:val="BodyText"/>
              <w:spacing w:before="0" w:line="240" w:lineRule="auto"/>
              <w:jc w:val="center"/>
              <w:rPr>
                <w:rFonts w:ascii="Times New Roman" w:hAnsi="Times New Roman"/>
                <w:sz w:val="18"/>
                <w:szCs w:val="18"/>
                <w:lang w:val="en-US"/>
              </w:rPr>
            </w:pPr>
            <w:r w:rsidRPr="00D56253">
              <w:rPr>
                <w:rFonts w:ascii="Times New Roman" w:hAnsi="Times New Roman"/>
                <w:sz w:val="18"/>
                <w:szCs w:val="18"/>
                <w:lang w:val="en-US"/>
              </w:rPr>
              <w:t>18.1 ± 22.8</w:t>
            </w:r>
          </w:p>
        </w:tc>
        <w:tc>
          <w:tcPr>
            <w:tcW w:w="1257" w:type="dxa"/>
            <w:tcBorders>
              <w:bottom w:val="single" w:sz="12" w:space="0" w:color="auto"/>
            </w:tcBorders>
          </w:tcPr>
          <w:p w:rsidR="00657F12" w:rsidRPr="00D56253" w:rsidRDefault="00657F12" w:rsidP="003F5749">
            <w:pPr>
              <w:pStyle w:val="BodyText"/>
              <w:spacing w:before="0" w:line="240" w:lineRule="auto"/>
              <w:jc w:val="center"/>
              <w:rPr>
                <w:rFonts w:ascii="Times New Roman" w:hAnsi="Times New Roman"/>
                <w:sz w:val="18"/>
                <w:szCs w:val="18"/>
                <w:lang w:val="en-US"/>
              </w:rPr>
            </w:pPr>
            <w:r w:rsidRPr="00D56253">
              <w:rPr>
                <w:rFonts w:ascii="Times New Roman" w:hAnsi="Times New Roman"/>
                <w:sz w:val="18"/>
                <w:szCs w:val="18"/>
                <w:lang w:val="en-US"/>
              </w:rPr>
              <w:t>50.0 ± 31.3*</w:t>
            </w:r>
          </w:p>
        </w:tc>
        <w:tc>
          <w:tcPr>
            <w:tcW w:w="1256" w:type="dxa"/>
            <w:tcBorders>
              <w:left w:val="single" w:sz="12" w:space="0" w:color="auto"/>
              <w:bottom w:val="single" w:sz="12" w:space="0" w:color="auto"/>
            </w:tcBorders>
          </w:tcPr>
          <w:p w:rsidR="00657F12" w:rsidRPr="00D56253" w:rsidRDefault="00657F12" w:rsidP="003F5749">
            <w:pPr>
              <w:pStyle w:val="BodyText"/>
              <w:spacing w:before="0" w:line="240" w:lineRule="auto"/>
              <w:jc w:val="center"/>
              <w:rPr>
                <w:rFonts w:ascii="Times New Roman" w:hAnsi="Times New Roman"/>
                <w:sz w:val="18"/>
                <w:szCs w:val="18"/>
                <w:lang w:val="en-US"/>
              </w:rPr>
            </w:pPr>
            <w:r w:rsidRPr="00D56253">
              <w:rPr>
                <w:rFonts w:ascii="Times New Roman" w:hAnsi="Times New Roman"/>
                <w:sz w:val="18"/>
                <w:szCs w:val="18"/>
                <w:lang w:val="en-US"/>
              </w:rPr>
              <w:t>48.5 ± 30.9</w:t>
            </w:r>
          </w:p>
        </w:tc>
        <w:tc>
          <w:tcPr>
            <w:tcW w:w="1257" w:type="dxa"/>
            <w:tcBorders>
              <w:bottom w:val="single" w:sz="12" w:space="0" w:color="auto"/>
            </w:tcBorders>
          </w:tcPr>
          <w:p w:rsidR="00657F12" w:rsidRPr="00D56253" w:rsidRDefault="00657F12" w:rsidP="003F5749">
            <w:pPr>
              <w:pStyle w:val="BodyText"/>
              <w:spacing w:before="0" w:line="240" w:lineRule="auto"/>
              <w:jc w:val="center"/>
              <w:rPr>
                <w:rFonts w:ascii="Times New Roman" w:hAnsi="Times New Roman"/>
                <w:sz w:val="18"/>
                <w:szCs w:val="18"/>
                <w:lang w:val="en-US"/>
              </w:rPr>
            </w:pPr>
            <w:r w:rsidRPr="00D56253">
              <w:rPr>
                <w:rFonts w:ascii="Times New Roman" w:hAnsi="Times New Roman"/>
                <w:sz w:val="18"/>
                <w:szCs w:val="18"/>
                <w:lang w:val="en-US"/>
              </w:rPr>
              <w:t>49.3 ± 31.1</w:t>
            </w:r>
          </w:p>
        </w:tc>
        <w:tc>
          <w:tcPr>
            <w:tcW w:w="1256" w:type="dxa"/>
            <w:tcBorders>
              <w:bottom w:val="single" w:sz="12" w:space="0" w:color="auto"/>
            </w:tcBorders>
          </w:tcPr>
          <w:p w:rsidR="00657F12" w:rsidRPr="00D56253" w:rsidRDefault="00657F12" w:rsidP="003F5749">
            <w:pPr>
              <w:pStyle w:val="BodyText"/>
              <w:spacing w:before="0" w:line="240" w:lineRule="auto"/>
              <w:jc w:val="center"/>
              <w:rPr>
                <w:rFonts w:ascii="Times New Roman" w:hAnsi="Times New Roman"/>
                <w:sz w:val="18"/>
                <w:szCs w:val="18"/>
                <w:lang w:val="en-US"/>
              </w:rPr>
            </w:pPr>
            <w:r w:rsidRPr="00D56253">
              <w:rPr>
                <w:rFonts w:ascii="Times New Roman" w:hAnsi="Times New Roman"/>
                <w:sz w:val="18"/>
                <w:szCs w:val="18"/>
                <w:lang w:val="en-US"/>
              </w:rPr>
              <w:t>46.1 ± 31.3</w:t>
            </w:r>
          </w:p>
        </w:tc>
        <w:tc>
          <w:tcPr>
            <w:tcW w:w="1257" w:type="dxa"/>
            <w:tcBorders>
              <w:bottom w:val="single" w:sz="12" w:space="0" w:color="auto"/>
            </w:tcBorders>
          </w:tcPr>
          <w:p w:rsidR="00657F12" w:rsidRPr="00D56253" w:rsidRDefault="00657F12" w:rsidP="003F5749">
            <w:pPr>
              <w:pStyle w:val="BodyText"/>
              <w:spacing w:before="0" w:line="240" w:lineRule="auto"/>
              <w:jc w:val="center"/>
              <w:rPr>
                <w:rFonts w:ascii="Times New Roman" w:hAnsi="Times New Roman"/>
                <w:sz w:val="18"/>
                <w:szCs w:val="18"/>
                <w:lang w:val="en-US"/>
              </w:rPr>
            </w:pPr>
            <w:r w:rsidRPr="00D56253">
              <w:rPr>
                <w:rFonts w:ascii="Times New Roman" w:hAnsi="Times New Roman"/>
                <w:sz w:val="18"/>
                <w:szCs w:val="18"/>
                <w:lang w:val="en-US"/>
              </w:rPr>
              <w:t>53.4 ± 31.0*</w:t>
            </w:r>
          </w:p>
        </w:tc>
        <w:tc>
          <w:tcPr>
            <w:tcW w:w="1256" w:type="dxa"/>
            <w:tcBorders>
              <w:left w:val="single" w:sz="12" w:space="0" w:color="auto"/>
              <w:bottom w:val="single" w:sz="12" w:space="0" w:color="auto"/>
            </w:tcBorders>
          </w:tcPr>
          <w:p w:rsidR="00657F12" w:rsidRPr="00D56253" w:rsidRDefault="00657F12" w:rsidP="003F5749">
            <w:pPr>
              <w:pStyle w:val="BodyText"/>
              <w:spacing w:before="0" w:line="240" w:lineRule="auto"/>
              <w:jc w:val="center"/>
              <w:rPr>
                <w:rFonts w:ascii="Times New Roman" w:hAnsi="Times New Roman"/>
                <w:sz w:val="18"/>
                <w:szCs w:val="18"/>
                <w:lang w:val="en-US"/>
              </w:rPr>
            </w:pPr>
            <w:r w:rsidRPr="00D56253">
              <w:rPr>
                <w:rFonts w:ascii="Times New Roman" w:hAnsi="Times New Roman"/>
                <w:sz w:val="18"/>
                <w:szCs w:val="18"/>
                <w:lang w:val="en-US"/>
              </w:rPr>
              <w:t>49.8 ± 30.6</w:t>
            </w:r>
          </w:p>
        </w:tc>
        <w:tc>
          <w:tcPr>
            <w:tcW w:w="1257" w:type="dxa"/>
            <w:tcBorders>
              <w:bottom w:val="single" w:sz="12" w:space="0" w:color="auto"/>
              <w:right w:val="single" w:sz="12" w:space="0" w:color="auto"/>
            </w:tcBorders>
          </w:tcPr>
          <w:p w:rsidR="00657F12" w:rsidRPr="00D56253" w:rsidRDefault="00657F12" w:rsidP="003F5749">
            <w:pPr>
              <w:pStyle w:val="BodyText"/>
              <w:spacing w:before="0" w:line="240" w:lineRule="auto"/>
              <w:jc w:val="center"/>
              <w:rPr>
                <w:rFonts w:ascii="Times New Roman" w:hAnsi="Times New Roman"/>
                <w:sz w:val="18"/>
                <w:szCs w:val="18"/>
                <w:lang w:val="en-US"/>
              </w:rPr>
            </w:pPr>
            <w:r w:rsidRPr="00D56253">
              <w:rPr>
                <w:rFonts w:ascii="Times New Roman" w:hAnsi="Times New Roman"/>
                <w:sz w:val="18"/>
                <w:szCs w:val="18"/>
                <w:lang w:val="en-US"/>
              </w:rPr>
              <w:t>50.8 ± 30.6*</w:t>
            </w:r>
          </w:p>
        </w:tc>
      </w:tr>
      <w:tr w:rsidR="00657F12" w:rsidRPr="00D56253" w:rsidTr="003F5749">
        <w:tc>
          <w:tcPr>
            <w:tcW w:w="12392" w:type="dxa"/>
            <w:gridSpan w:val="9"/>
            <w:tcBorders>
              <w:left w:val="nil"/>
              <w:bottom w:val="nil"/>
              <w:right w:val="nil"/>
            </w:tcBorders>
          </w:tcPr>
          <w:p w:rsidR="00657F12" w:rsidRPr="00D56253" w:rsidRDefault="00657F12" w:rsidP="003F5749">
            <w:pPr>
              <w:pStyle w:val="BodyText"/>
              <w:spacing w:before="0" w:line="240" w:lineRule="auto"/>
              <w:rPr>
                <w:rFonts w:ascii="Times New Roman" w:hAnsi="Times New Roman"/>
                <w:sz w:val="16"/>
                <w:szCs w:val="16"/>
                <w:lang w:val="en-US"/>
              </w:rPr>
            </w:pPr>
            <w:r w:rsidRPr="00D56253">
              <w:rPr>
                <w:rFonts w:ascii="Times New Roman" w:hAnsi="Times New Roman"/>
                <w:sz w:val="16"/>
                <w:szCs w:val="16"/>
                <w:vertAlign w:val="superscript"/>
                <w:lang w:val="en-US"/>
              </w:rPr>
              <w:t>a</w:t>
            </w:r>
            <w:r w:rsidRPr="00D56253">
              <w:rPr>
                <w:rFonts w:ascii="Times New Roman" w:hAnsi="Times New Roman"/>
                <w:sz w:val="16"/>
                <w:szCs w:val="16"/>
                <w:lang w:val="en-US"/>
              </w:rPr>
              <w:t xml:space="preserve"> N represents patient-months, not unique patients</w:t>
            </w:r>
          </w:p>
          <w:p w:rsidR="00657F12" w:rsidRPr="00D56253" w:rsidRDefault="00657F12" w:rsidP="003F5749">
            <w:pPr>
              <w:pStyle w:val="BodyText"/>
              <w:spacing w:before="0" w:line="240" w:lineRule="auto"/>
              <w:rPr>
                <w:rFonts w:ascii="Times New Roman" w:hAnsi="Times New Roman"/>
                <w:sz w:val="16"/>
                <w:szCs w:val="16"/>
                <w:lang w:val="en-US"/>
              </w:rPr>
            </w:pPr>
            <w:r w:rsidRPr="00D56253">
              <w:rPr>
                <w:rFonts w:ascii="Times New Roman" w:hAnsi="Times New Roman"/>
                <w:sz w:val="16"/>
                <w:szCs w:val="16"/>
                <w:vertAlign w:val="superscript"/>
                <w:lang w:val="en-US"/>
              </w:rPr>
              <w:t>b</w:t>
            </w:r>
            <w:r w:rsidRPr="00D56253">
              <w:rPr>
                <w:rFonts w:ascii="Times New Roman" w:hAnsi="Times New Roman"/>
                <w:sz w:val="16"/>
                <w:szCs w:val="16"/>
                <w:lang w:val="en-US"/>
              </w:rPr>
              <w:t xml:space="preserve"> N represents unique patients</w:t>
            </w:r>
          </w:p>
          <w:p w:rsidR="00657F12" w:rsidRPr="00D56253" w:rsidRDefault="00657F12" w:rsidP="003F5749">
            <w:pPr>
              <w:pStyle w:val="BodyText"/>
              <w:spacing w:before="0" w:line="240" w:lineRule="auto"/>
              <w:rPr>
                <w:rFonts w:ascii="Times New Roman" w:hAnsi="Times New Roman"/>
                <w:sz w:val="16"/>
                <w:szCs w:val="16"/>
                <w:lang w:val="en-US"/>
              </w:rPr>
            </w:pPr>
            <w:r w:rsidRPr="00D56253">
              <w:rPr>
                <w:rFonts w:ascii="Times New Roman" w:hAnsi="Times New Roman"/>
                <w:sz w:val="16"/>
                <w:szCs w:val="16"/>
                <w:vertAlign w:val="superscript"/>
                <w:lang w:val="en-US"/>
              </w:rPr>
              <w:t>c</w:t>
            </w:r>
            <w:r w:rsidRPr="00D56253">
              <w:rPr>
                <w:rFonts w:ascii="Times New Roman" w:hAnsi="Times New Roman"/>
                <w:sz w:val="16"/>
                <w:szCs w:val="16"/>
                <w:lang w:val="en-US"/>
              </w:rPr>
              <w:t xml:space="preserve"> Values presented are as of time of matching</w:t>
            </w:r>
            <w:r>
              <w:rPr>
                <w:rFonts w:ascii="Times New Roman" w:hAnsi="Times New Roman"/>
                <w:sz w:val="16"/>
                <w:szCs w:val="16"/>
                <w:lang w:val="en-US"/>
              </w:rPr>
              <w:t xml:space="preserve"> (</w:t>
            </w:r>
            <w:proofErr w:type="spellStart"/>
            <w:r>
              <w:rPr>
                <w:rFonts w:ascii="Times New Roman" w:hAnsi="Times New Roman"/>
                <w:sz w:val="16"/>
                <w:szCs w:val="16"/>
                <w:lang w:val="en-US"/>
              </w:rPr>
              <w:t>ie</w:t>
            </w:r>
            <w:proofErr w:type="spellEnd"/>
            <w:r>
              <w:rPr>
                <w:rFonts w:ascii="Times New Roman" w:hAnsi="Times New Roman"/>
                <w:sz w:val="16"/>
                <w:szCs w:val="16"/>
                <w:lang w:val="en-US"/>
              </w:rPr>
              <w:t>, considering data as of the start of the calendar month)</w:t>
            </w:r>
          </w:p>
          <w:p w:rsidR="00657F12" w:rsidRPr="00D56253" w:rsidRDefault="00657F12" w:rsidP="003F5749">
            <w:pPr>
              <w:pStyle w:val="BodyText"/>
              <w:spacing w:before="0" w:line="240" w:lineRule="auto"/>
              <w:rPr>
                <w:rFonts w:ascii="Times New Roman" w:hAnsi="Times New Roman"/>
                <w:sz w:val="16"/>
                <w:szCs w:val="16"/>
                <w:lang w:val="en-US"/>
              </w:rPr>
            </w:pPr>
            <w:r w:rsidRPr="00D56253">
              <w:rPr>
                <w:rFonts w:ascii="Times New Roman" w:hAnsi="Times New Roman"/>
                <w:sz w:val="16"/>
                <w:szCs w:val="16"/>
                <w:vertAlign w:val="superscript"/>
                <w:lang w:val="en-US"/>
              </w:rPr>
              <w:t>d</w:t>
            </w:r>
            <w:r w:rsidRPr="00D56253">
              <w:rPr>
                <w:rFonts w:ascii="Times New Roman" w:hAnsi="Times New Roman"/>
                <w:sz w:val="16"/>
                <w:szCs w:val="16"/>
                <w:lang w:val="en-US"/>
              </w:rPr>
              <w:t xml:space="preserve"> Values presented are as of </w:t>
            </w:r>
            <w:r>
              <w:rPr>
                <w:rFonts w:ascii="Times New Roman" w:hAnsi="Times New Roman"/>
                <w:sz w:val="16"/>
                <w:szCs w:val="16"/>
                <w:lang w:val="en-US"/>
              </w:rPr>
              <w:t>index date</w:t>
            </w:r>
          </w:p>
          <w:p w:rsidR="00657F12" w:rsidRPr="00D56253" w:rsidRDefault="00657F12" w:rsidP="003F5749">
            <w:pPr>
              <w:pStyle w:val="BodyText"/>
              <w:spacing w:before="0" w:line="240" w:lineRule="auto"/>
              <w:rPr>
                <w:rFonts w:ascii="Times New Roman" w:hAnsi="Times New Roman"/>
                <w:sz w:val="16"/>
                <w:szCs w:val="16"/>
                <w:lang w:val="en-US"/>
              </w:rPr>
            </w:pPr>
            <w:r w:rsidRPr="00D56253">
              <w:rPr>
                <w:rFonts w:ascii="Times New Roman" w:hAnsi="Times New Roman"/>
                <w:sz w:val="16"/>
                <w:szCs w:val="16"/>
                <w:vertAlign w:val="superscript"/>
                <w:lang w:val="en-US"/>
              </w:rPr>
              <w:t xml:space="preserve">e </w:t>
            </w:r>
            <w:r w:rsidRPr="00D56253">
              <w:rPr>
                <w:rFonts w:ascii="Times New Roman" w:hAnsi="Times New Roman"/>
                <w:sz w:val="16"/>
                <w:szCs w:val="16"/>
                <w:lang w:val="en-US"/>
              </w:rPr>
              <w:t xml:space="preserve">Includes only </w:t>
            </w:r>
            <w:r>
              <w:rPr>
                <w:rFonts w:ascii="Times New Roman" w:hAnsi="Times New Roman"/>
                <w:sz w:val="16"/>
                <w:szCs w:val="16"/>
                <w:lang w:val="en-US"/>
              </w:rPr>
              <w:t>matched groups among whom index date occurred within the first 10 days of the month</w:t>
            </w:r>
          </w:p>
          <w:p w:rsidR="00657F12" w:rsidRPr="00D56253" w:rsidRDefault="00657F12" w:rsidP="003F5749">
            <w:pPr>
              <w:pStyle w:val="BodyText"/>
              <w:spacing w:before="0" w:line="240" w:lineRule="auto"/>
              <w:rPr>
                <w:rFonts w:ascii="Times New Roman" w:hAnsi="Times New Roman"/>
                <w:sz w:val="16"/>
                <w:szCs w:val="16"/>
                <w:lang w:val="en-US"/>
              </w:rPr>
            </w:pPr>
            <w:r w:rsidRPr="00D56253">
              <w:rPr>
                <w:rFonts w:ascii="Times New Roman" w:hAnsi="Times New Roman"/>
                <w:sz w:val="16"/>
                <w:szCs w:val="16"/>
                <w:lang w:val="en-US"/>
              </w:rPr>
              <w:t>*Significantly different than control within the cohort, p&lt;0.05</w:t>
            </w:r>
          </w:p>
          <w:p w:rsidR="00657F12" w:rsidRPr="00D56253" w:rsidRDefault="00657F12" w:rsidP="003F5749">
            <w:pPr>
              <w:pStyle w:val="BodyText"/>
              <w:spacing w:before="0" w:line="240" w:lineRule="auto"/>
              <w:rPr>
                <w:rFonts w:ascii="Times New Roman" w:hAnsi="Times New Roman"/>
                <w:sz w:val="16"/>
                <w:szCs w:val="16"/>
                <w:lang w:val="en-US"/>
              </w:rPr>
            </w:pPr>
            <w:r w:rsidRPr="00D56253">
              <w:rPr>
                <w:rFonts w:ascii="Times New Roman" w:hAnsi="Times New Roman"/>
                <w:sz w:val="16"/>
                <w:szCs w:val="16"/>
                <w:lang w:val="en-US"/>
              </w:rPr>
              <w:t xml:space="preserve"> </w:t>
            </w:r>
          </w:p>
          <w:p w:rsidR="00657F12" w:rsidRPr="00D56253" w:rsidRDefault="00657F12" w:rsidP="003F5749">
            <w:pPr>
              <w:pStyle w:val="BodyText"/>
              <w:spacing w:before="0" w:line="240" w:lineRule="auto"/>
              <w:rPr>
                <w:rFonts w:ascii="Times New Roman" w:hAnsi="Times New Roman"/>
                <w:sz w:val="18"/>
                <w:szCs w:val="18"/>
                <w:lang w:val="en-US"/>
              </w:rPr>
            </w:pPr>
            <w:r w:rsidRPr="00D56253">
              <w:rPr>
                <w:rFonts w:ascii="Times New Roman" w:hAnsi="Times New Roman"/>
                <w:sz w:val="16"/>
                <w:szCs w:val="16"/>
                <w:lang w:val="en-US"/>
              </w:rPr>
              <w:t>Abbreviations: IDH, intradialytic hypotension; SBP, systolic blood pressure; SD, standard deviation</w:t>
            </w:r>
          </w:p>
        </w:tc>
      </w:tr>
    </w:tbl>
    <w:p w:rsidR="00657F12" w:rsidRDefault="00657F12" w:rsidP="00657F12">
      <w:pPr>
        <w:rPr>
          <w:b/>
        </w:rPr>
        <w:sectPr w:rsidR="00657F12" w:rsidSect="003F5749">
          <w:pgSz w:w="15840" w:h="12240" w:orient="landscape"/>
          <w:pgMar w:top="1440" w:right="1440" w:bottom="1440" w:left="1440" w:header="720" w:footer="720" w:gutter="0"/>
          <w:cols w:space="720"/>
          <w:docGrid w:linePitch="360"/>
        </w:sectPr>
      </w:pPr>
    </w:p>
    <w:p w:rsidR="00657F12" w:rsidRPr="006E7B9D" w:rsidRDefault="00657F12" w:rsidP="00657F12">
      <w:pPr>
        <w:pStyle w:val="Caption"/>
        <w:keepNext/>
        <w:rPr>
          <w:rFonts w:ascii="Times New Roman" w:eastAsia="Times New Roman" w:hAnsi="Times New Roman" w:cs="Times New Roman"/>
          <w:b/>
          <w:i w:val="0"/>
          <w:iCs w:val="0"/>
          <w:color w:val="auto"/>
          <w:sz w:val="22"/>
          <w:szCs w:val="22"/>
        </w:rPr>
      </w:pPr>
      <w:r w:rsidRPr="006E7B9D">
        <w:rPr>
          <w:rFonts w:ascii="Times New Roman" w:eastAsia="Times New Roman" w:hAnsi="Times New Roman" w:cs="Times New Roman"/>
          <w:b/>
          <w:i w:val="0"/>
          <w:iCs w:val="0"/>
          <w:color w:val="auto"/>
          <w:sz w:val="22"/>
          <w:szCs w:val="22"/>
        </w:rPr>
        <w:lastRenderedPageBreak/>
        <w:t>Figure</w:t>
      </w:r>
      <w:r>
        <w:rPr>
          <w:rFonts w:ascii="Times New Roman" w:eastAsia="Times New Roman" w:hAnsi="Times New Roman" w:cs="Times New Roman"/>
          <w:b/>
          <w:i w:val="0"/>
          <w:iCs w:val="0"/>
          <w:color w:val="auto"/>
          <w:sz w:val="22"/>
          <w:szCs w:val="22"/>
        </w:rPr>
        <w:t xml:space="preserve"> S1:</w:t>
      </w:r>
      <w:r>
        <w:rPr>
          <w:rFonts w:ascii="Times New Roman" w:eastAsia="Times New Roman" w:hAnsi="Times New Roman" w:cs="Times New Roman"/>
          <w:b/>
          <w:i w:val="0"/>
          <w:iCs w:val="0"/>
          <w:color w:val="auto"/>
          <w:sz w:val="22"/>
          <w:szCs w:val="22"/>
        </w:rPr>
        <w:tab/>
        <w:t>Study s</w:t>
      </w:r>
      <w:r w:rsidRPr="006E7B9D">
        <w:rPr>
          <w:rFonts w:ascii="Times New Roman" w:eastAsia="Times New Roman" w:hAnsi="Times New Roman" w:cs="Times New Roman"/>
          <w:b/>
          <w:i w:val="0"/>
          <w:iCs w:val="0"/>
          <w:color w:val="auto"/>
          <w:sz w:val="22"/>
          <w:szCs w:val="22"/>
        </w:rPr>
        <w:t>chema</w:t>
      </w:r>
    </w:p>
    <w:p w:rsidR="00657F12" w:rsidRDefault="00657F12" w:rsidP="00657F12">
      <w:r>
        <w:rPr>
          <w:noProof/>
        </w:rPr>
        <w:drawing>
          <wp:inline distT="0" distB="0" distL="0" distR="0" wp14:anchorId="158DDA4C" wp14:editId="7DFC5213">
            <wp:extent cx="5943600" cy="22967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dodrine_MS_Figur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296795"/>
                    </a:xfrm>
                    <a:prstGeom prst="rect">
                      <a:avLst/>
                    </a:prstGeom>
                  </pic:spPr>
                </pic:pic>
              </a:graphicData>
            </a:graphic>
          </wp:inline>
        </w:drawing>
      </w:r>
    </w:p>
    <w:p w:rsidR="00657F12" w:rsidRPr="0053666E" w:rsidRDefault="00657F12" w:rsidP="00657F12">
      <w:pPr>
        <w:spacing w:line="480" w:lineRule="auto"/>
        <w:rPr>
          <w:rFonts w:ascii="Times New Roman" w:eastAsia="Times New Roman" w:hAnsi="Times New Roman" w:cs="Times New Roman"/>
        </w:rPr>
      </w:pPr>
      <w:r>
        <w:rPr>
          <w:rFonts w:ascii="Times New Roman" w:eastAsia="Times New Roman" w:hAnsi="Times New Roman" w:cs="Times New Roman"/>
        </w:rPr>
        <w:t>A schematic of the study design is presented. Index date was defined as the date of the first visible midodrine order for exposed patients, and the corresponding date for controls. Matching was conducted on the basis of characteristics as observed in the month prior to the index date (study month 0). Thus, within the matched cohort, up to 30 days could have occurred between the end of study month 0 and the index date itself (matched cohort, grey double-headed arrow). Because significant drift in the values of these critical variables was observed between study month 0 and study month 1 (see Table S1 and Figure S2), the analytic cohort was restricted to those patient clusters for whom the index date was ≤10 days from the beginning of study month 1 (analytic cohort, grey double-headed arrow).</w:t>
      </w:r>
    </w:p>
    <w:p w:rsidR="00657F12" w:rsidRPr="00C7360E" w:rsidRDefault="00657F12" w:rsidP="00657F12">
      <w:pPr>
        <w:pageBreakBefore/>
        <w:rPr>
          <w:rFonts w:ascii="Times New Roman" w:eastAsia="Times New Roman" w:hAnsi="Times New Roman" w:cs="Times New Roman"/>
          <w:b/>
          <w:sz w:val="18"/>
          <w:szCs w:val="18"/>
        </w:rPr>
      </w:pPr>
      <w:r w:rsidRPr="00D93BC7">
        <w:rPr>
          <w:rFonts w:ascii="Times New Roman" w:eastAsia="Times New Roman" w:hAnsi="Times New Roman" w:cs="Times New Roman"/>
          <w:b/>
        </w:rPr>
        <w:lastRenderedPageBreak/>
        <w:t>Figure</w:t>
      </w:r>
      <w:r>
        <w:rPr>
          <w:rFonts w:ascii="Times New Roman" w:eastAsia="Times New Roman" w:hAnsi="Times New Roman" w:cs="Times New Roman"/>
          <w:b/>
        </w:rPr>
        <w:t xml:space="preserve"> S2</w:t>
      </w:r>
      <w:r w:rsidRPr="00D93BC7">
        <w:rPr>
          <w:rFonts w:ascii="Times New Roman" w:eastAsia="Times New Roman" w:hAnsi="Times New Roman" w:cs="Times New Roman"/>
          <w:b/>
        </w:rPr>
        <w:t>:</w:t>
      </w:r>
      <w:r w:rsidRPr="00D93BC7">
        <w:rPr>
          <w:rFonts w:ascii="Times New Roman" w:eastAsia="Times New Roman" w:hAnsi="Times New Roman" w:cs="Times New Roman"/>
          <w:b/>
        </w:rPr>
        <w:tab/>
        <w:t>Vintage and blood pressure characteristics in study cohort</w:t>
      </w:r>
    </w:p>
    <w:p w:rsidR="00657F12" w:rsidRDefault="00657F12" w:rsidP="00657F12">
      <w:r>
        <w:rPr>
          <w:noProof/>
        </w:rPr>
        <w:drawing>
          <wp:inline distT="0" distB="0" distL="0" distR="0" wp14:anchorId="53E59325" wp14:editId="294AD02E">
            <wp:extent cx="3910013" cy="29985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dodrine_MS_Figure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0795" cy="2999112"/>
                    </a:xfrm>
                    <a:prstGeom prst="rect">
                      <a:avLst/>
                    </a:prstGeom>
                  </pic:spPr>
                </pic:pic>
              </a:graphicData>
            </a:graphic>
          </wp:inline>
        </w:drawing>
      </w:r>
    </w:p>
    <w:p w:rsidR="00657F12" w:rsidRDefault="00657F12" w:rsidP="00657F12"/>
    <w:p w:rsidR="003F5749" w:rsidRDefault="00657F12" w:rsidP="00657F12">
      <w:pPr>
        <w:pStyle w:val="Caption"/>
        <w:keepNext/>
        <w:spacing w:line="480" w:lineRule="auto"/>
        <w:rPr>
          <w:rFonts w:ascii="Times New Roman" w:eastAsia="Times New Roman" w:hAnsi="Times New Roman" w:cs="Times New Roman"/>
          <w:i w:val="0"/>
          <w:iCs w:val="0"/>
          <w:color w:val="auto"/>
          <w:sz w:val="22"/>
          <w:szCs w:val="22"/>
        </w:rPr>
      </w:pPr>
      <w:r>
        <w:rPr>
          <w:rFonts w:ascii="Times New Roman" w:eastAsia="Times New Roman" w:hAnsi="Times New Roman" w:cs="Times New Roman"/>
          <w:i w:val="0"/>
          <w:iCs w:val="0"/>
          <w:color w:val="auto"/>
          <w:sz w:val="22"/>
          <w:szCs w:val="22"/>
        </w:rPr>
        <w:t xml:space="preserve">A) Values of standardized difference for dialysis vintage, pre-dialysis systolic blood pressure (SBP), nadir SBP, and percent of treatments affected by intradialytic hypotension in the unmatched cohort are presented. Dashed grey lines indicate standardized differences of + and -10%; differences of greater magnitude than this are considered indicative a high likelihood of confounding. B) </w:t>
      </w:r>
      <w:proofErr w:type="gramStart"/>
      <w:r>
        <w:rPr>
          <w:rFonts w:ascii="Times New Roman" w:eastAsia="Times New Roman" w:hAnsi="Times New Roman" w:cs="Times New Roman"/>
          <w:i w:val="0"/>
          <w:iCs w:val="0"/>
          <w:color w:val="auto"/>
          <w:sz w:val="22"/>
          <w:szCs w:val="22"/>
        </w:rPr>
        <w:t>as</w:t>
      </w:r>
      <w:proofErr w:type="gramEnd"/>
      <w:r>
        <w:rPr>
          <w:rFonts w:ascii="Times New Roman" w:eastAsia="Times New Roman" w:hAnsi="Times New Roman" w:cs="Times New Roman"/>
          <w:i w:val="0"/>
          <w:iCs w:val="0"/>
          <w:color w:val="auto"/>
          <w:sz w:val="22"/>
          <w:szCs w:val="22"/>
        </w:rPr>
        <w:t xml:space="preserve"> for A, but considering the matched cohort as of study month 0 (see </w:t>
      </w:r>
      <w:r w:rsidRPr="00685389">
        <w:rPr>
          <w:rFonts w:ascii="Times New Roman" w:eastAsia="Times New Roman" w:hAnsi="Times New Roman" w:cs="Times New Roman"/>
          <w:b/>
          <w:i w:val="0"/>
          <w:iCs w:val="0"/>
          <w:color w:val="auto"/>
          <w:sz w:val="22"/>
          <w:szCs w:val="22"/>
        </w:rPr>
        <w:t>Figure S1</w:t>
      </w:r>
      <w:r>
        <w:rPr>
          <w:rFonts w:ascii="Times New Roman" w:eastAsia="Times New Roman" w:hAnsi="Times New Roman" w:cs="Times New Roman"/>
          <w:i w:val="0"/>
          <w:iCs w:val="0"/>
          <w:color w:val="auto"/>
          <w:sz w:val="22"/>
          <w:szCs w:val="22"/>
        </w:rPr>
        <w:t xml:space="preserve">). C) As for A, but considering the matched cohort as of index (study month 1, </w:t>
      </w:r>
      <w:r w:rsidRPr="00685389">
        <w:rPr>
          <w:rFonts w:ascii="Times New Roman" w:eastAsia="Times New Roman" w:hAnsi="Times New Roman" w:cs="Times New Roman"/>
          <w:b/>
          <w:i w:val="0"/>
          <w:iCs w:val="0"/>
          <w:color w:val="auto"/>
          <w:sz w:val="22"/>
          <w:szCs w:val="22"/>
        </w:rPr>
        <w:t>Figure S1</w:t>
      </w:r>
      <w:r>
        <w:rPr>
          <w:rFonts w:ascii="Times New Roman" w:eastAsia="Times New Roman" w:hAnsi="Times New Roman" w:cs="Times New Roman"/>
          <w:i w:val="0"/>
          <w:iCs w:val="0"/>
          <w:color w:val="auto"/>
          <w:sz w:val="22"/>
          <w:szCs w:val="22"/>
        </w:rPr>
        <w:t xml:space="preserve">). D) Analytic cohort, considered as of index (study month 1, </w:t>
      </w:r>
      <w:r w:rsidRPr="00685389">
        <w:rPr>
          <w:rFonts w:ascii="Times New Roman" w:eastAsia="Times New Roman" w:hAnsi="Times New Roman" w:cs="Times New Roman"/>
          <w:b/>
          <w:i w:val="0"/>
          <w:iCs w:val="0"/>
          <w:color w:val="auto"/>
          <w:sz w:val="22"/>
          <w:szCs w:val="22"/>
        </w:rPr>
        <w:t>Figure S1</w:t>
      </w:r>
      <w:r>
        <w:rPr>
          <w:rFonts w:ascii="Times New Roman" w:eastAsia="Times New Roman" w:hAnsi="Times New Roman" w:cs="Times New Roman"/>
          <w:i w:val="0"/>
          <w:iCs w:val="0"/>
          <w:color w:val="auto"/>
          <w:sz w:val="22"/>
          <w:szCs w:val="22"/>
        </w:rPr>
        <w:t>).</w:t>
      </w:r>
    </w:p>
    <w:p w:rsidR="003F5749" w:rsidRDefault="003F5749">
      <w:pPr>
        <w:rPr>
          <w:rFonts w:ascii="Times New Roman" w:eastAsia="Times New Roman" w:hAnsi="Times New Roman" w:cs="Times New Roman"/>
        </w:rPr>
      </w:pPr>
      <w:r>
        <w:rPr>
          <w:rFonts w:ascii="Times New Roman" w:eastAsia="Times New Roman" w:hAnsi="Times New Roman" w:cs="Times New Roman"/>
          <w:i/>
          <w:iCs/>
        </w:rPr>
        <w:br w:type="page"/>
      </w:r>
    </w:p>
    <w:p w:rsidR="00657F12" w:rsidRDefault="003F5749" w:rsidP="003F5749">
      <w:pPr>
        <w:pStyle w:val="Caption"/>
        <w:keepNext/>
        <w:rPr>
          <w:rFonts w:ascii="Times New Roman" w:eastAsia="Times New Roman" w:hAnsi="Times New Roman" w:cs="Times New Roman"/>
          <w:b/>
          <w:i w:val="0"/>
          <w:iCs w:val="0"/>
          <w:color w:val="auto"/>
          <w:sz w:val="22"/>
          <w:szCs w:val="22"/>
        </w:rPr>
      </w:pPr>
      <w:r w:rsidRPr="003F5749">
        <w:rPr>
          <w:rFonts w:ascii="Times New Roman" w:eastAsia="Times New Roman" w:hAnsi="Times New Roman" w:cs="Times New Roman"/>
          <w:b/>
          <w:i w:val="0"/>
          <w:iCs w:val="0"/>
          <w:color w:val="auto"/>
          <w:sz w:val="22"/>
          <w:szCs w:val="22"/>
        </w:rPr>
        <w:lastRenderedPageBreak/>
        <w:t>Figure S3: Hospitalization and Mortality by Midodrine Exposure Status among Specified Patient Subsets</w:t>
      </w:r>
      <w:r>
        <w:rPr>
          <w:rFonts w:ascii="Times New Roman" w:eastAsia="Times New Roman" w:hAnsi="Times New Roman" w:cs="Times New Roman"/>
          <w:i w:val="0"/>
          <w:iCs w:val="0"/>
          <w:noProof/>
          <w:color w:val="auto"/>
          <w:sz w:val="22"/>
          <w:szCs w:val="22"/>
        </w:rPr>
        <w:drawing>
          <wp:inline distT="0" distB="0" distL="0" distR="0">
            <wp:extent cx="5943600" cy="1985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atified Outcom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985645"/>
                    </a:xfrm>
                    <a:prstGeom prst="rect">
                      <a:avLst/>
                    </a:prstGeom>
                  </pic:spPr>
                </pic:pic>
              </a:graphicData>
            </a:graphic>
          </wp:inline>
        </w:drawing>
      </w:r>
    </w:p>
    <w:p w:rsidR="00D15914" w:rsidRDefault="00D15914" w:rsidP="00D15914">
      <w:pPr>
        <w:rPr>
          <w:rFonts w:ascii="Times New Roman" w:hAnsi="Times New Roman" w:cs="Times New Roman"/>
        </w:rPr>
      </w:pPr>
      <w:r w:rsidRPr="00D15914">
        <w:rPr>
          <w:rFonts w:ascii="Times New Roman" w:hAnsi="Times New Roman" w:cs="Times New Roman"/>
        </w:rPr>
        <w:t>A) Point estimates for the adjusted incidence rate ratio and corresponding 95% confidence intervals for the outcome of hospitalization are displayed for the indicated patient subgroups, referent to control (</w:t>
      </w:r>
      <w:proofErr w:type="spellStart"/>
      <w:r w:rsidRPr="00D15914">
        <w:rPr>
          <w:rFonts w:ascii="Times New Roman" w:hAnsi="Times New Roman" w:cs="Times New Roman"/>
        </w:rPr>
        <w:t>ie</w:t>
      </w:r>
      <w:proofErr w:type="spellEnd"/>
      <w:r w:rsidRPr="00D15914">
        <w:rPr>
          <w:rFonts w:ascii="Times New Roman" w:hAnsi="Times New Roman" w:cs="Times New Roman"/>
        </w:rPr>
        <w:t xml:space="preserve"> no midodrine exposure) in each case. Comparisons were adjusted as described in the Methods section. B) </w:t>
      </w:r>
      <w:r w:rsidRPr="00D15914">
        <w:rPr>
          <w:rFonts w:ascii="Times New Roman" w:hAnsi="Times New Roman" w:cs="Times New Roman"/>
        </w:rPr>
        <w:t xml:space="preserve">Point estimates for the adjusted incidence rate ratio and corresponding 95% confidence intervals for the outcome of </w:t>
      </w:r>
      <w:r w:rsidRPr="00D15914">
        <w:rPr>
          <w:rFonts w:ascii="Times New Roman" w:hAnsi="Times New Roman" w:cs="Times New Roman"/>
        </w:rPr>
        <w:t>mortality</w:t>
      </w:r>
      <w:r w:rsidRPr="00D15914">
        <w:rPr>
          <w:rFonts w:ascii="Times New Roman" w:hAnsi="Times New Roman" w:cs="Times New Roman"/>
        </w:rPr>
        <w:t xml:space="preserve"> are displayed for the indicated patient </w:t>
      </w:r>
      <w:r w:rsidRPr="00D15914">
        <w:rPr>
          <w:rFonts w:ascii="Times New Roman" w:hAnsi="Times New Roman" w:cs="Times New Roman"/>
        </w:rPr>
        <w:t>subgroups</w:t>
      </w:r>
      <w:r w:rsidRPr="00D15914">
        <w:rPr>
          <w:rFonts w:ascii="Times New Roman" w:hAnsi="Times New Roman" w:cs="Times New Roman"/>
        </w:rPr>
        <w:t>, referent to control (</w:t>
      </w:r>
      <w:proofErr w:type="spellStart"/>
      <w:r w:rsidRPr="00D15914">
        <w:rPr>
          <w:rFonts w:ascii="Times New Roman" w:hAnsi="Times New Roman" w:cs="Times New Roman"/>
        </w:rPr>
        <w:t>ie</w:t>
      </w:r>
      <w:proofErr w:type="spellEnd"/>
      <w:r w:rsidRPr="00D15914">
        <w:rPr>
          <w:rFonts w:ascii="Times New Roman" w:hAnsi="Times New Roman" w:cs="Times New Roman"/>
        </w:rPr>
        <w:t xml:space="preserve"> no midodrine exposure) in each case.</w:t>
      </w:r>
    </w:p>
    <w:p w:rsidR="00A8440E" w:rsidRPr="00D15914" w:rsidRDefault="00A8440E" w:rsidP="00D15914">
      <w:pPr>
        <w:rPr>
          <w:rFonts w:ascii="Times New Roman" w:hAnsi="Times New Roman" w:cs="Times New Roman"/>
        </w:rPr>
      </w:pPr>
      <w:r>
        <w:rPr>
          <w:rFonts w:ascii="Times New Roman" w:hAnsi="Times New Roman" w:cs="Times New Roman"/>
        </w:rPr>
        <w:t>**model did not converge</w:t>
      </w:r>
      <w:bookmarkStart w:id="0" w:name="_GoBack"/>
      <w:bookmarkEnd w:id="0"/>
    </w:p>
    <w:p w:rsidR="00D15914" w:rsidRPr="00D15914" w:rsidRDefault="00D15914" w:rsidP="00D15914">
      <w:pPr>
        <w:rPr>
          <w:rFonts w:ascii="Times New Roman" w:hAnsi="Times New Roman" w:cs="Times New Roman"/>
        </w:rPr>
      </w:pPr>
      <w:r w:rsidRPr="00D15914">
        <w:rPr>
          <w:rFonts w:ascii="Times New Roman" w:hAnsi="Times New Roman" w:cs="Times New Roman"/>
        </w:rPr>
        <w:t>Abbreviations: CI, confidence interval; IRR, incidence rate ratio</w:t>
      </w:r>
    </w:p>
    <w:p w:rsidR="00657F12" w:rsidRDefault="00657F12" w:rsidP="00657F12"/>
    <w:p w:rsidR="00657F12" w:rsidRDefault="00657F12" w:rsidP="00657F12">
      <w:pPr>
        <w:rPr>
          <w:rFonts w:ascii="Times New Roman" w:eastAsia="Times New Roman" w:hAnsi="Times New Roman" w:cs="Times New Roman"/>
          <w:b/>
          <w:i/>
          <w:iCs/>
        </w:rPr>
      </w:pPr>
    </w:p>
    <w:p w:rsidR="003F5749" w:rsidRDefault="003F5749"/>
    <w:sectPr w:rsidR="003F5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12"/>
    <w:rsid w:val="00124D30"/>
    <w:rsid w:val="003F5749"/>
    <w:rsid w:val="005A63BF"/>
    <w:rsid w:val="00657F12"/>
    <w:rsid w:val="00834D10"/>
    <w:rsid w:val="00835A91"/>
    <w:rsid w:val="008B387D"/>
    <w:rsid w:val="009970C0"/>
    <w:rsid w:val="00A8440E"/>
    <w:rsid w:val="00A9615B"/>
    <w:rsid w:val="00C349D5"/>
    <w:rsid w:val="00D15914"/>
    <w:rsid w:val="00D22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AE1ED-19B7-4A88-BDB2-A36DF350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57F12"/>
    <w:pPr>
      <w:spacing w:before="240" w:after="0" w:line="360" w:lineRule="auto"/>
    </w:pPr>
    <w:rPr>
      <w:rFonts w:ascii="Calibri" w:eastAsia="Times New Roman" w:hAnsi="Calibri" w:cs="Times New Roman"/>
      <w:sz w:val="24"/>
      <w:szCs w:val="24"/>
      <w:lang w:val="x-none" w:eastAsia="x-none"/>
    </w:rPr>
  </w:style>
  <w:style w:type="character" w:customStyle="1" w:styleId="BodyTextChar">
    <w:name w:val="Body Text Char"/>
    <w:basedOn w:val="DefaultParagraphFont"/>
    <w:link w:val="BodyText"/>
    <w:rsid w:val="00657F12"/>
    <w:rPr>
      <w:rFonts w:ascii="Calibri" w:eastAsia="Times New Roman" w:hAnsi="Calibri" w:cs="Times New Roman"/>
      <w:sz w:val="24"/>
      <w:szCs w:val="24"/>
      <w:lang w:val="x-none" w:eastAsia="x-none"/>
    </w:rPr>
  </w:style>
  <w:style w:type="table" w:styleId="TableGrid">
    <w:name w:val="Table Grid"/>
    <w:basedOn w:val="TableNormal"/>
    <w:uiPriority w:val="59"/>
    <w:rsid w:val="00657F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57F12"/>
    <w:pPr>
      <w:spacing w:after="200" w:line="240" w:lineRule="auto"/>
    </w:pPr>
    <w:rPr>
      <w:i/>
      <w:iCs/>
      <w:color w:val="44546A" w:themeColor="text2"/>
      <w:sz w:val="18"/>
      <w:szCs w:val="18"/>
    </w:rPr>
  </w:style>
  <w:style w:type="paragraph" w:styleId="ListParagraph">
    <w:name w:val="List Paragraph"/>
    <w:basedOn w:val="Normal"/>
    <w:uiPriority w:val="34"/>
    <w:qFormat/>
    <w:rsid w:val="00D15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DaVita HealthCare Partners, Inc.</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Cohen</dc:creator>
  <cp:keywords/>
  <dc:description/>
  <cp:lastModifiedBy>Dena Cohen</cp:lastModifiedBy>
  <cp:revision>3</cp:revision>
  <dcterms:created xsi:type="dcterms:W3CDTF">2018-07-31T18:40:00Z</dcterms:created>
  <dcterms:modified xsi:type="dcterms:W3CDTF">2018-10-18T21:03:00Z</dcterms:modified>
</cp:coreProperties>
</file>