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0"/>
        <w:gridCol w:w="1260"/>
        <w:gridCol w:w="3330"/>
        <w:gridCol w:w="2970"/>
      </w:tblGrid>
      <w:tr w:rsidR="006D4DD1" w:rsidRPr="00BE4987" w:rsidTr="00B83252">
        <w:trPr>
          <w:trHeight w:val="53"/>
        </w:trPr>
        <w:tc>
          <w:tcPr>
            <w:tcW w:w="909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4DD1" w:rsidRPr="00BE4987" w:rsidRDefault="006D4DD1" w:rsidP="006D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Supplemental Table 2.</w:t>
            </w:r>
            <w:r w:rsidRPr="00BE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Consensus list of actionable single nucleotide variants 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rs#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b/>
                <w:iCs/>
                <w:kern w:val="24"/>
                <w:sz w:val="24"/>
                <w:szCs w:val="24"/>
              </w:rPr>
              <w:t>Gene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Associated Disease</w:t>
            </w:r>
          </w:p>
        </w:tc>
        <w:tc>
          <w:tcPr>
            <w:tcW w:w="2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Disease Category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rs77931234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ACADM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Medium-chain acyl-CoA dehydrogenase (MCAD) deficiency</w:t>
            </w:r>
          </w:p>
        </w:tc>
        <w:tc>
          <w:tcPr>
            <w:tcW w:w="2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6D4DD1" w:rsidRPr="00BE4987" w:rsidTr="00B83252">
        <w:trPr>
          <w:trHeight w:val="109"/>
        </w:trPr>
        <w:tc>
          <w:tcPr>
            <w:tcW w:w="15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rs387906225</w:t>
            </w:r>
          </w:p>
        </w:tc>
        <w:tc>
          <w:tcPr>
            <w:tcW w:w="126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ALDOB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Hereditary fructose intolerance</w:t>
            </w:r>
          </w:p>
        </w:tc>
        <w:tc>
          <w:tcPr>
            <w:tcW w:w="297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rs386834233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BCKDHB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Maple syrup urine disease</w:t>
            </w:r>
          </w:p>
        </w:tc>
        <w:tc>
          <w:tcPr>
            <w:tcW w:w="2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rs79761867</w:t>
            </w:r>
          </w:p>
        </w:tc>
        <w:tc>
          <w:tcPr>
            <w:tcW w:w="126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BCKDHB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Maple syrup urine disease</w:t>
            </w:r>
          </w:p>
        </w:tc>
        <w:tc>
          <w:tcPr>
            <w:tcW w:w="297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rs80338898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FAH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Tyrosinemia type I</w:t>
            </w:r>
          </w:p>
        </w:tc>
        <w:tc>
          <w:tcPr>
            <w:tcW w:w="2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rs1801175</w:t>
            </w:r>
          </w:p>
        </w:tc>
        <w:tc>
          <w:tcPr>
            <w:tcW w:w="126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G6PC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Glycogen storage disease type I</w:t>
            </w:r>
          </w:p>
        </w:tc>
        <w:tc>
          <w:tcPr>
            <w:tcW w:w="297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rs397509431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CPT2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Carnitine palmitoyltransferase II (CPT II) deficiency</w:t>
            </w:r>
          </w:p>
        </w:tc>
        <w:tc>
          <w:tcPr>
            <w:tcW w:w="2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rs113993962</w:t>
            </w:r>
          </w:p>
        </w:tc>
        <w:tc>
          <w:tcPr>
            <w:tcW w:w="126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BLM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Bloom Syndrome</w:t>
            </w:r>
          </w:p>
        </w:tc>
        <w:tc>
          <w:tcPr>
            <w:tcW w:w="297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Cancer susceptibility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rs193922376</w:t>
            </w:r>
          </w:p>
        </w:tc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MSH2</w:t>
            </w:r>
          </w:p>
        </w:tc>
        <w:tc>
          <w:tcPr>
            <w:tcW w:w="333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Lynch syndrome</w:t>
            </w: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Cancer susceptibility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rs6467</w:t>
            </w:r>
          </w:p>
        </w:tc>
        <w:tc>
          <w:tcPr>
            <w:tcW w:w="126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CYP21A2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21-hydroxylase deficiency</w:t>
            </w:r>
          </w:p>
        </w:tc>
        <w:tc>
          <w:tcPr>
            <w:tcW w:w="297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Endocrinology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rs6025</w:t>
            </w:r>
          </w:p>
        </w:tc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F5</w:t>
            </w:r>
          </w:p>
        </w:tc>
        <w:tc>
          <w:tcPr>
            <w:tcW w:w="333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factor V Leiden thrombophilia</w:t>
            </w: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Thrombophilia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rs1800562</w:t>
            </w:r>
          </w:p>
        </w:tc>
        <w:tc>
          <w:tcPr>
            <w:tcW w:w="126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HFE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Hereditary hemochromatosis</w:t>
            </w:r>
          </w:p>
        </w:tc>
        <w:tc>
          <w:tcPr>
            <w:tcW w:w="297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Iron storage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rs28940579</w:t>
            </w:r>
          </w:p>
        </w:tc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MEFV</w:t>
            </w:r>
          </w:p>
        </w:tc>
        <w:tc>
          <w:tcPr>
            <w:tcW w:w="333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Familial Mediterranean fever</w:t>
            </w: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Inflammatory</w:t>
            </w:r>
          </w:p>
        </w:tc>
      </w:tr>
      <w:tr w:rsidR="006D4DD1" w:rsidRPr="00BE4987" w:rsidTr="00B83252">
        <w:trPr>
          <w:trHeight w:val="39"/>
        </w:trPr>
        <w:tc>
          <w:tcPr>
            <w:tcW w:w="15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rs61752717</w:t>
            </w:r>
          </w:p>
        </w:tc>
        <w:tc>
          <w:tcPr>
            <w:tcW w:w="126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MEFV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Familial Mediterranean fever</w:t>
            </w:r>
          </w:p>
        </w:tc>
        <w:tc>
          <w:tcPr>
            <w:tcW w:w="297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D1" w:rsidRPr="00BE4987" w:rsidRDefault="006D4DD1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Inflammatory</w:t>
            </w:r>
          </w:p>
        </w:tc>
      </w:tr>
    </w:tbl>
    <w:p w:rsidR="006D4DD1" w:rsidRPr="00BE4987" w:rsidRDefault="006D4DD1" w:rsidP="006D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DD1" w:rsidRDefault="006D4DD1" w:rsidP="006D4D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4987">
        <w:rPr>
          <w:rFonts w:ascii="Times New Roman" w:hAnsi="Times New Roman" w:cs="Times New Roman"/>
          <w:bCs/>
          <w:sz w:val="24"/>
          <w:szCs w:val="24"/>
        </w:rPr>
        <w:t xml:space="preserve">Only bi-allelic (homozygous, or if applicable compound heterozygous) variants will be returned. </w:t>
      </w:r>
    </w:p>
    <w:p w:rsidR="006D4DD1" w:rsidRPr="0084149C" w:rsidRDefault="006D4DD1" w:rsidP="006D4D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4987">
        <w:rPr>
          <w:rFonts w:ascii="Times New Roman" w:hAnsi="Times New Roman" w:cs="Times New Roman"/>
          <w:bCs/>
          <w:sz w:val="24"/>
          <w:szCs w:val="24"/>
        </w:rPr>
        <w:t>Mode of inheritance is autosomal recessive except #=autosomal dominant and *=risk increased.</w:t>
      </w:r>
    </w:p>
    <w:p w:rsidR="00B249C1" w:rsidRDefault="00B249C1">
      <w:bookmarkStart w:id="0" w:name="_GoBack"/>
      <w:bookmarkEnd w:id="0"/>
    </w:p>
    <w:sectPr w:rsidR="00B249C1" w:rsidSect="002E6313">
      <w:headerReference w:type="default" r:id="rId5"/>
      <w:footerReference w:type="default" r:id="rId6"/>
      <w:pgSz w:w="12240" w:h="15840" w:code="1"/>
      <w:pgMar w:top="144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4629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86A" w:rsidRPr="00DE7E33" w:rsidRDefault="006D4DD1">
        <w:pPr>
          <w:pStyle w:val="Footer"/>
          <w:jc w:val="right"/>
          <w:rPr>
            <w:rFonts w:ascii="Times New Roman" w:hAnsi="Times New Roman" w:cs="Times New Roman"/>
          </w:rPr>
        </w:pPr>
        <w:r w:rsidRPr="00DE7E33">
          <w:rPr>
            <w:rFonts w:ascii="Times New Roman" w:hAnsi="Times New Roman" w:cs="Times New Roman"/>
            <w:color w:val="000000" w:themeColor="text1"/>
          </w:rPr>
          <w:t>Kullo et al</w:t>
        </w:r>
        <w:r w:rsidRPr="00DE7E33">
          <w:rPr>
            <w:rFonts w:ascii="Times New Roman" w:hAnsi="Times New Roman" w:cs="Times New Roman"/>
          </w:rPr>
          <w:tab/>
        </w:r>
        <w:r w:rsidRPr="00DE7E33">
          <w:rPr>
            <w:rFonts w:ascii="Times New Roman" w:hAnsi="Times New Roman" w:cs="Times New Roman"/>
          </w:rPr>
          <w:fldChar w:fldCharType="begin"/>
        </w:r>
        <w:r w:rsidRPr="00DE7E33">
          <w:rPr>
            <w:rFonts w:ascii="Times New Roman" w:hAnsi="Times New Roman" w:cs="Times New Roman"/>
          </w:rPr>
          <w:instrText xml:space="preserve"> PAGE   \* MERGEFORMAT </w:instrText>
        </w:r>
        <w:r w:rsidRPr="00DE7E3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E7E3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C086A" w:rsidRDefault="006D4DD1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6A" w:rsidRDefault="006D4DD1" w:rsidP="00517F9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D1"/>
    <w:rsid w:val="006D4DD1"/>
    <w:rsid w:val="00B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7F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D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DD1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DD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D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DD1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DD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Macintosh Word</Application>
  <DocSecurity>0</DocSecurity>
  <Lines>9</Lines>
  <Paragraphs>2</Paragraphs>
  <ScaleCrop>false</ScaleCrop>
  <Company>ASU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Gabe</cp:lastModifiedBy>
  <cp:revision>1</cp:revision>
  <dcterms:created xsi:type="dcterms:W3CDTF">2018-03-02T19:37:00Z</dcterms:created>
  <dcterms:modified xsi:type="dcterms:W3CDTF">2018-03-02T19:38:00Z</dcterms:modified>
</cp:coreProperties>
</file>