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34" w:rsidRDefault="00803C34" w:rsidP="00CB7081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Supplementary Materials</w:t>
      </w:r>
    </w:p>
    <w:p w:rsidR="00861945" w:rsidRPr="00CB7081" w:rsidRDefault="00440511" w:rsidP="00CB7081">
      <w:pPr>
        <w:spacing w:line="480" w:lineRule="auto"/>
        <w:rPr>
          <w:rFonts w:ascii="Times New Roman" w:hAnsi="Times New Roman" w:cs="Times New Roman"/>
          <w:b/>
        </w:rPr>
      </w:pPr>
      <w:r w:rsidRPr="00CB7081">
        <w:rPr>
          <w:rFonts w:ascii="Times New Roman" w:hAnsi="Times New Roman" w:cs="Times New Roman"/>
          <w:b/>
        </w:rPr>
        <w:t>Summary of Eligib</w:t>
      </w:r>
      <w:r w:rsidR="00EE0C75" w:rsidRPr="00CB7081">
        <w:rPr>
          <w:rFonts w:ascii="Times New Roman" w:hAnsi="Times New Roman" w:cs="Times New Roman"/>
          <w:b/>
        </w:rPr>
        <w:t>ility</w:t>
      </w:r>
      <w:r w:rsidRPr="00CB7081">
        <w:rPr>
          <w:rFonts w:ascii="Times New Roman" w:hAnsi="Times New Roman" w:cs="Times New Roman"/>
          <w:b/>
        </w:rPr>
        <w:t xml:space="preserve"> Criteria</w:t>
      </w:r>
    </w:p>
    <w:p w:rsidR="00861945" w:rsidRDefault="00EE0C75" w:rsidP="00CB7081">
      <w:pPr>
        <w:spacing w:line="48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</w:t>
      </w:r>
      <w:r w:rsidR="00861945" w:rsidRPr="006D0A35">
        <w:rPr>
          <w:rFonts w:ascii="Times New Roman" w:hAnsi="Times New Roman" w:cs="Times New Roman"/>
          <w:szCs w:val="21"/>
        </w:rPr>
        <w:t>ligib</w:t>
      </w:r>
      <w:r>
        <w:rPr>
          <w:rFonts w:ascii="Times New Roman" w:hAnsi="Times New Roman" w:cs="Times New Roman"/>
          <w:szCs w:val="21"/>
        </w:rPr>
        <w:t>ility criteria</w:t>
      </w:r>
      <w:r w:rsidR="00861945" w:rsidRPr="006D0A35">
        <w:rPr>
          <w:rFonts w:ascii="Times New Roman" w:hAnsi="Times New Roman" w:cs="Times New Roman"/>
          <w:szCs w:val="21"/>
        </w:rPr>
        <w:t xml:space="preserve"> for Period 1</w:t>
      </w:r>
      <w:r>
        <w:rPr>
          <w:rFonts w:ascii="Times New Roman" w:hAnsi="Times New Roman" w:cs="Times New Roman"/>
          <w:szCs w:val="21"/>
        </w:rPr>
        <w:t>:</w:t>
      </w:r>
      <w:r w:rsidR="00861945" w:rsidRPr="006D0A35">
        <w:rPr>
          <w:rFonts w:ascii="Times New Roman" w:hAnsi="Times New Roman" w:cs="Times New Roman"/>
          <w:szCs w:val="21"/>
        </w:rPr>
        <w:t xml:space="preserve"> Japanese</w:t>
      </w:r>
      <w:r>
        <w:rPr>
          <w:rFonts w:ascii="Times New Roman" w:hAnsi="Times New Roman" w:cs="Times New Roman"/>
          <w:szCs w:val="21"/>
        </w:rPr>
        <w:t>,</w:t>
      </w:r>
      <w:r w:rsidR="00861945" w:rsidRPr="006D0A35">
        <w:rPr>
          <w:rFonts w:ascii="Times New Roman" w:hAnsi="Times New Roman" w:cs="Times New Roman"/>
          <w:szCs w:val="21"/>
        </w:rPr>
        <w:t xml:space="preserve"> aged </w:t>
      </w:r>
      <w:r w:rsidR="00861945" w:rsidRPr="006D0A35">
        <w:rPr>
          <w:rFonts w:ascii="Times New Roman" w:hAnsi="Times New Roman" w:cs="Times New Roman"/>
          <w:szCs w:val="21"/>
        </w:rPr>
        <w:sym w:font="Symbol" w:char="F0B3"/>
      </w:r>
      <w:r w:rsidR="00861945" w:rsidRPr="006D0A35">
        <w:rPr>
          <w:rFonts w:ascii="Times New Roman" w:hAnsi="Times New Roman" w:cs="Times New Roman"/>
          <w:szCs w:val="21"/>
        </w:rPr>
        <w:t xml:space="preserve">20 years with </w:t>
      </w:r>
      <w:r w:rsidR="00870DDF" w:rsidRPr="00870DDF">
        <w:rPr>
          <w:rFonts w:ascii="Times New Roman" w:hAnsi="Times New Roman" w:cs="Times New Roman"/>
          <w:szCs w:val="21"/>
        </w:rPr>
        <w:t>chronic kidney disease</w:t>
      </w:r>
      <w:r w:rsidR="00870DDF">
        <w:rPr>
          <w:rFonts w:ascii="Times New Roman" w:hAnsi="Times New Roman" w:cs="Times New Roman"/>
          <w:szCs w:val="21"/>
        </w:rPr>
        <w:t xml:space="preserve"> (</w:t>
      </w:r>
      <w:r w:rsidR="00861945" w:rsidRPr="006D0A35">
        <w:rPr>
          <w:rFonts w:ascii="Times New Roman" w:hAnsi="Times New Roman" w:cs="Times New Roman"/>
          <w:szCs w:val="21"/>
        </w:rPr>
        <w:t>CKD</w:t>
      </w:r>
      <w:r w:rsidR="00870DDF">
        <w:rPr>
          <w:rFonts w:ascii="Times New Roman" w:hAnsi="Times New Roman" w:cs="Times New Roman"/>
          <w:szCs w:val="21"/>
        </w:rPr>
        <w:t>)</w:t>
      </w:r>
      <w:r w:rsidR="00861945" w:rsidRPr="006D0A35">
        <w:rPr>
          <w:rFonts w:ascii="Times New Roman" w:hAnsi="Times New Roman" w:cs="Times New Roman"/>
          <w:szCs w:val="21"/>
        </w:rPr>
        <w:t xml:space="preserve"> not on dialysis (</w:t>
      </w:r>
      <w:r w:rsidR="00870DDF">
        <w:rPr>
          <w:rFonts w:ascii="Times New Roman" w:hAnsi="Times New Roman" w:cs="Times New Roman"/>
          <w:szCs w:val="21"/>
        </w:rPr>
        <w:t>estimated glo</w:t>
      </w:r>
      <w:r w:rsidR="00870DDF" w:rsidRPr="00870DDF">
        <w:rPr>
          <w:rFonts w:ascii="Times New Roman" w:hAnsi="Times New Roman" w:cs="Times New Roman"/>
          <w:szCs w:val="21"/>
        </w:rPr>
        <w:t>merular filtration rate</w:t>
      </w:r>
      <w:r w:rsidR="00861945" w:rsidRPr="006D0A35">
        <w:rPr>
          <w:rFonts w:ascii="Times New Roman" w:hAnsi="Times New Roman" w:cs="Times New Roman"/>
          <w:szCs w:val="21"/>
        </w:rPr>
        <w:t xml:space="preserve"> &lt;60 mL/min/1.73 m</w:t>
      </w:r>
      <w:r w:rsidR="00861945" w:rsidRPr="006D0A35">
        <w:rPr>
          <w:rFonts w:ascii="Times New Roman" w:hAnsi="Times New Roman" w:cs="Times New Roman"/>
          <w:szCs w:val="21"/>
          <w:vertAlign w:val="superscript"/>
        </w:rPr>
        <w:t>2</w:t>
      </w:r>
      <w:r w:rsidR="00861945" w:rsidRPr="006D0A35">
        <w:rPr>
          <w:rFonts w:ascii="Times New Roman" w:hAnsi="Times New Roman" w:cs="Times New Roman"/>
          <w:szCs w:val="21"/>
        </w:rPr>
        <w:t>) and unlikely to require dialysis or renal tra</w:t>
      </w:r>
      <w:r w:rsidR="00861945">
        <w:rPr>
          <w:rFonts w:ascii="Times New Roman" w:hAnsi="Times New Roman" w:cs="Times New Roman"/>
          <w:szCs w:val="21"/>
        </w:rPr>
        <w:t>nsplantation before completion.</w:t>
      </w:r>
    </w:p>
    <w:p w:rsidR="00861945" w:rsidRDefault="00305735" w:rsidP="00CB7081">
      <w:pPr>
        <w:spacing w:line="48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Major i</w:t>
      </w:r>
      <w:r w:rsidR="00861945" w:rsidRPr="006D0A35">
        <w:rPr>
          <w:rFonts w:ascii="Times New Roman" w:hAnsi="Times New Roman" w:cs="Times New Roman"/>
          <w:szCs w:val="21"/>
        </w:rPr>
        <w:t>nclusion criteria for Period 1</w:t>
      </w:r>
      <w:r w:rsidR="00440511">
        <w:rPr>
          <w:rFonts w:ascii="Times New Roman" w:hAnsi="Times New Roman" w:cs="Times New Roman" w:hint="eastAsia"/>
          <w:szCs w:val="21"/>
        </w:rPr>
        <w:t>:</w:t>
      </w:r>
      <w:r w:rsidR="00CB7081">
        <w:rPr>
          <w:rFonts w:ascii="Times New Roman" w:hAnsi="Times New Roman" w:cs="Times New Roman"/>
          <w:szCs w:val="21"/>
        </w:rPr>
        <w:t xml:space="preserve"> mean </w:t>
      </w:r>
      <w:proofErr w:type="spellStart"/>
      <w:r w:rsidR="00CB7081">
        <w:rPr>
          <w:rFonts w:ascii="Times New Roman" w:hAnsi="Times New Roman" w:cs="Times New Roman"/>
          <w:szCs w:val="21"/>
        </w:rPr>
        <w:t>Hb</w:t>
      </w:r>
      <w:proofErr w:type="spellEnd"/>
      <w:r w:rsidR="00EE0C75">
        <w:rPr>
          <w:rFonts w:ascii="Times New Roman" w:hAnsi="Times New Roman" w:cs="Times New Roman"/>
          <w:szCs w:val="21"/>
        </w:rPr>
        <w:t xml:space="preserve"> </w:t>
      </w:r>
      <w:r w:rsidR="00861945" w:rsidRPr="006D0A35">
        <w:rPr>
          <w:rFonts w:ascii="Times New Roman" w:hAnsi="Times New Roman" w:cs="Times New Roman"/>
          <w:szCs w:val="21"/>
        </w:rPr>
        <w:t>at Scr</w:t>
      </w:r>
      <w:r w:rsidR="00870DDF">
        <w:rPr>
          <w:rFonts w:ascii="Times New Roman" w:hAnsi="Times New Roman" w:cs="Times New Roman"/>
          <w:szCs w:val="21"/>
        </w:rPr>
        <w:t>eening (</w:t>
      </w:r>
      <w:proofErr w:type="spellStart"/>
      <w:r w:rsidR="00870DDF">
        <w:rPr>
          <w:rFonts w:ascii="Times New Roman" w:hAnsi="Times New Roman" w:cs="Times New Roman"/>
          <w:szCs w:val="21"/>
        </w:rPr>
        <w:t>Scr</w:t>
      </w:r>
      <w:proofErr w:type="spellEnd"/>
      <w:r w:rsidR="00870DDF">
        <w:rPr>
          <w:rFonts w:ascii="Times New Roman" w:hAnsi="Times New Roman" w:cs="Times New Roman"/>
          <w:szCs w:val="21"/>
        </w:rPr>
        <w:t>)</w:t>
      </w:r>
      <w:r w:rsidR="00861945" w:rsidRPr="006D0A35">
        <w:rPr>
          <w:rFonts w:ascii="Times New Roman" w:hAnsi="Times New Roman" w:cs="Times New Roman"/>
          <w:szCs w:val="21"/>
        </w:rPr>
        <w:t xml:space="preserve"> Visit 1</w:t>
      </w:r>
      <w:r w:rsidR="00AB4364">
        <w:rPr>
          <w:rFonts w:ascii="Times New Roman" w:hAnsi="Times New Roman" w:cs="Times New Roman"/>
          <w:szCs w:val="21"/>
        </w:rPr>
        <w:t xml:space="preserve"> and </w:t>
      </w:r>
      <w:proofErr w:type="spellStart"/>
      <w:r w:rsidR="00AB4364">
        <w:rPr>
          <w:rFonts w:ascii="Times New Roman" w:hAnsi="Times New Roman" w:cs="Times New Roman" w:hint="eastAsia"/>
          <w:szCs w:val="21"/>
        </w:rPr>
        <w:t>Scr</w:t>
      </w:r>
      <w:proofErr w:type="spellEnd"/>
      <w:r w:rsidR="00AB4364">
        <w:rPr>
          <w:rFonts w:ascii="Times New Roman" w:hAnsi="Times New Roman" w:cs="Times New Roman" w:hint="eastAsia"/>
          <w:szCs w:val="21"/>
        </w:rPr>
        <w:t xml:space="preserve"> Visit 2</w:t>
      </w:r>
      <w:r w:rsidR="00861945" w:rsidRPr="006D0A35">
        <w:rPr>
          <w:rFonts w:ascii="Times New Roman" w:hAnsi="Times New Roman" w:cs="Times New Roman"/>
          <w:szCs w:val="21"/>
        </w:rPr>
        <w:t xml:space="preserve"> of 8</w:t>
      </w:r>
      <w:r w:rsidR="00EF0EFD">
        <w:rPr>
          <w:rFonts w:ascii="Times New Roman" w:hAnsi="Times New Roman" w:cs="Times New Roman" w:hint="eastAsia"/>
          <w:szCs w:val="21"/>
        </w:rPr>
        <w:t>.</w:t>
      </w:r>
      <w:r w:rsidR="00861945" w:rsidRPr="006D0A35">
        <w:rPr>
          <w:rFonts w:ascii="Times New Roman" w:hAnsi="Times New Roman" w:cs="Times New Roman"/>
          <w:szCs w:val="21"/>
        </w:rPr>
        <w:t>0–10</w:t>
      </w:r>
      <w:r w:rsidR="00EF0EFD">
        <w:rPr>
          <w:rFonts w:ascii="Times New Roman" w:hAnsi="Times New Roman" w:cs="Times New Roman" w:hint="eastAsia"/>
          <w:szCs w:val="21"/>
        </w:rPr>
        <w:t>.</w:t>
      </w:r>
      <w:r w:rsidR="00861945" w:rsidRPr="006D0A35">
        <w:rPr>
          <w:rFonts w:ascii="Times New Roman" w:hAnsi="Times New Roman" w:cs="Times New Roman"/>
          <w:szCs w:val="21"/>
        </w:rPr>
        <w:t>5 g/</w:t>
      </w:r>
      <w:proofErr w:type="spellStart"/>
      <w:r w:rsidR="00EF0EFD">
        <w:rPr>
          <w:rFonts w:ascii="Times New Roman" w:hAnsi="Times New Roman" w:cs="Times New Roman" w:hint="eastAsia"/>
          <w:szCs w:val="21"/>
        </w:rPr>
        <w:t>d</w:t>
      </w:r>
      <w:r w:rsidR="00861945" w:rsidRPr="006D0A35">
        <w:rPr>
          <w:rFonts w:ascii="Times New Roman" w:hAnsi="Times New Roman" w:cs="Times New Roman"/>
          <w:szCs w:val="21"/>
        </w:rPr>
        <w:t>L</w:t>
      </w:r>
      <w:proofErr w:type="spellEnd"/>
      <w:r w:rsidR="00861945" w:rsidRPr="006D0A35">
        <w:rPr>
          <w:rFonts w:ascii="Times New Roman" w:hAnsi="Times New Roman" w:cs="Times New Roman"/>
          <w:szCs w:val="21"/>
        </w:rPr>
        <w:t xml:space="preserve"> for the correction group and 9</w:t>
      </w:r>
      <w:r w:rsidR="00EF0EFD">
        <w:rPr>
          <w:rFonts w:ascii="Times New Roman" w:hAnsi="Times New Roman" w:cs="Times New Roman" w:hint="eastAsia"/>
          <w:szCs w:val="21"/>
        </w:rPr>
        <w:t>.</w:t>
      </w:r>
      <w:r w:rsidR="00861945" w:rsidRPr="006D0A35">
        <w:rPr>
          <w:rFonts w:ascii="Times New Roman" w:hAnsi="Times New Roman" w:cs="Times New Roman"/>
          <w:szCs w:val="21"/>
        </w:rPr>
        <w:t>5–12</w:t>
      </w:r>
      <w:r w:rsidR="00EF0EFD">
        <w:rPr>
          <w:rFonts w:ascii="Times New Roman" w:hAnsi="Times New Roman" w:cs="Times New Roman" w:hint="eastAsia"/>
          <w:szCs w:val="21"/>
        </w:rPr>
        <w:t>.</w:t>
      </w:r>
      <w:r w:rsidR="00861945" w:rsidRPr="006D0A35">
        <w:rPr>
          <w:rFonts w:ascii="Times New Roman" w:hAnsi="Times New Roman" w:cs="Times New Roman"/>
          <w:szCs w:val="21"/>
        </w:rPr>
        <w:t>0 g/</w:t>
      </w:r>
      <w:proofErr w:type="spellStart"/>
      <w:r w:rsidR="00EF0EFD">
        <w:rPr>
          <w:rFonts w:ascii="Times New Roman" w:hAnsi="Times New Roman" w:cs="Times New Roman" w:hint="eastAsia"/>
          <w:szCs w:val="21"/>
        </w:rPr>
        <w:t>d</w:t>
      </w:r>
      <w:r w:rsidR="00861945" w:rsidRPr="006D0A35">
        <w:rPr>
          <w:rFonts w:ascii="Times New Roman" w:hAnsi="Times New Roman" w:cs="Times New Roman"/>
          <w:szCs w:val="21"/>
        </w:rPr>
        <w:t>L</w:t>
      </w:r>
      <w:proofErr w:type="spellEnd"/>
      <w:r w:rsidR="00861945" w:rsidRPr="006D0A35">
        <w:rPr>
          <w:rFonts w:ascii="Times New Roman" w:hAnsi="Times New Roman" w:cs="Times New Roman"/>
          <w:szCs w:val="21"/>
        </w:rPr>
        <w:t xml:space="preserve"> for the conversion group; absolute difference in </w:t>
      </w:r>
      <w:proofErr w:type="spellStart"/>
      <w:r w:rsidR="00861945" w:rsidRPr="006D0A35">
        <w:rPr>
          <w:rFonts w:ascii="Times New Roman" w:hAnsi="Times New Roman" w:cs="Times New Roman"/>
          <w:szCs w:val="21"/>
        </w:rPr>
        <w:t>Hb</w:t>
      </w:r>
      <w:proofErr w:type="spellEnd"/>
      <w:r w:rsidR="00861945" w:rsidRPr="006D0A35">
        <w:rPr>
          <w:rFonts w:ascii="Times New Roman" w:hAnsi="Times New Roman" w:cs="Times New Roman"/>
          <w:szCs w:val="21"/>
        </w:rPr>
        <w:t xml:space="preserve"> </w:t>
      </w:r>
      <w:r w:rsidR="00EE0C75">
        <w:rPr>
          <w:rFonts w:ascii="Times New Roman" w:hAnsi="Times New Roman" w:cs="Times New Roman"/>
          <w:szCs w:val="21"/>
        </w:rPr>
        <w:t>between</w:t>
      </w:r>
      <w:r w:rsidR="00861945" w:rsidRPr="006D0A35">
        <w:rPr>
          <w:rFonts w:ascii="Times New Roman" w:hAnsi="Times New Roman" w:cs="Times New Roman"/>
          <w:szCs w:val="21"/>
        </w:rPr>
        <w:t xml:space="preserve"> the two time points ≤1</w:t>
      </w:r>
      <w:r w:rsidR="00EF0EFD">
        <w:rPr>
          <w:rFonts w:ascii="Times New Roman" w:hAnsi="Times New Roman" w:cs="Times New Roman" w:hint="eastAsia"/>
          <w:szCs w:val="21"/>
        </w:rPr>
        <w:t>.</w:t>
      </w:r>
      <w:r w:rsidR="00861945" w:rsidRPr="006D0A35">
        <w:rPr>
          <w:rFonts w:ascii="Times New Roman" w:hAnsi="Times New Roman" w:cs="Times New Roman"/>
          <w:szCs w:val="21"/>
        </w:rPr>
        <w:t>0 g/</w:t>
      </w:r>
      <w:proofErr w:type="spellStart"/>
      <w:r w:rsidR="00EF0EFD">
        <w:rPr>
          <w:rFonts w:ascii="Times New Roman" w:hAnsi="Times New Roman" w:cs="Times New Roman" w:hint="eastAsia"/>
          <w:szCs w:val="21"/>
        </w:rPr>
        <w:t>d</w:t>
      </w:r>
      <w:r w:rsidR="00861945" w:rsidRPr="006D0A35">
        <w:rPr>
          <w:rFonts w:ascii="Times New Roman" w:hAnsi="Times New Roman" w:cs="Times New Roman"/>
          <w:szCs w:val="21"/>
        </w:rPr>
        <w:t>L</w:t>
      </w:r>
      <w:proofErr w:type="spellEnd"/>
      <w:r w:rsidR="00861945" w:rsidRPr="006D0A35">
        <w:rPr>
          <w:rFonts w:ascii="Times New Roman" w:hAnsi="Times New Roman" w:cs="Times New Roman"/>
          <w:szCs w:val="21"/>
        </w:rPr>
        <w:t xml:space="preserve"> </w:t>
      </w:r>
      <w:r w:rsidR="00EE0C75">
        <w:rPr>
          <w:rFonts w:ascii="Times New Roman" w:hAnsi="Times New Roman" w:cs="Times New Roman"/>
          <w:szCs w:val="21"/>
        </w:rPr>
        <w:t>in both</w:t>
      </w:r>
      <w:r w:rsidR="00861945" w:rsidRPr="006D0A35">
        <w:rPr>
          <w:rFonts w:ascii="Times New Roman" w:hAnsi="Times New Roman" w:cs="Times New Roman"/>
          <w:szCs w:val="21"/>
        </w:rPr>
        <w:t xml:space="preserve"> group</w:t>
      </w:r>
      <w:r w:rsidR="00EE0C75">
        <w:rPr>
          <w:rFonts w:ascii="Times New Roman" w:hAnsi="Times New Roman" w:cs="Times New Roman"/>
          <w:szCs w:val="21"/>
        </w:rPr>
        <w:t>s</w:t>
      </w:r>
      <w:r w:rsidR="00861945" w:rsidRPr="006D0A35">
        <w:rPr>
          <w:rFonts w:ascii="Times New Roman" w:hAnsi="Times New Roman" w:cs="Times New Roman"/>
          <w:szCs w:val="21"/>
        </w:rPr>
        <w:t>; transferrin saturation &gt;20% or ferritin &gt;50 </w:t>
      </w:r>
      <w:proofErr w:type="spellStart"/>
      <w:r w:rsidR="00EE0C75">
        <w:rPr>
          <w:rFonts w:ascii="Times New Roman" w:hAnsi="Times New Roman" w:cs="Times New Roman"/>
          <w:szCs w:val="21"/>
        </w:rPr>
        <w:t>μg</w:t>
      </w:r>
      <w:proofErr w:type="spellEnd"/>
      <w:r w:rsidR="00861945" w:rsidRPr="006D0A35">
        <w:rPr>
          <w:rFonts w:ascii="Times New Roman" w:hAnsi="Times New Roman" w:cs="Times New Roman"/>
          <w:szCs w:val="21"/>
        </w:rPr>
        <w:t xml:space="preserve">/L at </w:t>
      </w:r>
      <w:proofErr w:type="spellStart"/>
      <w:r w:rsidR="00861945" w:rsidRPr="006D0A35">
        <w:rPr>
          <w:rFonts w:ascii="Times New Roman" w:hAnsi="Times New Roman" w:cs="Times New Roman"/>
          <w:szCs w:val="21"/>
        </w:rPr>
        <w:t>Scr</w:t>
      </w:r>
      <w:proofErr w:type="spellEnd"/>
      <w:r w:rsidR="00861945" w:rsidRPr="006D0A35">
        <w:rPr>
          <w:rFonts w:ascii="Times New Roman" w:hAnsi="Times New Roman" w:cs="Times New Roman"/>
          <w:szCs w:val="21"/>
        </w:rPr>
        <w:t xml:space="preserve"> Visit 1; </w:t>
      </w:r>
      <w:r w:rsidR="00870DDF" w:rsidRPr="00870DDF">
        <w:rPr>
          <w:rFonts w:ascii="Times New Roman" w:hAnsi="Times New Roman" w:cs="Times New Roman"/>
          <w:szCs w:val="21"/>
        </w:rPr>
        <w:t>Erythropoiesis-stimulating agent</w:t>
      </w:r>
      <w:r w:rsidR="00861945" w:rsidRPr="006D0A35">
        <w:rPr>
          <w:rFonts w:ascii="Times New Roman" w:hAnsi="Times New Roman" w:cs="Times New Roman"/>
          <w:szCs w:val="21"/>
        </w:rPr>
        <w:t xml:space="preserve"> not received for </w:t>
      </w:r>
      <w:r w:rsidR="00861945" w:rsidRPr="006D0A35">
        <w:rPr>
          <w:rFonts w:ascii="Times New Roman" w:hAnsi="Times New Roman" w:cs="Times New Roman"/>
          <w:szCs w:val="21"/>
        </w:rPr>
        <w:sym w:font="Symbol" w:char="F0B3"/>
      </w:r>
      <w:r w:rsidR="00861945" w:rsidRPr="006D0A35">
        <w:rPr>
          <w:rFonts w:ascii="Times New Roman" w:hAnsi="Times New Roman" w:cs="Times New Roman"/>
          <w:szCs w:val="21"/>
        </w:rPr>
        <w:t xml:space="preserve">12 weeks before </w:t>
      </w:r>
      <w:proofErr w:type="spellStart"/>
      <w:r w:rsidR="00861945" w:rsidRPr="006D0A35">
        <w:rPr>
          <w:rFonts w:ascii="Times New Roman" w:hAnsi="Times New Roman" w:cs="Times New Roman"/>
          <w:szCs w:val="21"/>
        </w:rPr>
        <w:t>Scr</w:t>
      </w:r>
      <w:proofErr w:type="spellEnd"/>
      <w:r w:rsidR="00861945" w:rsidRPr="006D0A35">
        <w:rPr>
          <w:rFonts w:ascii="Times New Roman" w:hAnsi="Times New Roman" w:cs="Times New Roman"/>
          <w:szCs w:val="21"/>
        </w:rPr>
        <w:t xml:space="preserve"> Visit 1 for the correction group; stable </w:t>
      </w:r>
      <w:r w:rsidR="00870DDF" w:rsidRPr="00870DDF">
        <w:rPr>
          <w:rFonts w:ascii="Times New Roman" w:hAnsi="Times New Roman" w:cs="Times New Roman"/>
          <w:szCs w:val="21"/>
        </w:rPr>
        <w:t>Erythropoiesis-stimulating agent</w:t>
      </w:r>
      <w:r w:rsidR="00870DDF">
        <w:rPr>
          <w:rFonts w:ascii="Times New Roman" w:hAnsi="Times New Roman" w:cs="Times New Roman"/>
          <w:szCs w:val="21"/>
        </w:rPr>
        <w:t xml:space="preserve"> </w:t>
      </w:r>
      <w:r w:rsidR="00861945" w:rsidRPr="006D0A35">
        <w:rPr>
          <w:rFonts w:ascii="Times New Roman" w:hAnsi="Times New Roman" w:cs="Times New Roman"/>
          <w:szCs w:val="21"/>
        </w:rPr>
        <w:t xml:space="preserve">treatment for </w:t>
      </w:r>
      <w:r w:rsidR="00861945" w:rsidRPr="006D0A35">
        <w:rPr>
          <w:rFonts w:ascii="Times New Roman" w:hAnsi="Times New Roman" w:cs="Times New Roman"/>
          <w:szCs w:val="21"/>
        </w:rPr>
        <w:sym w:font="Symbol" w:char="F0B3"/>
      </w:r>
      <w:r w:rsidR="00861945" w:rsidRPr="006D0A35">
        <w:rPr>
          <w:rFonts w:ascii="Times New Roman" w:hAnsi="Times New Roman" w:cs="Times New Roman"/>
          <w:szCs w:val="21"/>
        </w:rPr>
        <w:t xml:space="preserve">8 weeks before </w:t>
      </w:r>
      <w:proofErr w:type="spellStart"/>
      <w:r w:rsidR="00861945" w:rsidRPr="006D0A35">
        <w:rPr>
          <w:rFonts w:ascii="Times New Roman" w:hAnsi="Times New Roman" w:cs="Times New Roman"/>
          <w:szCs w:val="21"/>
        </w:rPr>
        <w:t>Scr</w:t>
      </w:r>
      <w:proofErr w:type="spellEnd"/>
      <w:r w:rsidR="00861945" w:rsidRPr="006D0A35">
        <w:rPr>
          <w:rFonts w:ascii="Times New Roman" w:hAnsi="Times New Roman" w:cs="Times New Roman"/>
          <w:szCs w:val="21"/>
        </w:rPr>
        <w:t xml:space="preserve"> Visit 1 at a dosing interval of 2 or 4 weeks, the last </w:t>
      </w:r>
      <w:r w:rsidR="00EE0C75">
        <w:rPr>
          <w:rFonts w:ascii="Times New Roman" w:hAnsi="Times New Roman" w:cs="Times New Roman"/>
          <w:szCs w:val="21"/>
        </w:rPr>
        <w:t>two</w:t>
      </w:r>
      <w:r w:rsidR="00861945" w:rsidRPr="006D0A35">
        <w:rPr>
          <w:rFonts w:ascii="Times New Roman" w:hAnsi="Times New Roman" w:cs="Times New Roman"/>
          <w:szCs w:val="21"/>
        </w:rPr>
        <w:t xml:space="preserve"> doses before </w:t>
      </w:r>
      <w:proofErr w:type="spellStart"/>
      <w:r w:rsidR="00861945" w:rsidRPr="006D0A35">
        <w:rPr>
          <w:rFonts w:ascii="Times New Roman" w:hAnsi="Times New Roman" w:cs="Times New Roman"/>
          <w:szCs w:val="21"/>
        </w:rPr>
        <w:t>Scr</w:t>
      </w:r>
      <w:proofErr w:type="spellEnd"/>
      <w:r w:rsidR="00861945" w:rsidRPr="006D0A35">
        <w:rPr>
          <w:rFonts w:ascii="Times New Roman" w:hAnsi="Times New Roman" w:cs="Times New Roman"/>
          <w:szCs w:val="21"/>
        </w:rPr>
        <w:t xml:space="preserve"> Visit 1 being the </w:t>
      </w:r>
      <w:r w:rsidR="00861945">
        <w:rPr>
          <w:rFonts w:ascii="Times New Roman" w:hAnsi="Times New Roman" w:cs="Times New Roman"/>
          <w:szCs w:val="21"/>
        </w:rPr>
        <w:t>same, for the conversion group.</w:t>
      </w:r>
    </w:p>
    <w:p w:rsidR="00861945" w:rsidRDefault="00305735" w:rsidP="00CB7081">
      <w:pPr>
        <w:spacing w:line="48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Major e</w:t>
      </w:r>
      <w:r w:rsidR="00861945" w:rsidRPr="006D0A35">
        <w:rPr>
          <w:rFonts w:ascii="Times New Roman" w:hAnsi="Times New Roman" w:cs="Times New Roman"/>
          <w:szCs w:val="21"/>
        </w:rPr>
        <w:t xml:space="preserve">xclusion criteria for Period 1 included poorly controlled hypertension; severe hepatobiliary disease; development of acute kidney injury within 12 weeks before </w:t>
      </w:r>
      <w:proofErr w:type="spellStart"/>
      <w:r w:rsidR="00861945" w:rsidRPr="006D0A35">
        <w:rPr>
          <w:rFonts w:ascii="Times New Roman" w:hAnsi="Times New Roman" w:cs="Times New Roman"/>
          <w:szCs w:val="21"/>
        </w:rPr>
        <w:t>Scr</w:t>
      </w:r>
      <w:proofErr w:type="spellEnd"/>
      <w:r w:rsidR="00861945" w:rsidRPr="006D0A35">
        <w:rPr>
          <w:rFonts w:ascii="Times New Roman" w:hAnsi="Times New Roman" w:cs="Times New Roman"/>
          <w:szCs w:val="21"/>
        </w:rPr>
        <w:t xml:space="preserve"> Visit 1; development of myocardial infarction, cerebral infarction, or venous thromboembolism within 24 weeks before </w:t>
      </w:r>
      <w:proofErr w:type="spellStart"/>
      <w:r w:rsidR="00861945" w:rsidRPr="006D0A35">
        <w:rPr>
          <w:rFonts w:ascii="Times New Roman" w:hAnsi="Times New Roman" w:cs="Times New Roman"/>
          <w:szCs w:val="21"/>
        </w:rPr>
        <w:t>Scr</w:t>
      </w:r>
      <w:proofErr w:type="spellEnd"/>
      <w:r w:rsidR="00861945" w:rsidRPr="006D0A35">
        <w:rPr>
          <w:rFonts w:ascii="Times New Roman" w:hAnsi="Times New Roman" w:cs="Times New Roman"/>
          <w:szCs w:val="21"/>
        </w:rPr>
        <w:t xml:space="preserve"> Visit 1; </w:t>
      </w:r>
      <w:r w:rsidR="00EF0EFD">
        <w:rPr>
          <w:rFonts w:ascii="Times New Roman" w:hAnsi="Times New Roman" w:cs="Times New Roman" w:hint="eastAsia"/>
          <w:szCs w:val="21"/>
        </w:rPr>
        <w:t xml:space="preserve">Intact </w:t>
      </w:r>
      <w:r w:rsidR="00EE0C75">
        <w:rPr>
          <w:rFonts w:ascii="Times New Roman" w:hAnsi="Times New Roman" w:cs="Times New Roman"/>
          <w:szCs w:val="21"/>
        </w:rPr>
        <w:t xml:space="preserve">parathyroid hormone </w:t>
      </w:r>
      <w:r w:rsidR="00861945" w:rsidRPr="006D0A35">
        <w:rPr>
          <w:rFonts w:ascii="Times New Roman" w:hAnsi="Times New Roman" w:cs="Times New Roman"/>
          <w:szCs w:val="21"/>
        </w:rPr>
        <w:t xml:space="preserve">of </w:t>
      </w:r>
      <w:r w:rsidR="00861945" w:rsidRPr="006D0A35">
        <w:rPr>
          <w:rFonts w:ascii="Times New Roman" w:hAnsi="Times New Roman" w:cs="Times New Roman"/>
          <w:szCs w:val="21"/>
        </w:rPr>
        <w:sym w:font="Symbol" w:char="F0B3"/>
      </w:r>
      <w:r w:rsidR="00861945" w:rsidRPr="006D0A35">
        <w:rPr>
          <w:rFonts w:ascii="Times New Roman" w:hAnsi="Times New Roman" w:cs="Times New Roman"/>
          <w:szCs w:val="21"/>
        </w:rPr>
        <w:t xml:space="preserve">500 </w:t>
      </w:r>
      <w:proofErr w:type="spellStart"/>
      <w:r w:rsidR="00EE0C75">
        <w:rPr>
          <w:rFonts w:ascii="Times New Roman" w:hAnsi="Times New Roman" w:cs="Times New Roman"/>
          <w:szCs w:val="21"/>
        </w:rPr>
        <w:t>n</w:t>
      </w:r>
      <w:r w:rsidR="00EE0C75" w:rsidRPr="006D0A35">
        <w:rPr>
          <w:rFonts w:ascii="Times New Roman" w:hAnsi="Times New Roman" w:cs="Times New Roman"/>
          <w:szCs w:val="21"/>
        </w:rPr>
        <w:t>g</w:t>
      </w:r>
      <w:proofErr w:type="spellEnd"/>
      <w:r w:rsidR="00861945" w:rsidRPr="006D0A35">
        <w:rPr>
          <w:rFonts w:ascii="Times New Roman" w:hAnsi="Times New Roman" w:cs="Times New Roman"/>
          <w:szCs w:val="21"/>
        </w:rPr>
        <w:t xml:space="preserve">/L at </w:t>
      </w:r>
      <w:proofErr w:type="spellStart"/>
      <w:r w:rsidR="00861945" w:rsidRPr="006D0A35">
        <w:rPr>
          <w:rFonts w:ascii="Times New Roman" w:hAnsi="Times New Roman" w:cs="Times New Roman"/>
          <w:szCs w:val="21"/>
        </w:rPr>
        <w:t>Scr</w:t>
      </w:r>
      <w:proofErr w:type="spellEnd"/>
      <w:r w:rsidR="00861945" w:rsidRPr="006D0A35">
        <w:rPr>
          <w:rFonts w:ascii="Times New Roman" w:hAnsi="Times New Roman" w:cs="Times New Roman"/>
          <w:szCs w:val="21"/>
        </w:rPr>
        <w:t xml:space="preserve"> Visit 1; having received an erythrocyte transfusion or undergone surgery involving massive blood loss within 12 weeks before </w:t>
      </w:r>
      <w:proofErr w:type="spellStart"/>
      <w:r w:rsidR="00861945" w:rsidRPr="006D0A35">
        <w:rPr>
          <w:rFonts w:ascii="Times New Roman" w:hAnsi="Times New Roman" w:cs="Times New Roman"/>
          <w:szCs w:val="21"/>
        </w:rPr>
        <w:t>Scr</w:t>
      </w:r>
      <w:proofErr w:type="spellEnd"/>
      <w:r w:rsidR="00861945" w:rsidRPr="006D0A35">
        <w:rPr>
          <w:rFonts w:ascii="Times New Roman" w:hAnsi="Times New Roman" w:cs="Times New Roman"/>
          <w:szCs w:val="21"/>
        </w:rPr>
        <w:t xml:space="preserve"> </w:t>
      </w:r>
      <w:r w:rsidR="00AB4364">
        <w:rPr>
          <w:rFonts w:ascii="Times New Roman" w:hAnsi="Times New Roman" w:cs="Times New Roman"/>
          <w:szCs w:val="21"/>
        </w:rPr>
        <w:t>Visit 1; having received intrav</w:t>
      </w:r>
      <w:r w:rsidR="00AB4364">
        <w:rPr>
          <w:rFonts w:ascii="Times New Roman" w:hAnsi="Times New Roman" w:cs="Times New Roman" w:hint="eastAsia"/>
          <w:szCs w:val="21"/>
        </w:rPr>
        <w:t>e</w:t>
      </w:r>
      <w:r w:rsidR="00861945" w:rsidRPr="006D0A35">
        <w:rPr>
          <w:rFonts w:ascii="Times New Roman" w:hAnsi="Times New Roman" w:cs="Times New Roman"/>
          <w:szCs w:val="21"/>
        </w:rPr>
        <w:t xml:space="preserve">nous iron therapy within 4 weeks before </w:t>
      </w:r>
      <w:proofErr w:type="spellStart"/>
      <w:r w:rsidR="00861945" w:rsidRPr="006D0A35">
        <w:rPr>
          <w:rFonts w:ascii="Times New Roman" w:hAnsi="Times New Roman" w:cs="Times New Roman"/>
          <w:szCs w:val="21"/>
        </w:rPr>
        <w:t>Scr</w:t>
      </w:r>
      <w:proofErr w:type="spellEnd"/>
      <w:r w:rsidR="00861945" w:rsidRPr="006D0A35">
        <w:rPr>
          <w:rFonts w:ascii="Times New Roman" w:hAnsi="Times New Roman" w:cs="Times New Roman"/>
          <w:szCs w:val="21"/>
        </w:rPr>
        <w:t xml:space="preserve"> Visit 1, </w:t>
      </w:r>
      <w:r w:rsidR="00861945">
        <w:rPr>
          <w:rFonts w:ascii="Times New Roman" w:hAnsi="Times New Roman" w:cs="Times New Roman"/>
          <w:szCs w:val="21"/>
        </w:rPr>
        <w:t>or hav</w:t>
      </w:r>
      <w:r w:rsidR="00861945">
        <w:rPr>
          <w:rFonts w:ascii="Times New Roman" w:hAnsi="Times New Roman" w:cs="Times New Roman" w:hint="eastAsia"/>
          <w:szCs w:val="21"/>
        </w:rPr>
        <w:t>ing</w:t>
      </w:r>
      <w:r w:rsidR="00861945" w:rsidRPr="006D0A35">
        <w:rPr>
          <w:rFonts w:ascii="Times New Roman" w:hAnsi="Times New Roman" w:cs="Times New Roman"/>
          <w:szCs w:val="21"/>
        </w:rPr>
        <w:t xml:space="preserve"> been started </w:t>
      </w:r>
      <w:r w:rsidR="00861945" w:rsidRPr="006D0A35">
        <w:rPr>
          <w:rFonts w:ascii="Times New Roman" w:hAnsi="Times New Roman" w:cs="Times New Roman"/>
          <w:szCs w:val="21"/>
        </w:rPr>
        <w:lastRenderedPageBreak/>
        <w:t xml:space="preserve">on or withdrawn from oral iron therapy or received oral iron therapy at different doses within 4 weeks before </w:t>
      </w:r>
      <w:proofErr w:type="spellStart"/>
      <w:r w:rsidR="00861945" w:rsidRPr="006D0A35">
        <w:rPr>
          <w:rFonts w:ascii="Times New Roman" w:hAnsi="Times New Roman" w:cs="Times New Roman"/>
          <w:szCs w:val="21"/>
        </w:rPr>
        <w:t>Scr</w:t>
      </w:r>
      <w:proofErr w:type="spellEnd"/>
      <w:r w:rsidR="00861945" w:rsidRPr="006D0A35">
        <w:rPr>
          <w:rFonts w:ascii="Times New Roman" w:hAnsi="Times New Roman" w:cs="Times New Roman"/>
          <w:szCs w:val="21"/>
        </w:rPr>
        <w:t xml:space="preserve"> Visit 1</w:t>
      </w:r>
      <w:r w:rsidR="00861945">
        <w:rPr>
          <w:rFonts w:ascii="Times New Roman" w:hAnsi="Times New Roman" w:cs="Times New Roman" w:hint="eastAsia"/>
          <w:szCs w:val="21"/>
        </w:rPr>
        <w:t xml:space="preserve">; having received protein anabolic hormones, testosterone </w:t>
      </w:r>
      <w:proofErr w:type="spellStart"/>
      <w:r w:rsidR="00861945">
        <w:rPr>
          <w:rFonts w:ascii="Times New Roman" w:hAnsi="Times New Roman" w:cs="Times New Roman" w:hint="eastAsia"/>
          <w:szCs w:val="21"/>
        </w:rPr>
        <w:t>enanthate</w:t>
      </w:r>
      <w:proofErr w:type="spellEnd"/>
      <w:r w:rsidR="00861945">
        <w:rPr>
          <w:rFonts w:ascii="Times New Roman" w:hAnsi="Times New Roman" w:cs="Times New Roman" w:hint="eastAsia"/>
          <w:szCs w:val="21"/>
        </w:rPr>
        <w:t xml:space="preserve">, or </w:t>
      </w:r>
      <w:proofErr w:type="spellStart"/>
      <w:r w:rsidR="00861945">
        <w:rPr>
          <w:rFonts w:ascii="Times New Roman" w:hAnsi="Times New Roman" w:cs="Times New Roman" w:hint="eastAsia"/>
          <w:szCs w:val="21"/>
        </w:rPr>
        <w:t>mepitiostane</w:t>
      </w:r>
      <w:proofErr w:type="spellEnd"/>
      <w:r w:rsidR="00861945">
        <w:rPr>
          <w:rFonts w:ascii="Times New Roman" w:hAnsi="Times New Roman" w:cs="Times New Roman" w:hint="eastAsia"/>
          <w:szCs w:val="21"/>
        </w:rPr>
        <w:t xml:space="preserve"> within 12 weeks before </w:t>
      </w:r>
      <w:proofErr w:type="spellStart"/>
      <w:r w:rsidR="00861945">
        <w:rPr>
          <w:rFonts w:ascii="Times New Roman" w:hAnsi="Times New Roman" w:cs="Times New Roman" w:hint="eastAsia"/>
          <w:szCs w:val="21"/>
        </w:rPr>
        <w:t>Scr</w:t>
      </w:r>
      <w:proofErr w:type="spellEnd"/>
      <w:r w:rsidR="00861945">
        <w:rPr>
          <w:rFonts w:ascii="Times New Roman" w:hAnsi="Times New Roman" w:cs="Times New Roman" w:hint="eastAsia"/>
          <w:szCs w:val="21"/>
        </w:rPr>
        <w:t xml:space="preserve"> Visit 1; having severe infection, systemic blood disorder, hemolytic anemia, or obvious bleeding lesions</w:t>
      </w:r>
      <w:r w:rsidR="00012044">
        <w:rPr>
          <w:rFonts w:ascii="Times New Roman" w:hAnsi="Times New Roman" w:cs="Times New Roman"/>
          <w:szCs w:val="21"/>
        </w:rPr>
        <w:t>,</w:t>
      </w:r>
      <w:r w:rsidR="00861945">
        <w:rPr>
          <w:rFonts w:ascii="Times New Roman" w:hAnsi="Times New Roman" w:cs="Times New Roman" w:hint="eastAsia"/>
          <w:szCs w:val="21"/>
        </w:rPr>
        <w:t xml:space="preserve"> such as gastrointestinal hemorrhage; suspected to have anemia</w:t>
      </w:r>
      <w:r w:rsidR="00EE0C75">
        <w:rPr>
          <w:rFonts w:ascii="Times New Roman" w:hAnsi="Times New Roman" w:cs="Times New Roman"/>
          <w:szCs w:val="21"/>
        </w:rPr>
        <w:t xml:space="preserve"> caused</w:t>
      </w:r>
      <w:r w:rsidR="00861945">
        <w:rPr>
          <w:rFonts w:ascii="Times New Roman" w:hAnsi="Times New Roman" w:cs="Times New Roman" w:hint="eastAsia"/>
          <w:szCs w:val="21"/>
        </w:rPr>
        <w:t xml:space="preserve"> by noninfectious chronic inflammatory disease.</w:t>
      </w:r>
    </w:p>
    <w:p w:rsidR="00D759D8" w:rsidRDefault="00305735" w:rsidP="00CB708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Cs w:val="21"/>
        </w:rPr>
        <w:t>Major i</w:t>
      </w:r>
      <w:r w:rsidR="00440511">
        <w:rPr>
          <w:rFonts w:ascii="Times New Roman" w:hAnsi="Times New Roman" w:cs="Times New Roman" w:hint="eastAsia"/>
          <w:szCs w:val="21"/>
        </w:rPr>
        <w:t xml:space="preserve">nclusion criteria for Period 2 were: </w:t>
      </w:r>
      <w:r w:rsidR="00440511">
        <w:rPr>
          <w:rFonts w:ascii="Times New Roman" w:hAnsi="Times New Roman" w:cs="Times New Roman" w:hint="eastAsia"/>
        </w:rPr>
        <w:t>p</w:t>
      </w:r>
      <w:r w:rsidR="00440511" w:rsidRPr="007819C8">
        <w:rPr>
          <w:rFonts w:ascii="Times New Roman" w:hAnsi="Times New Roman" w:cs="Times New Roman"/>
        </w:rPr>
        <w:t xml:space="preserve">articipants in Period </w:t>
      </w:r>
      <w:r w:rsidR="006E0465">
        <w:rPr>
          <w:rFonts w:ascii="Times New Roman" w:hAnsi="Times New Roman" w:cs="Times New Roman" w:hint="eastAsia"/>
        </w:rPr>
        <w:t xml:space="preserve">1 </w:t>
      </w:r>
      <w:r w:rsidR="00440511" w:rsidRPr="007819C8">
        <w:rPr>
          <w:rFonts w:ascii="Times New Roman" w:hAnsi="Times New Roman" w:cs="Times New Roman"/>
        </w:rPr>
        <w:t>who, in the judgment of</w:t>
      </w:r>
      <w:r w:rsidR="00AB4364">
        <w:rPr>
          <w:rFonts w:ascii="Times New Roman" w:hAnsi="Times New Roman" w:cs="Times New Roman"/>
        </w:rPr>
        <w:t xml:space="preserve"> the principal investigator</w:t>
      </w:r>
      <w:r w:rsidR="00440511" w:rsidRPr="007819C8">
        <w:rPr>
          <w:rFonts w:ascii="Times New Roman" w:hAnsi="Times New Roman" w:cs="Times New Roman"/>
        </w:rPr>
        <w:t xml:space="preserve"> or the</w:t>
      </w:r>
      <w:r w:rsidR="00440511">
        <w:rPr>
          <w:rFonts w:ascii="Times New Roman" w:hAnsi="Times New Roman" w:cs="Times New Roman" w:hint="eastAsia"/>
        </w:rPr>
        <w:t xml:space="preserve"> </w:t>
      </w:r>
      <w:r w:rsidR="00AB4364">
        <w:rPr>
          <w:rFonts w:ascii="Times New Roman" w:hAnsi="Times New Roman" w:cs="Times New Roman"/>
        </w:rPr>
        <w:t>sub</w:t>
      </w:r>
      <w:r w:rsidR="00EE0C75">
        <w:rPr>
          <w:rFonts w:ascii="Times New Roman" w:hAnsi="Times New Roman" w:cs="Times New Roman"/>
        </w:rPr>
        <w:t>-</w:t>
      </w:r>
      <w:r w:rsidR="00AB4364">
        <w:rPr>
          <w:rFonts w:ascii="Times New Roman" w:hAnsi="Times New Roman" w:cs="Times New Roman"/>
        </w:rPr>
        <w:t>investigator</w:t>
      </w:r>
      <w:r w:rsidR="00440511" w:rsidRPr="007819C8">
        <w:rPr>
          <w:rFonts w:ascii="Times New Roman" w:hAnsi="Times New Roman" w:cs="Times New Roman"/>
        </w:rPr>
        <w:t xml:space="preserve">, </w:t>
      </w:r>
      <w:r w:rsidR="00EE0C75">
        <w:rPr>
          <w:rFonts w:ascii="Times New Roman" w:hAnsi="Times New Roman" w:cs="Times New Roman"/>
        </w:rPr>
        <w:t>were fit to undergo</w:t>
      </w:r>
      <w:r w:rsidR="00440511" w:rsidRPr="007819C8">
        <w:rPr>
          <w:rFonts w:ascii="Times New Roman" w:hAnsi="Times New Roman" w:cs="Times New Roman"/>
        </w:rPr>
        <w:t xml:space="preserve"> extended study treatment</w:t>
      </w:r>
      <w:r w:rsidR="00440511">
        <w:rPr>
          <w:rFonts w:ascii="Times New Roman" w:hAnsi="Times New Roman" w:cs="Times New Roman" w:hint="eastAsia"/>
        </w:rPr>
        <w:t xml:space="preserve">; </w:t>
      </w:r>
      <w:r w:rsidR="00440511" w:rsidRPr="007819C8">
        <w:rPr>
          <w:rFonts w:ascii="Times New Roman" w:hAnsi="Times New Roman" w:cs="Times New Roman"/>
        </w:rPr>
        <w:t>unlikely to require dialysis or renal</w:t>
      </w:r>
      <w:r w:rsidR="00440511">
        <w:rPr>
          <w:rFonts w:ascii="Times New Roman" w:hAnsi="Times New Roman" w:cs="Times New Roman" w:hint="eastAsia"/>
        </w:rPr>
        <w:t xml:space="preserve"> </w:t>
      </w:r>
      <w:r w:rsidR="00440511" w:rsidRPr="007819C8">
        <w:rPr>
          <w:rFonts w:ascii="Times New Roman" w:hAnsi="Times New Roman" w:cs="Times New Roman"/>
        </w:rPr>
        <w:t>transplantation during the period from Week 6 (6 weeks after the start of treatment) to</w:t>
      </w:r>
      <w:r w:rsidR="00440511">
        <w:rPr>
          <w:rFonts w:ascii="Times New Roman" w:hAnsi="Times New Roman" w:cs="Times New Roman" w:hint="eastAsia"/>
        </w:rPr>
        <w:t xml:space="preserve"> </w:t>
      </w:r>
      <w:r w:rsidR="00440511" w:rsidRPr="007819C8">
        <w:rPr>
          <w:rFonts w:ascii="Times New Roman" w:hAnsi="Times New Roman" w:cs="Times New Roman"/>
        </w:rPr>
        <w:t>the end of the study</w:t>
      </w:r>
      <w:r w:rsidR="00440511">
        <w:rPr>
          <w:rFonts w:ascii="Times New Roman" w:hAnsi="Times New Roman" w:cs="Times New Roman" w:hint="eastAsia"/>
        </w:rPr>
        <w:t xml:space="preserve">; </w:t>
      </w:r>
      <w:proofErr w:type="spellStart"/>
      <w:r w:rsidR="00CB7081">
        <w:rPr>
          <w:rFonts w:ascii="Times New Roman" w:hAnsi="Times New Roman" w:cs="Times New Roman"/>
        </w:rPr>
        <w:t>Hb</w:t>
      </w:r>
      <w:proofErr w:type="spellEnd"/>
      <w:r w:rsidR="00EE0C75" w:rsidRPr="007819C8">
        <w:rPr>
          <w:rFonts w:ascii="Times New Roman" w:hAnsi="Times New Roman" w:cs="Times New Roman"/>
        </w:rPr>
        <w:t xml:space="preserve"> </w:t>
      </w:r>
      <w:r w:rsidR="00440511" w:rsidRPr="007819C8">
        <w:rPr>
          <w:rFonts w:ascii="Times New Roman" w:hAnsi="Times New Roman" w:cs="Times New Roman"/>
        </w:rPr>
        <w:t>≥8</w:t>
      </w:r>
      <w:r w:rsidR="00EF0EFD">
        <w:rPr>
          <w:rFonts w:ascii="Times New Roman" w:hAnsi="Times New Roman" w:cs="Times New Roman" w:hint="eastAsia"/>
        </w:rPr>
        <w:t>.</w:t>
      </w:r>
      <w:r w:rsidR="00440511" w:rsidRPr="007819C8">
        <w:rPr>
          <w:rFonts w:ascii="Times New Roman" w:hAnsi="Times New Roman" w:cs="Times New Roman"/>
        </w:rPr>
        <w:t>0 g/</w:t>
      </w:r>
      <w:proofErr w:type="spellStart"/>
      <w:r w:rsidR="00EF0EFD">
        <w:rPr>
          <w:rFonts w:ascii="Times New Roman" w:hAnsi="Times New Roman" w:cs="Times New Roman" w:hint="eastAsia"/>
        </w:rPr>
        <w:t>d</w:t>
      </w:r>
      <w:r w:rsidR="00440511" w:rsidRPr="007819C8">
        <w:rPr>
          <w:rFonts w:ascii="Times New Roman" w:hAnsi="Times New Roman" w:cs="Times New Roman"/>
        </w:rPr>
        <w:t>L</w:t>
      </w:r>
      <w:proofErr w:type="spellEnd"/>
      <w:r w:rsidR="00440511" w:rsidRPr="007819C8">
        <w:rPr>
          <w:rFonts w:ascii="Times New Roman" w:hAnsi="Times New Roman" w:cs="Times New Roman"/>
        </w:rPr>
        <w:t xml:space="preserve"> and &lt;13</w:t>
      </w:r>
      <w:r w:rsidR="00EF0EFD">
        <w:rPr>
          <w:rFonts w:ascii="Times New Roman" w:hAnsi="Times New Roman" w:cs="Times New Roman" w:hint="eastAsia"/>
        </w:rPr>
        <w:t>.</w:t>
      </w:r>
      <w:r w:rsidR="00440511" w:rsidRPr="007819C8">
        <w:rPr>
          <w:rFonts w:ascii="Times New Roman" w:hAnsi="Times New Roman" w:cs="Times New Roman"/>
        </w:rPr>
        <w:t>0 g/</w:t>
      </w:r>
      <w:proofErr w:type="spellStart"/>
      <w:r w:rsidR="00EF0EFD">
        <w:rPr>
          <w:rFonts w:ascii="Times New Roman" w:hAnsi="Times New Roman" w:cs="Times New Roman" w:hint="eastAsia"/>
        </w:rPr>
        <w:t>d</w:t>
      </w:r>
      <w:r w:rsidR="00440511" w:rsidRPr="007819C8">
        <w:rPr>
          <w:rFonts w:ascii="Times New Roman" w:hAnsi="Times New Roman" w:cs="Times New Roman"/>
        </w:rPr>
        <w:t>L</w:t>
      </w:r>
      <w:proofErr w:type="spellEnd"/>
      <w:r w:rsidR="00440511" w:rsidRPr="007819C8">
        <w:rPr>
          <w:rFonts w:ascii="Times New Roman" w:hAnsi="Times New Roman" w:cs="Times New Roman"/>
        </w:rPr>
        <w:t xml:space="preserve"> </w:t>
      </w:r>
      <w:r w:rsidR="00EF0EFD">
        <w:rPr>
          <w:rFonts w:ascii="Times New Roman" w:hAnsi="Times New Roman" w:cs="Times New Roman" w:hint="eastAsia"/>
        </w:rPr>
        <w:t>at</w:t>
      </w:r>
      <w:r w:rsidR="00440511" w:rsidRPr="007819C8">
        <w:rPr>
          <w:rFonts w:ascii="Times New Roman" w:hAnsi="Times New Roman" w:cs="Times New Roman"/>
        </w:rPr>
        <w:t xml:space="preserve"> Week 6</w:t>
      </w:r>
      <w:r w:rsidR="00440511">
        <w:rPr>
          <w:rFonts w:ascii="Times New Roman" w:hAnsi="Times New Roman" w:cs="Times New Roman" w:hint="eastAsia"/>
        </w:rPr>
        <w:t>.</w:t>
      </w:r>
    </w:p>
    <w:p w:rsidR="00EC63F2" w:rsidRDefault="00EC63F2" w:rsidP="00CB7081">
      <w:pPr>
        <w:spacing w:line="480" w:lineRule="auto"/>
        <w:rPr>
          <w:rFonts w:ascii="Times New Roman" w:hAnsi="Times New Roman" w:cs="Times New Roman"/>
        </w:rPr>
      </w:pPr>
    </w:p>
    <w:p w:rsidR="00EC63F2" w:rsidRDefault="00EC63F2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C63F2" w:rsidRPr="008429D0" w:rsidRDefault="00EC63F2" w:rsidP="00CB7081">
      <w:pPr>
        <w:spacing w:line="480" w:lineRule="auto"/>
        <w:rPr>
          <w:rFonts w:ascii="Times New Roman" w:hAnsi="Times New Roman" w:cs="Times New Roman"/>
          <w:b/>
        </w:rPr>
      </w:pPr>
      <w:proofErr w:type="gramStart"/>
      <w:r w:rsidRPr="008429D0">
        <w:rPr>
          <w:rFonts w:ascii="Times New Roman" w:hAnsi="Times New Roman" w:cs="Times New Roman" w:hint="eastAsia"/>
          <w:b/>
        </w:rPr>
        <w:lastRenderedPageBreak/>
        <w:t>Fig.</w:t>
      </w:r>
      <w:proofErr w:type="gramEnd"/>
      <w:r w:rsidRPr="008429D0">
        <w:rPr>
          <w:rFonts w:ascii="Times New Roman" w:hAnsi="Times New Roman" w:cs="Times New Roman" w:hint="eastAsia"/>
          <w:b/>
        </w:rPr>
        <w:t xml:space="preserve"> S1. </w:t>
      </w:r>
      <w:proofErr w:type="gramStart"/>
      <w:r w:rsidRPr="008429D0">
        <w:rPr>
          <w:rFonts w:ascii="Times New Roman" w:hAnsi="Times New Roman" w:cs="Times New Roman" w:hint="eastAsia"/>
          <w:b/>
        </w:rPr>
        <w:t>Subject disposition.</w:t>
      </w:r>
      <w:proofErr w:type="gramEnd"/>
    </w:p>
    <w:p w:rsidR="00EC63F2" w:rsidRDefault="00B4041D" w:rsidP="00CB708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206240" cy="3154680"/>
            <wp:effectExtent l="0" t="0" r="3810" b="7620"/>
            <wp:docPr id="1" name="図 1" descr="\\Pharma02v\臨床開発\JTZ-951\MBA3-x\論文投稿\再投稿\AJN (MBA3-1)\6_resubmission_20181227\投稿ファイル\Supplementary Materials\corrected_Fig.S1a_Subject disposition (1200dpi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harma02v\臨床開発\JTZ-951\MBA3-x\論文投稿\再投稿\AJN (MBA3-1)\6_resubmission_20181227\投稿ファイル\Supplementary Materials\corrected_Fig.S1a_Subject disposition (1200dpi)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3F2" w:rsidRDefault="00B4041D" w:rsidP="00CB7081">
      <w:pPr>
        <w:spacing w:line="48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4206240" cy="3154680"/>
            <wp:effectExtent l="0" t="0" r="3810" b="7620"/>
            <wp:docPr id="2" name="図 2" descr="\\Pharma02v\臨床開発\JTZ-951\MBA3-x\論文投稿\再投稿\AJN (MBA3-1)\6_resubmission_20181227\投稿ファイル\Supplementary Materials\corrected_Fig.S1b_Subject disposition (1200dpi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harma02v\臨床開発\JTZ-951\MBA3-x\論文投稿\再投稿\AJN (MBA3-1)\6_resubmission_20181227\投稿ファイル\Supplementary Materials\corrected_Fig.S1b_Subject disposition (1200dpi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63F2" w:rsidRDefault="00EC63F2" w:rsidP="00CB7081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(a) Correction group, (b) Conversion group.</w:t>
      </w:r>
      <w:proofErr w:type="gramEnd"/>
    </w:p>
    <w:p w:rsidR="008429D0" w:rsidRDefault="008429D0" w:rsidP="00CB7081">
      <w:pPr>
        <w:spacing w:line="480" w:lineRule="auto"/>
        <w:rPr>
          <w:rFonts w:ascii="Times New Roman" w:hAnsi="Times New Roman" w:cs="Times New Roman"/>
        </w:rPr>
      </w:pPr>
    </w:p>
    <w:p w:rsidR="008429D0" w:rsidRDefault="008429D0" w:rsidP="00CB7081">
      <w:pPr>
        <w:spacing w:line="480" w:lineRule="auto"/>
        <w:rPr>
          <w:rFonts w:ascii="Times New Roman" w:hAnsi="Times New Roman" w:cs="Times New Roman"/>
        </w:rPr>
      </w:pPr>
    </w:p>
    <w:p w:rsidR="00EC63F2" w:rsidRPr="00757462" w:rsidRDefault="00EC63F2" w:rsidP="00EC63F2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 w:hint="eastAsia"/>
          <w:b/>
        </w:rPr>
        <w:lastRenderedPageBreak/>
        <w:t>Table.</w:t>
      </w:r>
      <w:proofErr w:type="gramEnd"/>
      <w:r>
        <w:rPr>
          <w:rFonts w:ascii="Times New Roman" w:hAnsi="Times New Roman" w:cs="Times New Roman" w:hint="eastAsia"/>
          <w:b/>
        </w:rPr>
        <w:t xml:space="preserve"> S1: Iron-r</w:t>
      </w:r>
      <w:r w:rsidRPr="00757462">
        <w:rPr>
          <w:rFonts w:ascii="Times New Roman" w:hAnsi="Times New Roman" w:cs="Times New Roman" w:hint="eastAsia"/>
          <w:b/>
        </w:rPr>
        <w:t>elated Parameters at Week 0</w:t>
      </w:r>
      <w:r>
        <w:rPr>
          <w:rFonts w:ascii="Times New Roman" w:hAnsi="Times New Roman" w:cs="Times New Roman" w:hint="eastAsia"/>
          <w:b/>
        </w:rPr>
        <w:t>.</w:t>
      </w:r>
    </w:p>
    <w:p w:rsidR="00EC63F2" w:rsidRDefault="00EC63F2" w:rsidP="00EC63F2">
      <w:pPr>
        <w:rPr>
          <w:rFonts w:ascii="Times New Roman" w:hAnsi="Times New Roman" w:cs="Times New Roman"/>
          <w:b/>
          <w:szCs w:val="21"/>
        </w:rPr>
      </w:pPr>
    </w:p>
    <w:p w:rsidR="00EC63F2" w:rsidRPr="00FF531A" w:rsidRDefault="00EC63F2" w:rsidP="00EC63F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</w:t>
      </w:r>
      <w:r w:rsidRPr="00FF531A">
        <w:rPr>
          <w:rFonts w:ascii="Times New Roman" w:hAnsi="Times New Roman" w:cs="Times New Roman"/>
          <w:szCs w:val="21"/>
        </w:rPr>
        <w:t>orrection group</w:t>
      </w:r>
    </w:p>
    <w:tbl>
      <w:tblPr>
        <w:tblW w:w="5172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32"/>
        <w:gridCol w:w="1606"/>
        <w:gridCol w:w="1606"/>
        <w:gridCol w:w="1605"/>
        <w:gridCol w:w="1606"/>
      </w:tblGrid>
      <w:tr w:rsidR="00EC63F2" w:rsidRPr="00440511" w:rsidTr="008F5A52">
        <w:trPr>
          <w:jc w:val="center"/>
        </w:trPr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63F2" w:rsidRPr="00FF531A" w:rsidRDefault="00EC63F2" w:rsidP="008F5A52">
            <w:pPr>
              <w:pStyle w:val="TableHead"/>
              <w:rPr>
                <w:rFonts w:cs="Times New Roman"/>
                <w:b w:val="0"/>
                <w:sz w:val="18"/>
                <w:szCs w:val="18"/>
                <w:lang w:eastAsia="ja-JP"/>
              </w:rPr>
            </w:pPr>
            <w:r w:rsidRPr="00FF531A">
              <w:rPr>
                <w:rFonts w:cs="Times New Roman"/>
                <w:b w:val="0"/>
                <w:sz w:val="18"/>
                <w:szCs w:val="18"/>
                <w:lang w:eastAsia="ja-JP"/>
              </w:rPr>
              <w:t>Iron-related parameters at Week 0</w:t>
            </w:r>
          </w:p>
          <w:p w:rsidR="00EC63F2" w:rsidRPr="00FF531A" w:rsidRDefault="00EC63F2" w:rsidP="008F5A52">
            <w:pPr>
              <w:pStyle w:val="TableHead"/>
              <w:rPr>
                <w:rFonts w:cs="Times New Roman"/>
                <w:b w:val="0"/>
                <w:sz w:val="18"/>
                <w:szCs w:val="18"/>
                <w:lang w:eastAsia="ja-JP"/>
              </w:rPr>
            </w:pPr>
            <w:r w:rsidRPr="00FF531A">
              <w:rPr>
                <w:rFonts w:cs="Times New Roman"/>
                <w:b w:val="0"/>
                <w:sz w:val="18"/>
                <w:szCs w:val="18"/>
                <w:lang w:eastAsia="ja-JP"/>
              </w:rPr>
              <w:t>Median (Q1, Q3)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63F2" w:rsidRPr="00FF531A" w:rsidRDefault="00EC63F2" w:rsidP="008F5A52">
            <w:pPr>
              <w:pStyle w:val="TableHead"/>
              <w:rPr>
                <w:rFonts w:cs="Times New Roman"/>
                <w:b w:val="0"/>
                <w:sz w:val="18"/>
                <w:szCs w:val="18"/>
                <w:lang w:eastAsia="ja-JP"/>
              </w:rPr>
            </w:pPr>
            <w:r w:rsidRPr="00FF531A">
              <w:rPr>
                <w:rFonts w:cs="Times New Roman"/>
                <w:b w:val="0"/>
                <w:sz w:val="18"/>
                <w:szCs w:val="18"/>
                <w:lang w:eastAsia="ja-JP"/>
              </w:rPr>
              <w:t>Placebo</w:t>
            </w:r>
          </w:p>
          <w:p w:rsidR="00EC63F2" w:rsidRPr="00FF531A" w:rsidRDefault="00EC63F2" w:rsidP="008F5A52">
            <w:pPr>
              <w:pStyle w:val="TableHead"/>
              <w:rPr>
                <w:rFonts w:cs="Times New Roman"/>
                <w:b w:val="0"/>
                <w:sz w:val="18"/>
                <w:szCs w:val="18"/>
                <w:lang w:eastAsia="ja-JP"/>
              </w:rPr>
            </w:pPr>
            <w:r w:rsidRPr="00FF531A">
              <w:rPr>
                <w:rFonts w:cs="Times New Roman"/>
                <w:b w:val="0"/>
                <w:sz w:val="18"/>
                <w:szCs w:val="18"/>
                <w:lang w:eastAsia="ja-JP"/>
              </w:rPr>
              <w:t>(</w:t>
            </w:r>
            <w:r w:rsidRPr="00FF531A">
              <w:rPr>
                <w:rFonts w:cs="Times New Roman"/>
                <w:b w:val="0"/>
                <w:i/>
                <w:sz w:val="18"/>
                <w:szCs w:val="18"/>
                <w:lang w:eastAsia="ja-JP"/>
              </w:rPr>
              <w:t>n</w:t>
            </w:r>
            <w:r w:rsidRPr="00FF531A">
              <w:rPr>
                <w:rFonts w:cs="Times New Roman"/>
                <w:b w:val="0"/>
                <w:sz w:val="18"/>
                <w:szCs w:val="18"/>
                <w:lang w:eastAsia="ja-JP"/>
              </w:rPr>
              <w:t xml:space="preserve"> = 23)</w:t>
            </w:r>
          </w:p>
        </w:tc>
        <w:tc>
          <w:tcPr>
            <w:tcW w:w="17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63F2" w:rsidRPr="00FF531A" w:rsidRDefault="00EC63F2" w:rsidP="008F5A52">
            <w:pPr>
              <w:pStyle w:val="TableHead"/>
              <w:rPr>
                <w:rFonts w:cs="Times New Roman"/>
                <w:b w:val="0"/>
                <w:sz w:val="18"/>
                <w:szCs w:val="18"/>
                <w:lang w:eastAsia="ja-JP"/>
              </w:rPr>
            </w:pPr>
            <w:proofErr w:type="spellStart"/>
            <w:r w:rsidRPr="00FF531A">
              <w:rPr>
                <w:rFonts w:cs="Times New Roman"/>
                <w:b w:val="0"/>
                <w:sz w:val="18"/>
                <w:szCs w:val="18"/>
                <w:lang w:eastAsia="ja-JP"/>
              </w:rPr>
              <w:t>Enarodustat</w:t>
            </w:r>
            <w:proofErr w:type="spellEnd"/>
          </w:p>
          <w:p w:rsidR="00EC63F2" w:rsidRPr="00FF531A" w:rsidRDefault="00EC63F2" w:rsidP="008F5A52">
            <w:pPr>
              <w:pStyle w:val="TableHead"/>
              <w:rPr>
                <w:rFonts w:cs="Times New Roman"/>
                <w:b w:val="0"/>
                <w:sz w:val="18"/>
                <w:szCs w:val="18"/>
                <w:lang w:eastAsia="ja-JP"/>
              </w:rPr>
            </w:pPr>
            <w:r w:rsidRPr="00FF531A">
              <w:rPr>
                <w:rFonts w:cs="Times New Roman"/>
                <w:b w:val="0"/>
                <w:sz w:val="18"/>
                <w:szCs w:val="18"/>
                <w:lang w:eastAsia="ja-JP"/>
              </w:rPr>
              <w:t>2</w:t>
            </w:r>
            <w:r w:rsidRPr="00FF531A">
              <w:rPr>
                <w:rFonts w:cs="Times New Roman"/>
                <w:b w:val="0"/>
                <w:sz w:val="18"/>
                <w:szCs w:val="18"/>
              </w:rPr>
              <w:t> mg</w:t>
            </w:r>
          </w:p>
          <w:p w:rsidR="00EC63F2" w:rsidRPr="00FF531A" w:rsidRDefault="00EC63F2" w:rsidP="008F5A52">
            <w:pPr>
              <w:pStyle w:val="TableHead"/>
              <w:rPr>
                <w:rFonts w:cs="Times New Roman"/>
                <w:b w:val="0"/>
                <w:sz w:val="18"/>
                <w:szCs w:val="18"/>
              </w:rPr>
            </w:pPr>
            <w:r w:rsidRPr="00FF531A">
              <w:rPr>
                <w:rFonts w:cs="Times New Roman"/>
                <w:b w:val="0"/>
                <w:sz w:val="18"/>
                <w:szCs w:val="18"/>
              </w:rPr>
              <w:t>(</w:t>
            </w:r>
            <w:r w:rsidRPr="00FF531A">
              <w:rPr>
                <w:rFonts w:cs="Times New Roman"/>
                <w:b w:val="0"/>
                <w:i/>
                <w:sz w:val="18"/>
                <w:szCs w:val="18"/>
                <w:lang w:eastAsia="ja-JP"/>
              </w:rPr>
              <w:t>n</w:t>
            </w:r>
            <w:r w:rsidRPr="00FF531A">
              <w:rPr>
                <w:rFonts w:cs="Times New Roman"/>
                <w:b w:val="0"/>
                <w:sz w:val="18"/>
                <w:szCs w:val="18"/>
              </w:rPr>
              <w:t xml:space="preserve"> = </w:t>
            </w:r>
            <w:r w:rsidRPr="00FF531A">
              <w:rPr>
                <w:rFonts w:cs="Times New Roman"/>
                <w:b w:val="0"/>
                <w:sz w:val="18"/>
                <w:szCs w:val="18"/>
                <w:lang w:eastAsia="ja-JP"/>
              </w:rPr>
              <w:t>24</w:t>
            </w:r>
            <w:r w:rsidRPr="00FF531A">
              <w:rPr>
                <w:rFonts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63F2" w:rsidRPr="00FF531A" w:rsidRDefault="00EC63F2" w:rsidP="008F5A52">
            <w:pPr>
              <w:pStyle w:val="TableHead"/>
              <w:rPr>
                <w:rFonts w:cs="Times New Roman"/>
                <w:b w:val="0"/>
                <w:sz w:val="18"/>
                <w:szCs w:val="18"/>
                <w:lang w:eastAsia="ja-JP"/>
              </w:rPr>
            </w:pPr>
            <w:proofErr w:type="spellStart"/>
            <w:r w:rsidRPr="00FF531A">
              <w:rPr>
                <w:rFonts w:cs="Times New Roman"/>
                <w:b w:val="0"/>
                <w:sz w:val="18"/>
                <w:szCs w:val="18"/>
                <w:lang w:eastAsia="ja-JP"/>
              </w:rPr>
              <w:t>Enarodustat</w:t>
            </w:r>
            <w:proofErr w:type="spellEnd"/>
          </w:p>
          <w:p w:rsidR="00EC63F2" w:rsidRPr="00FF531A" w:rsidRDefault="00EC63F2" w:rsidP="008F5A52">
            <w:pPr>
              <w:pStyle w:val="TableHead"/>
              <w:rPr>
                <w:rFonts w:cs="Times New Roman"/>
                <w:b w:val="0"/>
                <w:sz w:val="18"/>
                <w:szCs w:val="18"/>
                <w:lang w:eastAsia="ja-JP"/>
              </w:rPr>
            </w:pPr>
            <w:r w:rsidRPr="00FF531A">
              <w:rPr>
                <w:rFonts w:cs="Times New Roman"/>
                <w:b w:val="0"/>
                <w:sz w:val="18"/>
                <w:szCs w:val="18"/>
                <w:lang w:eastAsia="ja-JP"/>
              </w:rPr>
              <w:t>4</w:t>
            </w:r>
            <w:r w:rsidRPr="00FF531A">
              <w:rPr>
                <w:rFonts w:cs="Times New Roman"/>
                <w:b w:val="0"/>
                <w:sz w:val="18"/>
                <w:szCs w:val="18"/>
              </w:rPr>
              <w:t> mg</w:t>
            </w:r>
          </w:p>
          <w:p w:rsidR="00EC63F2" w:rsidRPr="00FF531A" w:rsidRDefault="00EC63F2" w:rsidP="008F5A52">
            <w:pPr>
              <w:pStyle w:val="TableHead"/>
              <w:rPr>
                <w:rFonts w:cs="Times New Roman"/>
                <w:b w:val="0"/>
                <w:sz w:val="18"/>
                <w:szCs w:val="18"/>
              </w:rPr>
            </w:pPr>
            <w:r w:rsidRPr="00FF531A">
              <w:rPr>
                <w:rFonts w:cs="Times New Roman"/>
                <w:b w:val="0"/>
                <w:sz w:val="18"/>
                <w:szCs w:val="18"/>
              </w:rPr>
              <w:t>(</w:t>
            </w:r>
            <w:r w:rsidRPr="00FF531A">
              <w:rPr>
                <w:rFonts w:cs="Times New Roman"/>
                <w:b w:val="0"/>
                <w:i/>
                <w:sz w:val="18"/>
                <w:szCs w:val="18"/>
                <w:lang w:eastAsia="ja-JP"/>
              </w:rPr>
              <w:t>n</w:t>
            </w:r>
            <w:r w:rsidRPr="00FF531A">
              <w:rPr>
                <w:rFonts w:cs="Times New Roman"/>
                <w:b w:val="0"/>
                <w:sz w:val="18"/>
                <w:szCs w:val="18"/>
              </w:rPr>
              <w:t xml:space="preserve"> = </w:t>
            </w:r>
            <w:r w:rsidRPr="00FF531A">
              <w:rPr>
                <w:rFonts w:cs="Times New Roman"/>
                <w:b w:val="0"/>
                <w:sz w:val="18"/>
                <w:szCs w:val="18"/>
                <w:lang w:eastAsia="ja-JP"/>
              </w:rPr>
              <w:t>24</w:t>
            </w:r>
            <w:r w:rsidRPr="00FF531A">
              <w:rPr>
                <w:rFonts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7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63F2" w:rsidRPr="00FF531A" w:rsidRDefault="00EC63F2" w:rsidP="008F5A52">
            <w:pPr>
              <w:pStyle w:val="TableHead"/>
              <w:rPr>
                <w:rFonts w:cs="Times New Roman"/>
                <w:b w:val="0"/>
                <w:sz w:val="18"/>
                <w:szCs w:val="18"/>
                <w:lang w:eastAsia="ja-JP"/>
              </w:rPr>
            </w:pPr>
            <w:proofErr w:type="spellStart"/>
            <w:r w:rsidRPr="00FF531A">
              <w:rPr>
                <w:rFonts w:cs="Times New Roman"/>
                <w:b w:val="0"/>
                <w:sz w:val="18"/>
                <w:szCs w:val="18"/>
                <w:lang w:eastAsia="ja-JP"/>
              </w:rPr>
              <w:t>Enarodustat</w:t>
            </w:r>
            <w:proofErr w:type="spellEnd"/>
          </w:p>
          <w:p w:rsidR="00EC63F2" w:rsidRPr="00FF531A" w:rsidRDefault="00EC63F2" w:rsidP="008F5A52">
            <w:pPr>
              <w:pStyle w:val="TableHead"/>
              <w:rPr>
                <w:rFonts w:cs="Times New Roman"/>
                <w:b w:val="0"/>
                <w:sz w:val="18"/>
                <w:szCs w:val="18"/>
                <w:lang w:eastAsia="ja-JP"/>
              </w:rPr>
            </w:pPr>
            <w:r w:rsidRPr="00FF531A">
              <w:rPr>
                <w:rFonts w:cs="Times New Roman"/>
                <w:b w:val="0"/>
                <w:sz w:val="18"/>
                <w:szCs w:val="18"/>
                <w:lang w:eastAsia="ja-JP"/>
              </w:rPr>
              <w:t>6</w:t>
            </w:r>
            <w:r w:rsidRPr="00FF531A">
              <w:rPr>
                <w:rFonts w:cs="Times New Roman"/>
                <w:b w:val="0"/>
                <w:sz w:val="18"/>
                <w:szCs w:val="18"/>
              </w:rPr>
              <w:t> mg</w:t>
            </w:r>
          </w:p>
          <w:p w:rsidR="00EC63F2" w:rsidRPr="00FF531A" w:rsidRDefault="00EC63F2" w:rsidP="008F5A52">
            <w:pPr>
              <w:pStyle w:val="TableHead"/>
              <w:rPr>
                <w:rFonts w:cs="Times New Roman"/>
                <w:b w:val="0"/>
                <w:sz w:val="18"/>
                <w:szCs w:val="18"/>
              </w:rPr>
            </w:pPr>
            <w:r w:rsidRPr="00FF531A">
              <w:rPr>
                <w:rFonts w:cs="Times New Roman"/>
                <w:b w:val="0"/>
                <w:sz w:val="18"/>
                <w:szCs w:val="18"/>
              </w:rPr>
              <w:t>(</w:t>
            </w:r>
            <w:r w:rsidRPr="00FF531A">
              <w:rPr>
                <w:rFonts w:cs="Times New Roman"/>
                <w:b w:val="0"/>
                <w:i/>
                <w:sz w:val="18"/>
                <w:szCs w:val="18"/>
                <w:lang w:eastAsia="ja-JP"/>
              </w:rPr>
              <w:t>n</w:t>
            </w:r>
            <w:r w:rsidRPr="00FF531A">
              <w:rPr>
                <w:rFonts w:cs="Times New Roman"/>
                <w:b w:val="0"/>
                <w:sz w:val="18"/>
                <w:szCs w:val="18"/>
              </w:rPr>
              <w:t xml:space="preserve"> = </w:t>
            </w:r>
            <w:r w:rsidRPr="00FF531A">
              <w:rPr>
                <w:rFonts w:cs="Times New Roman"/>
                <w:b w:val="0"/>
                <w:sz w:val="18"/>
                <w:szCs w:val="18"/>
                <w:lang w:eastAsia="ja-JP"/>
              </w:rPr>
              <w:t>23</w:t>
            </w:r>
            <w:r w:rsidRPr="00FF531A">
              <w:rPr>
                <w:rFonts w:cs="Times New Roman"/>
                <w:b w:val="0"/>
                <w:sz w:val="18"/>
                <w:szCs w:val="18"/>
              </w:rPr>
              <w:t>)</w:t>
            </w:r>
          </w:p>
        </w:tc>
      </w:tr>
      <w:tr w:rsidR="00EC63F2" w:rsidRPr="00440511" w:rsidTr="008F5A52">
        <w:trPr>
          <w:jc w:val="center"/>
        </w:trPr>
        <w:tc>
          <w:tcPr>
            <w:tcW w:w="2596" w:type="dxa"/>
            <w:shd w:val="clear" w:color="auto" w:fill="auto"/>
            <w:noWrap/>
            <w:vAlign w:val="center"/>
          </w:tcPr>
          <w:p w:rsidR="00EC63F2" w:rsidRPr="00440511" w:rsidRDefault="00EC63F2" w:rsidP="008F5A52">
            <w:pPr>
              <w:pStyle w:val="TableCenter-9"/>
              <w:ind w:firstLine="180"/>
              <w:jc w:val="both"/>
              <w:rPr>
                <w:szCs w:val="18"/>
              </w:rPr>
            </w:pPr>
            <w:r w:rsidRPr="00440511">
              <w:rPr>
                <w:szCs w:val="18"/>
              </w:rPr>
              <w:t>Serum iron (µg/</w:t>
            </w:r>
            <w:proofErr w:type="spellStart"/>
            <w:r w:rsidRPr="00440511">
              <w:rPr>
                <w:szCs w:val="18"/>
              </w:rPr>
              <w:t>dL</w:t>
            </w:r>
            <w:proofErr w:type="spellEnd"/>
            <w:r w:rsidRPr="00440511">
              <w:rPr>
                <w:szCs w:val="18"/>
              </w:rPr>
              <w:t>)</w:t>
            </w:r>
          </w:p>
        </w:tc>
        <w:tc>
          <w:tcPr>
            <w:tcW w:w="1711" w:type="dxa"/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78.0 (62.0, 87.0)</w:t>
            </w:r>
          </w:p>
        </w:tc>
        <w:tc>
          <w:tcPr>
            <w:tcW w:w="1712" w:type="dxa"/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76.5 (65.0, 81.0)</w:t>
            </w:r>
          </w:p>
        </w:tc>
        <w:tc>
          <w:tcPr>
            <w:tcW w:w="1711" w:type="dxa"/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75.5 (67.0, 92.0)</w:t>
            </w:r>
          </w:p>
        </w:tc>
        <w:tc>
          <w:tcPr>
            <w:tcW w:w="1712" w:type="dxa"/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77.0 (66.0, 91.0)</w:t>
            </w:r>
          </w:p>
        </w:tc>
      </w:tr>
      <w:tr w:rsidR="00EC63F2" w:rsidRPr="00440511" w:rsidTr="008F5A52">
        <w:trPr>
          <w:jc w:val="center"/>
        </w:trPr>
        <w:tc>
          <w:tcPr>
            <w:tcW w:w="2596" w:type="dxa"/>
            <w:shd w:val="clear" w:color="auto" w:fill="auto"/>
            <w:noWrap/>
            <w:vAlign w:val="center"/>
          </w:tcPr>
          <w:p w:rsidR="00EC63F2" w:rsidRPr="00440511" w:rsidRDefault="00EC63F2" w:rsidP="008F5A52">
            <w:pPr>
              <w:pStyle w:val="TableCenter-9"/>
              <w:ind w:firstLine="180"/>
              <w:jc w:val="both"/>
              <w:rPr>
                <w:szCs w:val="18"/>
              </w:rPr>
            </w:pPr>
            <w:r w:rsidRPr="00440511">
              <w:rPr>
                <w:szCs w:val="18"/>
              </w:rPr>
              <w:t>Ferritin (µg/L)</w:t>
            </w:r>
          </w:p>
        </w:tc>
        <w:tc>
          <w:tcPr>
            <w:tcW w:w="1711" w:type="dxa"/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159.0 (103.0, 244.0)</w:t>
            </w:r>
          </w:p>
        </w:tc>
        <w:tc>
          <w:tcPr>
            <w:tcW w:w="1712" w:type="dxa"/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94.9 (59.9, 194.5)</w:t>
            </w:r>
          </w:p>
        </w:tc>
        <w:tc>
          <w:tcPr>
            <w:tcW w:w="1711" w:type="dxa"/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130.5 (52.8, 181.5)</w:t>
            </w:r>
          </w:p>
        </w:tc>
        <w:tc>
          <w:tcPr>
            <w:tcW w:w="1712" w:type="dxa"/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131.0 (89.4, 269.0)</w:t>
            </w:r>
          </w:p>
        </w:tc>
      </w:tr>
      <w:tr w:rsidR="00EC63F2" w:rsidRPr="00440511" w:rsidTr="008F5A52">
        <w:trPr>
          <w:jc w:val="center"/>
        </w:trPr>
        <w:tc>
          <w:tcPr>
            <w:tcW w:w="2596" w:type="dxa"/>
            <w:shd w:val="clear" w:color="auto" w:fill="auto"/>
            <w:noWrap/>
            <w:vAlign w:val="center"/>
          </w:tcPr>
          <w:p w:rsidR="00EC63F2" w:rsidRPr="00440511" w:rsidRDefault="00EC63F2" w:rsidP="008F5A52">
            <w:pPr>
              <w:pStyle w:val="TableCenter-9"/>
              <w:ind w:firstLine="180"/>
              <w:jc w:val="both"/>
              <w:rPr>
                <w:szCs w:val="18"/>
              </w:rPr>
            </w:pPr>
            <w:proofErr w:type="spellStart"/>
            <w:r w:rsidRPr="00440511">
              <w:rPr>
                <w:szCs w:val="18"/>
              </w:rPr>
              <w:t>Hepcidin</w:t>
            </w:r>
            <w:proofErr w:type="spellEnd"/>
            <w:r w:rsidRPr="00440511">
              <w:rPr>
                <w:szCs w:val="18"/>
              </w:rPr>
              <w:t xml:space="preserve"> (µg/L)</w:t>
            </w:r>
          </w:p>
        </w:tc>
        <w:tc>
          <w:tcPr>
            <w:tcW w:w="1711" w:type="dxa"/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89.3 (33.5, 144.0)</w:t>
            </w:r>
          </w:p>
        </w:tc>
        <w:tc>
          <w:tcPr>
            <w:tcW w:w="1712" w:type="dxa"/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65.0 (35.5, 108.5)</w:t>
            </w:r>
          </w:p>
        </w:tc>
        <w:tc>
          <w:tcPr>
            <w:tcW w:w="1711" w:type="dxa"/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49.3 (34.8, 104.3)</w:t>
            </w:r>
          </w:p>
        </w:tc>
        <w:tc>
          <w:tcPr>
            <w:tcW w:w="1712" w:type="dxa"/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70.8 (46.0, 125.0)</w:t>
            </w:r>
          </w:p>
        </w:tc>
      </w:tr>
      <w:tr w:rsidR="00EC63F2" w:rsidRPr="00440511" w:rsidTr="008F5A52">
        <w:trPr>
          <w:jc w:val="center"/>
        </w:trPr>
        <w:tc>
          <w:tcPr>
            <w:tcW w:w="2596" w:type="dxa"/>
            <w:shd w:val="clear" w:color="auto" w:fill="auto"/>
            <w:noWrap/>
            <w:vAlign w:val="center"/>
          </w:tcPr>
          <w:p w:rsidR="00EC63F2" w:rsidRPr="00440511" w:rsidRDefault="00EC63F2" w:rsidP="008F5A52">
            <w:pPr>
              <w:pStyle w:val="TableCenter-9"/>
              <w:ind w:firstLine="180"/>
              <w:jc w:val="both"/>
              <w:rPr>
                <w:szCs w:val="18"/>
              </w:rPr>
            </w:pPr>
            <w:r w:rsidRPr="00440511">
              <w:rPr>
                <w:szCs w:val="18"/>
              </w:rPr>
              <w:t>TIBC (µg/</w:t>
            </w:r>
            <w:proofErr w:type="spellStart"/>
            <w:r w:rsidRPr="00440511">
              <w:rPr>
                <w:szCs w:val="18"/>
              </w:rPr>
              <w:t>dL</w:t>
            </w:r>
            <w:proofErr w:type="spellEnd"/>
            <w:r w:rsidRPr="00440511">
              <w:rPr>
                <w:szCs w:val="18"/>
              </w:rPr>
              <w:t>)</w:t>
            </w:r>
          </w:p>
        </w:tc>
        <w:tc>
          <w:tcPr>
            <w:tcW w:w="1711" w:type="dxa"/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272.0 (245.0, 291.0)</w:t>
            </w:r>
          </w:p>
        </w:tc>
        <w:tc>
          <w:tcPr>
            <w:tcW w:w="1712" w:type="dxa"/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258.5 (240.5, 272.0)</w:t>
            </w:r>
          </w:p>
        </w:tc>
        <w:tc>
          <w:tcPr>
            <w:tcW w:w="1711" w:type="dxa"/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255.5 (242.0, 301.0)</w:t>
            </w:r>
          </w:p>
        </w:tc>
        <w:tc>
          <w:tcPr>
            <w:tcW w:w="1712" w:type="dxa"/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252.0 (241.0, 283.0)</w:t>
            </w:r>
          </w:p>
        </w:tc>
      </w:tr>
      <w:tr w:rsidR="00EC63F2" w:rsidRPr="00440511" w:rsidTr="008F5A52">
        <w:trPr>
          <w:jc w:val="center"/>
        </w:trPr>
        <w:tc>
          <w:tcPr>
            <w:tcW w:w="259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C63F2" w:rsidRPr="00440511" w:rsidRDefault="00EC63F2" w:rsidP="008F5A52">
            <w:pPr>
              <w:pStyle w:val="TableCenter-9"/>
              <w:ind w:firstLine="180"/>
              <w:jc w:val="both"/>
              <w:rPr>
                <w:szCs w:val="18"/>
              </w:rPr>
            </w:pPr>
            <w:r w:rsidRPr="00440511">
              <w:rPr>
                <w:szCs w:val="18"/>
              </w:rPr>
              <w:t>TSAT (%)</w:t>
            </w:r>
          </w:p>
        </w:tc>
        <w:tc>
          <w:tcPr>
            <w:tcW w:w="1711" w:type="dxa"/>
            <w:tcBorders>
              <w:bottom w:val="single" w:sz="12" w:space="0" w:color="auto"/>
            </w:tcBorders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28.7 (23.7, 33.6)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29.9 (25.4, 33.7)</w:t>
            </w:r>
          </w:p>
        </w:tc>
        <w:tc>
          <w:tcPr>
            <w:tcW w:w="1711" w:type="dxa"/>
            <w:tcBorders>
              <w:bottom w:val="single" w:sz="12" w:space="0" w:color="auto"/>
            </w:tcBorders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28.6 (22.5, 33.4)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29.4 (24.4, 36.4)</w:t>
            </w:r>
          </w:p>
        </w:tc>
      </w:tr>
    </w:tbl>
    <w:p w:rsidR="00EC63F2" w:rsidRPr="00861945" w:rsidRDefault="00EC63F2" w:rsidP="00EC63F2">
      <w:pPr>
        <w:rPr>
          <w:rFonts w:ascii="Times New Roman" w:hAnsi="Times New Roman" w:cs="Times New Roman"/>
          <w:szCs w:val="21"/>
        </w:rPr>
      </w:pPr>
    </w:p>
    <w:p w:rsidR="00EC63F2" w:rsidRPr="00FF531A" w:rsidRDefault="00EC63F2" w:rsidP="00EC63F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</w:t>
      </w:r>
      <w:r w:rsidRPr="00FF531A">
        <w:rPr>
          <w:rFonts w:ascii="Times New Roman" w:hAnsi="Times New Roman" w:cs="Times New Roman"/>
          <w:szCs w:val="21"/>
        </w:rPr>
        <w:t>onversion group</w:t>
      </w:r>
    </w:p>
    <w:tbl>
      <w:tblPr>
        <w:tblW w:w="5188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46"/>
        <w:gridCol w:w="1609"/>
        <w:gridCol w:w="1609"/>
        <w:gridCol w:w="1609"/>
        <w:gridCol w:w="1610"/>
      </w:tblGrid>
      <w:tr w:rsidR="00EC63F2" w:rsidRPr="00440511" w:rsidTr="008F5A52">
        <w:trPr>
          <w:jc w:val="center"/>
        </w:trPr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63F2" w:rsidRDefault="00EC63F2" w:rsidP="008F5A52">
            <w:pPr>
              <w:pStyle w:val="TableHead"/>
              <w:rPr>
                <w:rFonts w:cs="Times New Roman"/>
                <w:b w:val="0"/>
                <w:sz w:val="18"/>
                <w:szCs w:val="18"/>
                <w:lang w:eastAsia="ja-JP"/>
              </w:rPr>
            </w:pPr>
            <w:r w:rsidRPr="00FF531A">
              <w:rPr>
                <w:rFonts w:cs="Times New Roman"/>
                <w:b w:val="0"/>
                <w:sz w:val="18"/>
                <w:szCs w:val="18"/>
                <w:lang w:eastAsia="ja-JP"/>
              </w:rPr>
              <w:t xml:space="preserve">Iron-related </w:t>
            </w:r>
            <w:r>
              <w:rPr>
                <w:rFonts w:cs="Times New Roman" w:hint="eastAsia"/>
                <w:b w:val="0"/>
                <w:sz w:val="18"/>
                <w:szCs w:val="18"/>
                <w:lang w:eastAsia="ja-JP"/>
              </w:rPr>
              <w:t xml:space="preserve">parameters at </w:t>
            </w:r>
          </w:p>
          <w:p w:rsidR="00EC63F2" w:rsidRPr="00FF531A" w:rsidRDefault="00EC63F2" w:rsidP="008F5A52">
            <w:pPr>
              <w:pStyle w:val="TableHead"/>
              <w:rPr>
                <w:rFonts w:cs="Times New Roman"/>
                <w:b w:val="0"/>
                <w:sz w:val="18"/>
                <w:szCs w:val="18"/>
                <w:lang w:eastAsia="ja-JP"/>
              </w:rPr>
            </w:pPr>
            <w:r w:rsidRPr="00FF531A">
              <w:rPr>
                <w:rFonts w:cs="Times New Roman"/>
                <w:b w:val="0"/>
                <w:sz w:val="18"/>
                <w:szCs w:val="18"/>
                <w:lang w:eastAsia="ja-JP"/>
              </w:rPr>
              <w:t>Week 0</w:t>
            </w:r>
          </w:p>
          <w:p w:rsidR="00EC63F2" w:rsidRPr="00FF531A" w:rsidRDefault="00EC63F2" w:rsidP="008F5A52">
            <w:pPr>
              <w:pStyle w:val="TableHead"/>
              <w:rPr>
                <w:rFonts w:cs="Times New Roman"/>
                <w:b w:val="0"/>
                <w:sz w:val="18"/>
                <w:szCs w:val="18"/>
                <w:lang w:eastAsia="ja-JP"/>
              </w:rPr>
            </w:pPr>
            <w:r w:rsidRPr="00FF531A">
              <w:rPr>
                <w:rFonts w:cs="Times New Roman"/>
                <w:b w:val="0"/>
                <w:sz w:val="18"/>
                <w:szCs w:val="18"/>
                <w:lang w:eastAsia="ja-JP"/>
              </w:rPr>
              <w:t>Median (Q1, Q3)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63F2" w:rsidRPr="00FF531A" w:rsidRDefault="00EC63F2" w:rsidP="008F5A52">
            <w:pPr>
              <w:pStyle w:val="TableHead"/>
              <w:rPr>
                <w:rFonts w:cs="Times New Roman"/>
                <w:b w:val="0"/>
                <w:sz w:val="18"/>
                <w:szCs w:val="18"/>
                <w:lang w:eastAsia="ja-JP"/>
              </w:rPr>
            </w:pPr>
            <w:r w:rsidRPr="00FF531A">
              <w:rPr>
                <w:rFonts w:cs="Times New Roman"/>
                <w:b w:val="0"/>
                <w:sz w:val="18"/>
                <w:szCs w:val="18"/>
                <w:lang w:eastAsia="ja-JP"/>
              </w:rPr>
              <w:t>Placebo</w:t>
            </w:r>
          </w:p>
          <w:p w:rsidR="00EC63F2" w:rsidRPr="00FF531A" w:rsidRDefault="00EC63F2" w:rsidP="008F5A52">
            <w:pPr>
              <w:pStyle w:val="TableHead"/>
              <w:rPr>
                <w:rFonts w:cs="Times New Roman"/>
                <w:b w:val="0"/>
                <w:sz w:val="18"/>
                <w:szCs w:val="18"/>
                <w:lang w:eastAsia="ja-JP"/>
              </w:rPr>
            </w:pPr>
            <w:r w:rsidRPr="00FF531A">
              <w:rPr>
                <w:rFonts w:cs="Times New Roman"/>
                <w:b w:val="0"/>
                <w:sz w:val="18"/>
                <w:szCs w:val="18"/>
                <w:lang w:eastAsia="ja-JP"/>
              </w:rPr>
              <w:t>(</w:t>
            </w:r>
            <w:r w:rsidRPr="00FF531A">
              <w:rPr>
                <w:rFonts w:cs="Times New Roman"/>
                <w:b w:val="0"/>
                <w:i/>
                <w:sz w:val="18"/>
                <w:szCs w:val="18"/>
                <w:lang w:eastAsia="ja-JP"/>
              </w:rPr>
              <w:t>n</w:t>
            </w:r>
            <w:r w:rsidRPr="00FF531A">
              <w:rPr>
                <w:rFonts w:cs="Times New Roman"/>
                <w:b w:val="0"/>
                <w:sz w:val="18"/>
                <w:szCs w:val="18"/>
                <w:lang w:eastAsia="ja-JP"/>
              </w:rPr>
              <w:t xml:space="preserve"> = 26)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63F2" w:rsidRPr="00FF531A" w:rsidRDefault="00EC63F2" w:rsidP="008F5A52">
            <w:pPr>
              <w:pStyle w:val="TableHead"/>
              <w:rPr>
                <w:rFonts w:cs="Times New Roman"/>
                <w:b w:val="0"/>
                <w:sz w:val="18"/>
                <w:szCs w:val="18"/>
                <w:lang w:eastAsia="ja-JP"/>
              </w:rPr>
            </w:pPr>
            <w:proofErr w:type="spellStart"/>
            <w:r w:rsidRPr="00FF531A">
              <w:rPr>
                <w:rFonts w:cs="Times New Roman"/>
                <w:b w:val="0"/>
                <w:sz w:val="18"/>
                <w:szCs w:val="18"/>
                <w:lang w:eastAsia="ja-JP"/>
              </w:rPr>
              <w:t>Enarodustat</w:t>
            </w:r>
            <w:proofErr w:type="spellEnd"/>
          </w:p>
          <w:p w:rsidR="00EC63F2" w:rsidRPr="00FF531A" w:rsidRDefault="00EC63F2" w:rsidP="008F5A52">
            <w:pPr>
              <w:pStyle w:val="TableHead"/>
              <w:rPr>
                <w:rFonts w:cs="Times New Roman"/>
                <w:b w:val="0"/>
                <w:sz w:val="18"/>
                <w:szCs w:val="18"/>
                <w:lang w:eastAsia="ja-JP"/>
              </w:rPr>
            </w:pPr>
            <w:r w:rsidRPr="00FF531A">
              <w:rPr>
                <w:rFonts w:cs="Times New Roman"/>
                <w:b w:val="0"/>
                <w:sz w:val="18"/>
                <w:szCs w:val="18"/>
                <w:lang w:eastAsia="ja-JP"/>
              </w:rPr>
              <w:t>2</w:t>
            </w:r>
            <w:r w:rsidRPr="00FF531A">
              <w:rPr>
                <w:rFonts w:cs="Times New Roman"/>
                <w:b w:val="0"/>
                <w:sz w:val="18"/>
                <w:szCs w:val="18"/>
              </w:rPr>
              <w:t> mg</w:t>
            </w:r>
          </w:p>
          <w:p w:rsidR="00EC63F2" w:rsidRPr="00FF531A" w:rsidRDefault="00EC63F2" w:rsidP="008F5A52">
            <w:pPr>
              <w:pStyle w:val="TableHead"/>
              <w:rPr>
                <w:rFonts w:cs="Times New Roman"/>
                <w:b w:val="0"/>
                <w:sz w:val="18"/>
                <w:szCs w:val="18"/>
              </w:rPr>
            </w:pPr>
            <w:r w:rsidRPr="00FF531A">
              <w:rPr>
                <w:rFonts w:cs="Times New Roman"/>
                <w:b w:val="0"/>
                <w:sz w:val="18"/>
                <w:szCs w:val="18"/>
              </w:rPr>
              <w:t>(</w:t>
            </w:r>
            <w:r w:rsidRPr="00FF531A">
              <w:rPr>
                <w:rFonts w:cs="Times New Roman"/>
                <w:b w:val="0"/>
                <w:i/>
                <w:sz w:val="18"/>
                <w:szCs w:val="18"/>
                <w:lang w:eastAsia="ja-JP"/>
              </w:rPr>
              <w:t>n</w:t>
            </w:r>
            <w:r w:rsidRPr="00FF531A">
              <w:rPr>
                <w:rFonts w:cs="Times New Roman"/>
                <w:b w:val="0"/>
                <w:sz w:val="18"/>
                <w:szCs w:val="18"/>
              </w:rPr>
              <w:t xml:space="preserve"> = </w:t>
            </w:r>
            <w:r w:rsidRPr="00FF531A">
              <w:rPr>
                <w:rFonts w:cs="Times New Roman"/>
                <w:b w:val="0"/>
                <w:sz w:val="18"/>
                <w:szCs w:val="18"/>
                <w:lang w:eastAsia="ja-JP"/>
              </w:rPr>
              <w:t>26</w:t>
            </w:r>
            <w:r w:rsidRPr="00FF531A">
              <w:rPr>
                <w:rFonts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63F2" w:rsidRPr="00FF531A" w:rsidRDefault="00EC63F2" w:rsidP="008F5A52">
            <w:pPr>
              <w:pStyle w:val="TableHead"/>
              <w:rPr>
                <w:rFonts w:cs="Times New Roman"/>
                <w:b w:val="0"/>
                <w:sz w:val="18"/>
                <w:szCs w:val="18"/>
                <w:lang w:eastAsia="ja-JP"/>
              </w:rPr>
            </w:pPr>
            <w:proofErr w:type="spellStart"/>
            <w:r w:rsidRPr="00FF531A">
              <w:rPr>
                <w:rFonts w:cs="Times New Roman"/>
                <w:b w:val="0"/>
                <w:sz w:val="18"/>
                <w:szCs w:val="18"/>
                <w:lang w:eastAsia="ja-JP"/>
              </w:rPr>
              <w:t>Enarodustat</w:t>
            </w:r>
            <w:proofErr w:type="spellEnd"/>
          </w:p>
          <w:p w:rsidR="00EC63F2" w:rsidRPr="00FF531A" w:rsidRDefault="00EC63F2" w:rsidP="008F5A52">
            <w:pPr>
              <w:pStyle w:val="TableHead"/>
              <w:rPr>
                <w:rFonts w:cs="Times New Roman"/>
                <w:b w:val="0"/>
                <w:sz w:val="18"/>
                <w:szCs w:val="18"/>
                <w:lang w:eastAsia="ja-JP"/>
              </w:rPr>
            </w:pPr>
            <w:r w:rsidRPr="00FF531A">
              <w:rPr>
                <w:rFonts w:cs="Times New Roman"/>
                <w:b w:val="0"/>
                <w:sz w:val="18"/>
                <w:szCs w:val="18"/>
                <w:lang w:eastAsia="ja-JP"/>
              </w:rPr>
              <w:t>4</w:t>
            </w:r>
            <w:r w:rsidRPr="00FF531A">
              <w:rPr>
                <w:rFonts w:cs="Times New Roman"/>
                <w:b w:val="0"/>
                <w:sz w:val="18"/>
                <w:szCs w:val="18"/>
              </w:rPr>
              <w:t> mg</w:t>
            </w:r>
          </w:p>
          <w:p w:rsidR="00EC63F2" w:rsidRPr="00FF531A" w:rsidRDefault="00EC63F2" w:rsidP="008F5A52">
            <w:pPr>
              <w:pStyle w:val="TableHead"/>
              <w:rPr>
                <w:rFonts w:cs="Times New Roman"/>
                <w:b w:val="0"/>
                <w:sz w:val="18"/>
                <w:szCs w:val="18"/>
              </w:rPr>
            </w:pPr>
            <w:r w:rsidRPr="00FF531A">
              <w:rPr>
                <w:rFonts w:cs="Times New Roman"/>
                <w:b w:val="0"/>
                <w:sz w:val="18"/>
                <w:szCs w:val="18"/>
              </w:rPr>
              <w:t>(</w:t>
            </w:r>
            <w:r w:rsidRPr="00FF531A">
              <w:rPr>
                <w:rFonts w:cs="Times New Roman"/>
                <w:b w:val="0"/>
                <w:i/>
                <w:sz w:val="18"/>
                <w:szCs w:val="18"/>
                <w:lang w:eastAsia="ja-JP"/>
              </w:rPr>
              <w:t>n</w:t>
            </w:r>
            <w:r w:rsidRPr="00FF531A">
              <w:rPr>
                <w:rFonts w:cs="Times New Roman"/>
                <w:b w:val="0"/>
                <w:sz w:val="18"/>
                <w:szCs w:val="18"/>
              </w:rPr>
              <w:t xml:space="preserve"> = </w:t>
            </w:r>
            <w:r w:rsidRPr="00FF531A">
              <w:rPr>
                <w:rFonts w:cs="Times New Roman"/>
                <w:b w:val="0"/>
                <w:sz w:val="18"/>
                <w:szCs w:val="18"/>
                <w:lang w:eastAsia="ja-JP"/>
              </w:rPr>
              <w:t>27</w:t>
            </w:r>
            <w:r w:rsidRPr="00FF531A">
              <w:rPr>
                <w:rFonts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63F2" w:rsidRPr="00FF531A" w:rsidRDefault="00EC63F2" w:rsidP="008F5A52">
            <w:pPr>
              <w:pStyle w:val="TableHead"/>
              <w:rPr>
                <w:rFonts w:cs="Times New Roman"/>
                <w:b w:val="0"/>
                <w:sz w:val="18"/>
                <w:szCs w:val="18"/>
                <w:lang w:eastAsia="ja-JP"/>
              </w:rPr>
            </w:pPr>
            <w:proofErr w:type="spellStart"/>
            <w:r w:rsidRPr="00FF531A">
              <w:rPr>
                <w:rFonts w:cs="Times New Roman"/>
                <w:b w:val="0"/>
                <w:sz w:val="18"/>
                <w:szCs w:val="18"/>
                <w:lang w:eastAsia="ja-JP"/>
              </w:rPr>
              <w:t>Enarodustat</w:t>
            </w:r>
            <w:proofErr w:type="spellEnd"/>
          </w:p>
          <w:p w:rsidR="00EC63F2" w:rsidRPr="00FF531A" w:rsidRDefault="00EC63F2" w:rsidP="008F5A52">
            <w:pPr>
              <w:pStyle w:val="TableHead"/>
              <w:rPr>
                <w:rFonts w:cs="Times New Roman"/>
                <w:b w:val="0"/>
                <w:sz w:val="18"/>
                <w:szCs w:val="18"/>
                <w:lang w:eastAsia="ja-JP"/>
              </w:rPr>
            </w:pPr>
            <w:r w:rsidRPr="00FF531A">
              <w:rPr>
                <w:rFonts w:cs="Times New Roman"/>
                <w:b w:val="0"/>
                <w:sz w:val="18"/>
                <w:szCs w:val="18"/>
                <w:lang w:eastAsia="ja-JP"/>
              </w:rPr>
              <w:t>6</w:t>
            </w:r>
            <w:r w:rsidRPr="00FF531A">
              <w:rPr>
                <w:rFonts w:cs="Times New Roman"/>
                <w:b w:val="0"/>
                <w:sz w:val="18"/>
                <w:szCs w:val="18"/>
              </w:rPr>
              <w:t> mg</w:t>
            </w:r>
          </w:p>
          <w:p w:rsidR="00EC63F2" w:rsidRPr="00FF531A" w:rsidRDefault="00EC63F2" w:rsidP="008F5A52">
            <w:pPr>
              <w:pStyle w:val="TableHead"/>
              <w:rPr>
                <w:rFonts w:cs="Times New Roman"/>
                <w:b w:val="0"/>
                <w:sz w:val="18"/>
                <w:szCs w:val="18"/>
              </w:rPr>
            </w:pPr>
            <w:r w:rsidRPr="00FF531A">
              <w:rPr>
                <w:rFonts w:cs="Times New Roman"/>
                <w:b w:val="0"/>
                <w:sz w:val="18"/>
                <w:szCs w:val="18"/>
              </w:rPr>
              <w:t>(</w:t>
            </w:r>
            <w:r w:rsidRPr="00FF531A">
              <w:rPr>
                <w:rFonts w:cs="Times New Roman"/>
                <w:b w:val="0"/>
                <w:i/>
                <w:sz w:val="18"/>
                <w:szCs w:val="18"/>
                <w:lang w:eastAsia="ja-JP"/>
              </w:rPr>
              <w:t>n</w:t>
            </w:r>
            <w:r w:rsidRPr="00FF531A">
              <w:rPr>
                <w:rFonts w:cs="Times New Roman"/>
                <w:b w:val="0"/>
                <w:sz w:val="18"/>
                <w:szCs w:val="18"/>
              </w:rPr>
              <w:t xml:space="preserve"> = </w:t>
            </w:r>
            <w:r w:rsidRPr="00FF531A">
              <w:rPr>
                <w:rFonts w:cs="Times New Roman"/>
                <w:b w:val="0"/>
                <w:sz w:val="18"/>
                <w:szCs w:val="18"/>
                <w:lang w:eastAsia="ja-JP"/>
              </w:rPr>
              <w:t>27</w:t>
            </w:r>
            <w:r w:rsidRPr="00FF531A">
              <w:rPr>
                <w:rFonts w:cs="Times New Roman"/>
                <w:b w:val="0"/>
                <w:sz w:val="18"/>
                <w:szCs w:val="18"/>
              </w:rPr>
              <w:t>)</w:t>
            </w:r>
          </w:p>
        </w:tc>
      </w:tr>
      <w:tr w:rsidR="00EC63F2" w:rsidRPr="00440511" w:rsidTr="008F5A52">
        <w:trPr>
          <w:jc w:val="center"/>
        </w:trPr>
        <w:tc>
          <w:tcPr>
            <w:tcW w:w="2610" w:type="dxa"/>
            <w:shd w:val="clear" w:color="auto" w:fill="auto"/>
            <w:noWrap/>
            <w:vAlign w:val="center"/>
          </w:tcPr>
          <w:p w:rsidR="00EC63F2" w:rsidRPr="00440511" w:rsidRDefault="00EC63F2" w:rsidP="008F5A52">
            <w:pPr>
              <w:pStyle w:val="TableCenter-9"/>
              <w:ind w:firstLine="180"/>
              <w:jc w:val="both"/>
              <w:rPr>
                <w:szCs w:val="18"/>
              </w:rPr>
            </w:pPr>
            <w:r w:rsidRPr="00440511">
              <w:rPr>
                <w:szCs w:val="18"/>
              </w:rPr>
              <w:t>Serum iron (µg/</w:t>
            </w:r>
            <w:proofErr w:type="spellStart"/>
            <w:r w:rsidRPr="00440511">
              <w:rPr>
                <w:szCs w:val="18"/>
              </w:rPr>
              <w:t>dL</w:t>
            </w:r>
            <w:proofErr w:type="spellEnd"/>
            <w:r w:rsidRPr="00440511">
              <w:rPr>
                <w:szCs w:val="18"/>
              </w:rPr>
              <w:t>)</w:t>
            </w:r>
          </w:p>
        </w:tc>
        <w:tc>
          <w:tcPr>
            <w:tcW w:w="1715" w:type="dxa"/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90.5 (78.0, 103.0)</w:t>
            </w:r>
          </w:p>
        </w:tc>
        <w:tc>
          <w:tcPr>
            <w:tcW w:w="1715" w:type="dxa"/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77.5 (64.0, 97.0)</w:t>
            </w:r>
          </w:p>
        </w:tc>
        <w:tc>
          <w:tcPr>
            <w:tcW w:w="1715" w:type="dxa"/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87.5 (77.0, 103.0)</w:t>
            </w:r>
          </w:p>
        </w:tc>
        <w:tc>
          <w:tcPr>
            <w:tcW w:w="1716" w:type="dxa"/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85.0 (73.0, 99.0)</w:t>
            </w:r>
          </w:p>
        </w:tc>
      </w:tr>
      <w:tr w:rsidR="00EC63F2" w:rsidRPr="00440511" w:rsidTr="008F5A52">
        <w:trPr>
          <w:jc w:val="center"/>
        </w:trPr>
        <w:tc>
          <w:tcPr>
            <w:tcW w:w="2610" w:type="dxa"/>
            <w:shd w:val="clear" w:color="auto" w:fill="auto"/>
            <w:noWrap/>
            <w:vAlign w:val="center"/>
          </w:tcPr>
          <w:p w:rsidR="00EC63F2" w:rsidRPr="00440511" w:rsidRDefault="00EC63F2" w:rsidP="008F5A52">
            <w:pPr>
              <w:pStyle w:val="TableCenter-9"/>
              <w:ind w:firstLine="180"/>
              <w:jc w:val="both"/>
              <w:rPr>
                <w:szCs w:val="18"/>
              </w:rPr>
            </w:pPr>
            <w:r w:rsidRPr="00440511">
              <w:rPr>
                <w:szCs w:val="18"/>
              </w:rPr>
              <w:t>Ferritin (µg/L)</w:t>
            </w:r>
          </w:p>
        </w:tc>
        <w:tc>
          <w:tcPr>
            <w:tcW w:w="1715" w:type="dxa"/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150.0 (82.5, 193.0)</w:t>
            </w:r>
          </w:p>
        </w:tc>
        <w:tc>
          <w:tcPr>
            <w:tcW w:w="1715" w:type="dxa"/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165.0 (86.1, 226.0)</w:t>
            </w:r>
          </w:p>
        </w:tc>
        <w:tc>
          <w:tcPr>
            <w:tcW w:w="1715" w:type="dxa"/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145.0 (66.0, 179.0)</w:t>
            </w:r>
          </w:p>
        </w:tc>
        <w:tc>
          <w:tcPr>
            <w:tcW w:w="1716" w:type="dxa"/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114.0 (70.9, 215.0)</w:t>
            </w:r>
          </w:p>
        </w:tc>
      </w:tr>
      <w:tr w:rsidR="00EC63F2" w:rsidRPr="00440511" w:rsidTr="008F5A52">
        <w:trPr>
          <w:jc w:val="center"/>
        </w:trPr>
        <w:tc>
          <w:tcPr>
            <w:tcW w:w="2610" w:type="dxa"/>
            <w:shd w:val="clear" w:color="auto" w:fill="auto"/>
            <w:noWrap/>
            <w:vAlign w:val="center"/>
          </w:tcPr>
          <w:p w:rsidR="00EC63F2" w:rsidRPr="00440511" w:rsidRDefault="00EC63F2" w:rsidP="008F5A52">
            <w:pPr>
              <w:pStyle w:val="TableCenter-9"/>
              <w:ind w:firstLine="180"/>
              <w:jc w:val="both"/>
              <w:rPr>
                <w:szCs w:val="18"/>
              </w:rPr>
            </w:pPr>
            <w:proofErr w:type="spellStart"/>
            <w:r w:rsidRPr="00440511">
              <w:rPr>
                <w:szCs w:val="18"/>
              </w:rPr>
              <w:t>Hepcidin</w:t>
            </w:r>
            <w:proofErr w:type="spellEnd"/>
            <w:r w:rsidRPr="00440511">
              <w:rPr>
                <w:szCs w:val="18"/>
              </w:rPr>
              <w:t xml:space="preserve"> (µg/L)</w:t>
            </w:r>
          </w:p>
        </w:tc>
        <w:tc>
          <w:tcPr>
            <w:tcW w:w="1715" w:type="dxa"/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95.6 (61.0, 126.0)</w:t>
            </w:r>
          </w:p>
        </w:tc>
        <w:tc>
          <w:tcPr>
            <w:tcW w:w="1715" w:type="dxa"/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87.3 (52.5, 173.0)</w:t>
            </w:r>
          </w:p>
        </w:tc>
        <w:tc>
          <w:tcPr>
            <w:tcW w:w="1715" w:type="dxa"/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80.7 (54.5, 153.0)</w:t>
            </w:r>
          </w:p>
        </w:tc>
        <w:tc>
          <w:tcPr>
            <w:tcW w:w="1716" w:type="dxa"/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88.6 (44.3, 206.0)</w:t>
            </w:r>
          </w:p>
        </w:tc>
      </w:tr>
      <w:tr w:rsidR="00EC63F2" w:rsidRPr="00440511" w:rsidTr="008F5A52">
        <w:trPr>
          <w:jc w:val="center"/>
        </w:trPr>
        <w:tc>
          <w:tcPr>
            <w:tcW w:w="2610" w:type="dxa"/>
            <w:shd w:val="clear" w:color="auto" w:fill="auto"/>
            <w:noWrap/>
            <w:vAlign w:val="center"/>
          </w:tcPr>
          <w:p w:rsidR="00EC63F2" w:rsidRPr="00440511" w:rsidRDefault="00EC63F2" w:rsidP="008F5A52">
            <w:pPr>
              <w:pStyle w:val="TableCenter-9"/>
              <w:ind w:firstLine="180"/>
              <w:jc w:val="both"/>
              <w:rPr>
                <w:szCs w:val="18"/>
              </w:rPr>
            </w:pPr>
            <w:r w:rsidRPr="00440511">
              <w:rPr>
                <w:szCs w:val="18"/>
              </w:rPr>
              <w:t>TIBC (µg/</w:t>
            </w:r>
            <w:proofErr w:type="spellStart"/>
            <w:r w:rsidRPr="00440511">
              <w:rPr>
                <w:szCs w:val="18"/>
              </w:rPr>
              <w:t>dL</w:t>
            </w:r>
            <w:proofErr w:type="spellEnd"/>
            <w:r w:rsidRPr="00440511">
              <w:rPr>
                <w:szCs w:val="18"/>
              </w:rPr>
              <w:t>)</w:t>
            </w:r>
          </w:p>
        </w:tc>
        <w:tc>
          <w:tcPr>
            <w:tcW w:w="1715" w:type="dxa"/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261.5 (236.0, 299.0)</w:t>
            </w:r>
          </w:p>
        </w:tc>
        <w:tc>
          <w:tcPr>
            <w:tcW w:w="1715" w:type="dxa"/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256.0 (234.0, 285.0)</w:t>
            </w:r>
          </w:p>
        </w:tc>
        <w:tc>
          <w:tcPr>
            <w:tcW w:w="1715" w:type="dxa"/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266.0 (248.0, 291.0)</w:t>
            </w:r>
          </w:p>
        </w:tc>
        <w:tc>
          <w:tcPr>
            <w:tcW w:w="1716" w:type="dxa"/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269.0 (247.0, 300.0)</w:t>
            </w:r>
          </w:p>
        </w:tc>
      </w:tr>
      <w:tr w:rsidR="00EC63F2" w:rsidRPr="00440511" w:rsidTr="008F5A52">
        <w:trPr>
          <w:jc w:val="center"/>
        </w:trPr>
        <w:tc>
          <w:tcPr>
            <w:tcW w:w="261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C63F2" w:rsidRPr="00440511" w:rsidRDefault="00EC63F2" w:rsidP="008F5A52">
            <w:pPr>
              <w:pStyle w:val="TableCenter-9"/>
              <w:ind w:firstLine="180"/>
              <w:jc w:val="both"/>
              <w:rPr>
                <w:szCs w:val="18"/>
              </w:rPr>
            </w:pPr>
            <w:r w:rsidRPr="00440511">
              <w:rPr>
                <w:szCs w:val="18"/>
              </w:rPr>
              <w:t>TSAT (%)</w:t>
            </w:r>
          </w:p>
        </w:tc>
        <w:tc>
          <w:tcPr>
            <w:tcW w:w="1715" w:type="dxa"/>
            <w:tcBorders>
              <w:bottom w:val="single" w:sz="12" w:space="0" w:color="auto"/>
            </w:tcBorders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32.1 (27.6, 39.0)</w:t>
            </w:r>
          </w:p>
        </w:tc>
        <w:tc>
          <w:tcPr>
            <w:tcW w:w="1715" w:type="dxa"/>
            <w:tcBorders>
              <w:bottom w:val="single" w:sz="12" w:space="0" w:color="auto"/>
            </w:tcBorders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28.7 (22.4, 35.9)</w:t>
            </w:r>
          </w:p>
        </w:tc>
        <w:tc>
          <w:tcPr>
            <w:tcW w:w="1715" w:type="dxa"/>
            <w:tcBorders>
              <w:bottom w:val="single" w:sz="12" w:space="0" w:color="auto"/>
            </w:tcBorders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34.3 (24.9, 39.3)</w:t>
            </w:r>
          </w:p>
        </w:tc>
        <w:tc>
          <w:tcPr>
            <w:tcW w:w="1716" w:type="dxa"/>
            <w:tcBorders>
              <w:bottom w:val="single" w:sz="12" w:space="0" w:color="auto"/>
            </w:tcBorders>
            <w:shd w:val="clear" w:color="auto" w:fill="auto"/>
          </w:tcPr>
          <w:p w:rsidR="00EC63F2" w:rsidRPr="00440511" w:rsidRDefault="00EC63F2" w:rsidP="008F5A52">
            <w:pPr>
              <w:pStyle w:val="TableCenter-9"/>
              <w:rPr>
                <w:szCs w:val="18"/>
              </w:rPr>
            </w:pPr>
            <w:r w:rsidRPr="00440511">
              <w:rPr>
                <w:szCs w:val="18"/>
              </w:rPr>
              <w:t>33.1 (25.6, 35.2)</w:t>
            </w:r>
          </w:p>
        </w:tc>
      </w:tr>
    </w:tbl>
    <w:p w:rsidR="00EC63F2" w:rsidRPr="00861945" w:rsidRDefault="00EC63F2" w:rsidP="00EC63F2">
      <w:pPr>
        <w:rPr>
          <w:rFonts w:ascii="Times New Roman" w:hAnsi="Times New Roman" w:cs="Times New Roman"/>
          <w:szCs w:val="21"/>
        </w:rPr>
      </w:pPr>
      <w:proofErr w:type="gramStart"/>
      <w:r w:rsidRPr="00861945">
        <w:rPr>
          <w:rFonts w:ascii="Times New Roman" w:hAnsi="Times New Roman" w:cs="Times New Roman"/>
          <w:szCs w:val="21"/>
        </w:rPr>
        <w:t>TIBC, total iron-binding capacity; TSAT, transferrin saturation.</w:t>
      </w:r>
      <w:proofErr w:type="gramEnd"/>
    </w:p>
    <w:p w:rsidR="00EC63F2" w:rsidRPr="00861945" w:rsidRDefault="00EC63F2" w:rsidP="00EC63F2">
      <w:pPr>
        <w:ind w:left="284" w:hanging="284"/>
        <w:rPr>
          <w:rFonts w:ascii="Times New Roman" w:hAnsi="Times New Roman" w:cs="Times New Roman"/>
          <w:szCs w:val="21"/>
        </w:rPr>
      </w:pPr>
    </w:p>
    <w:p w:rsidR="00EC63F2" w:rsidRPr="00EC63F2" w:rsidRDefault="00EC63F2" w:rsidP="00CB7081">
      <w:pPr>
        <w:spacing w:line="480" w:lineRule="auto"/>
        <w:rPr>
          <w:rFonts w:ascii="Times New Roman" w:hAnsi="Times New Roman" w:cs="Times New Roman"/>
        </w:rPr>
      </w:pPr>
    </w:p>
    <w:sectPr w:rsidR="00EC63F2" w:rsidRPr="00EC63F2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FE" w:rsidRDefault="00CA2AFE" w:rsidP="000C7AB2">
      <w:r>
        <w:separator/>
      </w:r>
    </w:p>
  </w:endnote>
  <w:endnote w:type="continuationSeparator" w:id="0">
    <w:p w:rsidR="00CA2AFE" w:rsidRDefault="00CA2AFE" w:rsidP="000C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412976"/>
      <w:docPartObj>
        <w:docPartGallery w:val="Page Numbers (Bottom of Page)"/>
        <w:docPartUnique/>
      </w:docPartObj>
    </w:sdtPr>
    <w:sdtEndPr/>
    <w:sdtContent>
      <w:p w:rsidR="00362F57" w:rsidRDefault="00362F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41D" w:rsidRPr="00B4041D">
          <w:rPr>
            <w:noProof/>
            <w:lang w:val="ja-JP"/>
          </w:rPr>
          <w:t>3</w:t>
        </w:r>
        <w:r>
          <w:fldChar w:fldCharType="end"/>
        </w:r>
      </w:p>
    </w:sdtContent>
  </w:sdt>
  <w:p w:rsidR="00362F57" w:rsidRDefault="00362F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FE" w:rsidRDefault="00CA2AFE" w:rsidP="000C7AB2">
      <w:r>
        <w:separator/>
      </w:r>
    </w:p>
  </w:footnote>
  <w:footnote w:type="continuationSeparator" w:id="0">
    <w:p w:rsidR="00CA2AFE" w:rsidRDefault="00CA2AFE" w:rsidP="000C7AB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CA_R00112">
    <w15:presenceInfo w15:providerId="None" w15:userId="ASCA_R00112"/>
  </w15:person>
  <w15:person w15:author="Ayli Chong">
    <w15:presenceInfo w15:providerId="None" w15:userId="Ayli Ch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81"/>
    <w:rsid w:val="00012044"/>
    <w:rsid w:val="000C7AB2"/>
    <w:rsid w:val="001256AD"/>
    <w:rsid w:val="001B4CA2"/>
    <w:rsid w:val="002143DE"/>
    <w:rsid w:val="002D4AA8"/>
    <w:rsid w:val="00305735"/>
    <w:rsid w:val="00362F57"/>
    <w:rsid w:val="003F3B20"/>
    <w:rsid w:val="00420048"/>
    <w:rsid w:val="00440511"/>
    <w:rsid w:val="005B2D5F"/>
    <w:rsid w:val="00616AA5"/>
    <w:rsid w:val="00631123"/>
    <w:rsid w:val="00660585"/>
    <w:rsid w:val="006625CC"/>
    <w:rsid w:val="006D0A35"/>
    <w:rsid w:val="006E0465"/>
    <w:rsid w:val="00757462"/>
    <w:rsid w:val="007819C8"/>
    <w:rsid w:val="00803C34"/>
    <w:rsid w:val="008429D0"/>
    <w:rsid w:val="00852E94"/>
    <w:rsid w:val="00861945"/>
    <w:rsid w:val="00870DDF"/>
    <w:rsid w:val="008D1155"/>
    <w:rsid w:val="00A43C2D"/>
    <w:rsid w:val="00A87706"/>
    <w:rsid w:val="00A94AD4"/>
    <w:rsid w:val="00AB4364"/>
    <w:rsid w:val="00B4041D"/>
    <w:rsid w:val="00C14E21"/>
    <w:rsid w:val="00C30381"/>
    <w:rsid w:val="00C43BE9"/>
    <w:rsid w:val="00C95CD9"/>
    <w:rsid w:val="00CA2AFE"/>
    <w:rsid w:val="00CA440B"/>
    <w:rsid w:val="00CB7081"/>
    <w:rsid w:val="00CC0349"/>
    <w:rsid w:val="00CD1D3A"/>
    <w:rsid w:val="00D22FA4"/>
    <w:rsid w:val="00D52B40"/>
    <w:rsid w:val="00D759D8"/>
    <w:rsid w:val="00E11161"/>
    <w:rsid w:val="00EC63F2"/>
    <w:rsid w:val="00EE0C75"/>
    <w:rsid w:val="00E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AB2"/>
  </w:style>
  <w:style w:type="paragraph" w:styleId="a5">
    <w:name w:val="footer"/>
    <w:basedOn w:val="a"/>
    <w:link w:val="a6"/>
    <w:uiPriority w:val="99"/>
    <w:unhideWhenUsed/>
    <w:rsid w:val="000C7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AB2"/>
  </w:style>
  <w:style w:type="paragraph" w:customStyle="1" w:styleId="TableHead">
    <w:name w:val="Table Head"/>
    <w:basedOn w:val="a"/>
    <w:rsid w:val="001256AD"/>
    <w:pPr>
      <w:keepNext/>
      <w:widowControl/>
      <w:topLinePunct/>
      <w:snapToGrid w:val="0"/>
      <w:jc w:val="center"/>
    </w:pPr>
    <w:rPr>
      <w:rFonts w:ascii="Times New Roman" w:eastAsia="ＭＳ 明朝" w:hAnsi="Times New Roman" w:cs="Arial"/>
      <w:b/>
      <w:bCs/>
      <w:kern w:val="0"/>
      <w:szCs w:val="21"/>
      <w:lang w:eastAsia="en-US"/>
    </w:rPr>
  </w:style>
  <w:style w:type="paragraph" w:customStyle="1" w:styleId="TableCenter-9">
    <w:name w:val="Table Center-9"/>
    <w:basedOn w:val="a"/>
    <w:rsid w:val="001256AD"/>
    <w:pPr>
      <w:keepNext/>
      <w:keepLines/>
      <w:topLinePunct/>
      <w:snapToGrid w:val="0"/>
      <w:jc w:val="center"/>
    </w:pPr>
    <w:rPr>
      <w:rFonts w:ascii="Times New Roman" w:eastAsia="ＭＳ 明朝" w:hAnsi="Times New Roman" w:cs="Times New Roman"/>
      <w:kern w:val="0"/>
      <w:sz w:val="18"/>
      <w:szCs w:val="21"/>
    </w:rPr>
  </w:style>
  <w:style w:type="character" w:styleId="a7">
    <w:name w:val="annotation reference"/>
    <w:basedOn w:val="a0"/>
    <w:rsid w:val="001256AD"/>
    <w:rPr>
      <w:sz w:val="18"/>
      <w:szCs w:val="18"/>
    </w:rPr>
  </w:style>
  <w:style w:type="paragraph" w:styleId="a8">
    <w:name w:val="annotation text"/>
    <w:basedOn w:val="a"/>
    <w:link w:val="a9"/>
    <w:rsid w:val="001256AD"/>
    <w:pPr>
      <w:topLinePunct/>
      <w:spacing w:line="360" w:lineRule="atLeast"/>
      <w:jc w:val="left"/>
    </w:pPr>
    <w:rPr>
      <w:rFonts w:ascii="Times New Roman" w:eastAsia="ＭＳ 明朝" w:hAnsi="Times New Roman" w:cs="Times New Roman"/>
      <w:kern w:val="0"/>
      <w:szCs w:val="21"/>
    </w:rPr>
  </w:style>
  <w:style w:type="character" w:customStyle="1" w:styleId="a9">
    <w:name w:val="コメント文字列 (文字)"/>
    <w:basedOn w:val="a0"/>
    <w:link w:val="a8"/>
    <w:rsid w:val="001256AD"/>
    <w:rPr>
      <w:rFonts w:ascii="Times New Roman" w:eastAsia="ＭＳ 明朝" w:hAnsi="Times New Roman" w:cs="Times New Roman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25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56A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5B2D5F"/>
    <w:pPr>
      <w:topLinePunct w:val="0"/>
      <w:spacing w:line="240" w:lineRule="auto"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d">
    <w:name w:val="コメント内容 (文字)"/>
    <w:basedOn w:val="a9"/>
    <w:link w:val="ac"/>
    <w:uiPriority w:val="99"/>
    <w:semiHidden/>
    <w:rsid w:val="005B2D5F"/>
    <w:rPr>
      <w:rFonts w:ascii="Times New Roman" w:eastAsia="ＭＳ 明朝" w:hAnsi="Times New Roman" w:cs="Times New Roman"/>
      <w:b/>
      <w:bCs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AB2"/>
  </w:style>
  <w:style w:type="paragraph" w:styleId="a5">
    <w:name w:val="footer"/>
    <w:basedOn w:val="a"/>
    <w:link w:val="a6"/>
    <w:uiPriority w:val="99"/>
    <w:unhideWhenUsed/>
    <w:rsid w:val="000C7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AB2"/>
  </w:style>
  <w:style w:type="paragraph" w:customStyle="1" w:styleId="TableHead">
    <w:name w:val="Table Head"/>
    <w:basedOn w:val="a"/>
    <w:rsid w:val="001256AD"/>
    <w:pPr>
      <w:keepNext/>
      <w:widowControl/>
      <w:topLinePunct/>
      <w:snapToGrid w:val="0"/>
      <w:jc w:val="center"/>
    </w:pPr>
    <w:rPr>
      <w:rFonts w:ascii="Times New Roman" w:eastAsia="ＭＳ 明朝" w:hAnsi="Times New Roman" w:cs="Arial"/>
      <w:b/>
      <w:bCs/>
      <w:kern w:val="0"/>
      <w:szCs w:val="21"/>
      <w:lang w:eastAsia="en-US"/>
    </w:rPr>
  </w:style>
  <w:style w:type="paragraph" w:customStyle="1" w:styleId="TableCenter-9">
    <w:name w:val="Table Center-9"/>
    <w:basedOn w:val="a"/>
    <w:rsid w:val="001256AD"/>
    <w:pPr>
      <w:keepNext/>
      <w:keepLines/>
      <w:topLinePunct/>
      <w:snapToGrid w:val="0"/>
      <w:jc w:val="center"/>
    </w:pPr>
    <w:rPr>
      <w:rFonts w:ascii="Times New Roman" w:eastAsia="ＭＳ 明朝" w:hAnsi="Times New Roman" w:cs="Times New Roman"/>
      <w:kern w:val="0"/>
      <w:sz w:val="18"/>
      <w:szCs w:val="21"/>
    </w:rPr>
  </w:style>
  <w:style w:type="character" w:styleId="a7">
    <w:name w:val="annotation reference"/>
    <w:basedOn w:val="a0"/>
    <w:rsid w:val="001256AD"/>
    <w:rPr>
      <w:sz w:val="18"/>
      <w:szCs w:val="18"/>
    </w:rPr>
  </w:style>
  <w:style w:type="paragraph" w:styleId="a8">
    <w:name w:val="annotation text"/>
    <w:basedOn w:val="a"/>
    <w:link w:val="a9"/>
    <w:rsid w:val="001256AD"/>
    <w:pPr>
      <w:topLinePunct/>
      <w:spacing w:line="360" w:lineRule="atLeast"/>
      <w:jc w:val="left"/>
    </w:pPr>
    <w:rPr>
      <w:rFonts w:ascii="Times New Roman" w:eastAsia="ＭＳ 明朝" w:hAnsi="Times New Roman" w:cs="Times New Roman"/>
      <w:kern w:val="0"/>
      <w:szCs w:val="21"/>
    </w:rPr>
  </w:style>
  <w:style w:type="character" w:customStyle="1" w:styleId="a9">
    <w:name w:val="コメント文字列 (文字)"/>
    <w:basedOn w:val="a0"/>
    <w:link w:val="a8"/>
    <w:rsid w:val="001256AD"/>
    <w:rPr>
      <w:rFonts w:ascii="Times New Roman" w:eastAsia="ＭＳ 明朝" w:hAnsi="Times New Roman" w:cs="Times New Roman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25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56A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5B2D5F"/>
    <w:pPr>
      <w:topLinePunct w:val="0"/>
      <w:spacing w:line="240" w:lineRule="auto"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d">
    <w:name w:val="コメント内容 (文字)"/>
    <w:basedOn w:val="a9"/>
    <w:link w:val="ac"/>
    <w:uiPriority w:val="99"/>
    <w:semiHidden/>
    <w:rsid w:val="005B2D5F"/>
    <w:rPr>
      <w:rFonts w:ascii="Times New Roman" w:eastAsia="ＭＳ 明朝" w:hAnsi="Times New Roman" w:cs="Times New Roman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日本たばこ産業株式会社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Miyazawa, Yuya</dc:creator>
  <cp:lastModifiedBy>Miyazawa, Yuya</cp:lastModifiedBy>
  <cp:revision>3</cp:revision>
  <cp:lastPrinted>2018-11-06T00:57:00Z</cp:lastPrinted>
  <dcterms:created xsi:type="dcterms:W3CDTF">2018-12-27T04:31:00Z</dcterms:created>
  <dcterms:modified xsi:type="dcterms:W3CDTF">2018-12-27T04:34:00Z</dcterms:modified>
</cp:coreProperties>
</file>