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8F10" w14:textId="3458B9A1" w:rsidR="00973C15" w:rsidRDefault="00973C15">
      <w:pPr>
        <w:rPr>
          <w:b/>
        </w:rPr>
      </w:pPr>
      <w:bookmarkStart w:id="0" w:name="_GoBack"/>
      <w:bookmarkEnd w:id="0"/>
      <w:r>
        <w:rPr>
          <w:b/>
        </w:rPr>
        <w:t>SUPPLEMENTARY MATERIALS FOR:</w:t>
      </w:r>
    </w:p>
    <w:p w14:paraId="4AD626B6" w14:textId="1497EA10" w:rsidR="00973C15" w:rsidRDefault="00973C15">
      <w:pPr>
        <w:rPr>
          <w:b/>
        </w:rPr>
      </w:pPr>
    </w:p>
    <w:p w14:paraId="22FB2867" w14:textId="154BCB90" w:rsidR="00973C15" w:rsidRPr="00973C15" w:rsidRDefault="00973C15">
      <w:pPr>
        <w:rPr>
          <w:b/>
        </w:rPr>
      </w:pPr>
      <w:r w:rsidRPr="00973C15">
        <w:rPr>
          <w:b/>
        </w:rPr>
        <w:t>Manuscript Title</w:t>
      </w:r>
    </w:p>
    <w:p w14:paraId="1353A142" w14:textId="77777777" w:rsidR="00973C15" w:rsidRPr="00973C15" w:rsidRDefault="00973C15" w:rsidP="00973C15">
      <w:r w:rsidRPr="00973C15">
        <w:t>Differential Molecular Modeling Predictions of Mid and Conventional Dialysate Flows</w:t>
      </w:r>
    </w:p>
    <w:p w14:paraId="0A5E2444" w14:textId="77777777" w:rsidR="00973C15" w:rsidRPr="000826C8" w:rsidRDefault="00973C15" w:rsidP="00973C15">
      <w:pPr>
        <w:rPr>
          <w:b/>
        </w:rPr>
      </w:pPr>
    </w:p>
    <w:p w14:paraId="62844065" w14:textId="77777777" w:rsidR="00973C15" w:rsidRPr="00973C15" w:rsidRDefault="00973C15" w:rsidP="00973C15">
      <w:pPr>
        <w:rPr>
          <w:b/>
        </w:rPr>
      </w:pPr>
      <w:r w:rsidRPr="00973C15">
        <w:rPr>
          <w:b/>
        </w:rPr>
        <w:t>Authors</w:t>
      </w:r>
    </w:p>
    <w:p w14:paraId="58A1FC86" w14:textId="4F4699B9" w:rsidR="00973C15" w:rsidRDefault="00973C15" w:rsidP="00973C15">
      <w:r>
        <w:t>John K. Leypoldt, PhD</w:t>
      </w:r>
      <w:r>
        <w:rPr>
          <w:vertAlign w:val="superscript"/>
        </w:rPr>
        <w:t>3</w:t>
      </w:r>
      <w:r>
        <w:t>, Sarah Prichard, MD</w:t>
      </w:r>
      <w:r>
        <w:rPr>
          <w:vertAlign w:val="superscript"/>
        </w:rPr>
        <w:t>4</w:t>
      </w:r>
      <w:r>
        <w:t>, Glenn M. Chertow, MD</w:t>
      </w:r>
      <w:r w:rsidRPr="00DE0BF5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, Luis Alvarez, MD, PhD</w:t>
      </w:r>
      <w:r w:rsidRPr="00DE0BF5">
        <w:rPr>
          <w:vertAlign w:val="superscript"/>
        </w:rPr>
        <w:t>2</w:t>
      </w:r>
    </w:p>
    <w:p w14:paraId="596186E1" w14:textId="77777777" w:rsidR="00973C15" w:rsidRDefault="00973C15" w:rsidP="00973C15">
      <w:r w:rsidRPr="00DE0BF5">
        <w:rPr>
          <w:vertAlign w:val="superscript"/>
        </w:rPr>
        <w:t>1</w:t>
      </w:r>
      <w:r>
        <w:t xml:space="preserve">Stanford University School of Medicine, </w:t>
      </w:r>
      <w:r w:rsidRPr="00DE0BF5">
        <w:rPr>
          <w:vertAlign w:val="superscript"/>
        </w:rPr>
        <w:t>2</w:t>
      </w:r>
      <w:r>
        <w:t xml:space="preserve">Palo Alto Medical Foundation, </w:t>
      </w:r>
      <w:r w:rsidRPr="00836ED5">
        <w:rPr>
          <w:vertAlign w:val="superscript"/>
        </w:rPr>
        <w:t>3</w:t>
      </w:r>
      <w:r>
        <w:t xml:space="preserve">Unaffiliated, San Clemente, CA  </w:t>
      </w:r>
      <w:r w:rsidRPr="002D64A4">
        <w:rPr>
          <w:vertAlign w:val="superscript"/>
        </w:rPr>
        <w:t>4</w:t>
      </w:r>
      <w:r>
        <w:t>Unaffiliated, Montreal, Canada</w:t>
      </w:r>
    </w:p>
    <w:p w14:paraId="3CF612E5" w14:textId="77777777" w:rsidR="00973C15" w:rsidRDefault="00973C15">
      <w:pPr>
        <w:rPr>
          <w:b/>
        </w:rPr>
      </w:pPr>
    </w:p>
    <w:p w14:paraId="04FD9169" w14:textId="113450D3" w:rsidR="00F206E5" w:rsidRPr="005F6366" w:rsidRDefault="00934155">
      <w:pPr>
        <w:rPr>
          <w:b/>
        </w:rPr>
      </w:pPr>
      <w:r w:rsidRPr="005F6366">
        <w:rPr>
          <w:b/>
        </w:rPr>
        <w:t>Supplementary Methods – Kinetic Model</w:t>
      </w:r>
    </w:p>
    <w:p w14:paraId="6C94E6FA" w14:textId="6F7C1729" w:rsidR="0018238F" w:rsidRDefault="00C4502C" w:rsidP="006A6A5C">
      <w:r>
        <w:t>The kinetic model</w:t>
      </w:r>
      <w:r w:rsidR="006A6A5C">
        <w:t>s</w:t>
      </w:r>
      <w:r>
        <w:t xml:space="preserve"> for urea, phosphate and </w:t>
      </w:r>
      <w:r w:rsidR="004C317D">
        <w:rPr>
          <w:rFonts w:cstheme="minorHAnsi"/>
        </w:rPr>
        <w:t>beta</w:t>
      </w:r>
      <w:r w:rsidR="004C317D" w:rsidRPr="004C317D">
        <w:rPr>
          <w:rFonts w:cstheme="minorHAnsi"/>
          <w:vertAlign w:val="subscript"/>
        </w:rPr>
        <w:t>2</w:t>
      </w:r>
      <w:r>
        <w:t xml:space="preserve">-microglobulin </w:t>
      </w:r>
      <w:r w:rsidR="001F4FB1">
        <w:t xml:space="preserve">used in our study </w:t>
      </w:r>
      <w:r>
        <w:t xml:space="preserve">are all based on a two-compartment model framework that can be described generically with the details for each solute identified subsequently.  The general two-compartment </w:t>
      </w:r>
      <w:r w:rsidR="006A6A5C">
        <w:t xml:space="preserve">model </w:t>
      </w:r>
      <w:r>
        <w:t xml:space="preserve">framework used here is </w:t>
      </w:r>
      <w:r w:rsidR="007D7C39">
        <w:t>very similar to that</w:t>
      </w:r>
      <w:r>
        <w:t xml:space="preserve"> described by </w:t>
      </w:r>
      <w:r w:rsidR="006A6A5C">
        <w:t>D</w:t>
      </w:r>
      <w:r w:rsidR="007D7C39">
        <w:t>au</w:t>
      </w:r>
      <w:r w:rsidR="006A6A5C">
        <w:t>girdas et al for</w:t>
      </w:r>
      <w:r w:rsidR="00577140">
        <w:t xml:space="preserve"> </w:t>
      </w:r>
      <w:r w:rsidR="006A6A5C">
        <w:t>urea kinetics</w:t>
      </w:r>
      <w:r w:rsidR="001F4FB1">
        <w:t xml:space="preserve"> </w:t>
      </w:r>
      <w:r w:rsidR="001F4FB1">
        <w:fldChar w:fldCharType="begin"/>
      </w:r>
      <w:r w:rsidR="001F4FB1">
        <w:instrText xml:space="preserve"> ADDIN EN.CITE &lt;EndNote&gt;&lt;Cite&gt;&lt;Author&gt;Daugirdas&lt;/Author&gt;&lt;Year&gt;2009&lt;/Year&gt;&lt;RecNum&gt;18&lt;/RecNum&gt;&lt;DisplayText&gt;[1]&lt;/DisplayText&gt;&lt;record&gt;&lt;rec-number&gt;18&lt;/rec-number&gt;&lt;foreign-keys&gt;&lt;key app="EN" db-id="wz5eerzp9prawzeadz952wtb0dxwszt5wxwd" timestamp="1523018268"&gt;18&lt;/key&gt;&lt;/foreign-keys&gt;&lt;ref-type name="Journal Article"&gt;17&lt;/ref-type&gt;&lt;contributors&gt;&lt;authors&gt;&lt;author&gt;Daugirdas, J. T.&lt;/author&gt;&lt;author&gt;Depner, T. A.&lt;/author&gt;&lt;author&gt;Greene, T.&lt;/author&gt;&lt;author&gt;Silisteanu, P.&lt;/author&gt;&lt;/authors&gt;&lt;/contributors&gt;&lt;auth-address&gt;University of Illinois at Chicago, Burr Ridge, IL 60527, USA. jtdaugir@uic.edu&lt;/auth-address&gt;&lt;titles&gt;&lt;title&gt;Solute-solver: a web-based tool for modeling urea kinetics for a broad range of hemodialysis schedules in multiple patients&lt;/title&gt;&lt;secondary-title&gt;Am J Kidney Dis&lt;/secondary-title&gt;&lt;/titles&gt;&lt;periodical&gt;&lt;full-title&gt;Am J Kidney Dis&lt;/full-title&gt;&lt;/periodical&gt;&lt;pages&gt;798-809&lt;/pages&gt;&lt;volume&gt;54&lt;/volume&gt;&lt;number&gt;5&lt;/number&gt;&lt;edition&gt;2009/10/27&lt;/edition&gt;&lt;keywords&gt;&lt;keyword&gt;Humans&lt;/keyword&gt;&lt;keyword&gt;*Internet&lt;/keyword&gt;&lt;keyword&gt;*Models, Biological&lt;/keyword&gt;&lt;keyword&gt;Renal Dialysis/*methods&lt;/keyword&gt;&lt;keyword&gt;Urea/*metabolism&lt;/keyword&gt;&lt;/keywords&gt;&lt;dates&gt;&lt;year&gt;2009&lt;/year&gt;&lt;pub-dates&gt;&lt;date&gt;Nov&lt;/date&gt;&lt;/pub-dates&gt;&lt;/dates&gt;&lt;isbn&gt;1523-6838 (Electronic)&amp;#xD;0272-6386 (Linking)&lt;/isbn&gt;&lt;accession-num&gt;19853198&lt;/accession-num&gt;&lt;urls&gt;&lt;related-urls&gt;&lt;url&gt;https://www.ncbi.nlm.nih.gov/pubmed/19853198&lt;/url&gt;&lt;/related-urls&gt;&lt;/urls&gt;&lt;electronic-resource-num&gt;10.1053/j.ajkd.2009.06.033&lt;/electronic-resource-num&gt;&lt;/record&gt;&lt;/Cite&gt;&lt;/EndNote&gt;</w:instrText>
      </w:r>
      <w:r w:rsidR="001F4FB1">
        <w:fldChar w:fldCharType="separate"/>
      </w:r>
      <w:r w:rsidR="001F4FB1">
        <w:rPr>
          <w:noProof/>
        </w:rPr>
        <w:t>[1]</w:t>
      </w:r>
      <w:r w:rsidR="001F4FB1">
        <w:fldChar w:fldCharType="end"/>
      </w:r>
      <w:r w:rsidR="006A6A5C">
        <w:t xml:space="preserve">, </w:t>
      </w:r>
      <w:r>
        <w:t xml:space="preserve">Ward et al for </w:t>
      </w:r>
      <w:r w:rsidR="004C317D">
        <w:rPr>
          <w:rFonts w:cstheme="minorHAnsi"/>
        </w:rPr>
        <w:t>beta</w:t>
      </w:r>
      <w:r w:rsidR="004C317D" w:rsidRPr="004C317D">
        <w:rPr>
          <w:rFonts w:cstheme="minorHAnsi"/>
          <w:vertAlign w:val="subscript"/>
        </w:rPr>
        <w:t>2</w:t>
      </w:r>
      <w:r w:rsidR="004C317D">
        <w:t xml:space="preserve">-microglobulin </w:t>
      </w:r>
      <w:r>
        <w:t xml:space="preserve">kinetics </w:t>
      </w:r>
      <w:r w:rsidR="001F4FB1">
        <w:fldChar w:fldCharType="begin"/>
      </w:r>
      <w:r w:rsidR="001F4FB1">
        <w:instrText xml:space="preserve"> ADDIN EN.CITE &lt;EndNote&gt;&lt;Cite&gt;&lt;Author&gt;Ward&lt;/Author&gt;&lt;Year&gt;2006&lt;/Year&gt;&lt;RecNum&gt;25&lt;/RecNum&gt;&lt;DisplayText&gt;[2]&lt;/DisplayText&gt;&lt;record&gt;&lt;rec-number&gt;25&lt;/rec-number&gt;&lt;foreign-keys&gt;&lt;key app="EN" db-id="wz5eerzp9prawzeadz952wtb0dxwszt5wxwd" timestamp="1523018421"&gt;25&lt;/key&gt;&lt;/foreign-keys&gt;&lt;ref-type name="Journal Article"&gt;17&lt;/ref-type&gt;&lt;contributors&gt;&lt;authors&gt;&lt;author&gt;Ward, R. A.&lt;/author&gt;&lt;author&gt;Greene, T.&lt;/author&gt;&lt;author&gt;Hartmann, B.&lt;/author&gt;&lt;author&gt;Samtleben, W.&lt;/author&gt;&lt;/authors&gt;&lt;/contributors&gt;&lt;auth-address&gt;Department of Medicine, University of Louisville, Kentucky 40202-1718, USA. richard.ward@kdp.louisville.edu&lt;/auth-address&gt;&lt;titles&gt;&lt;title&gt;Resistance to intercompartmental mass transfer limits beta2-microglobulin removal by post-dilution hemodiafiltration&lt;/title&gt;&lt;secondary-title&gt;Kidney Int&lt;/secondary-title&gt;&lt;/titles&gt;&lt;periodical&gt;&lt;full-title&gt;Kidney Int&lt;/full-title&gt;&lt;/periodical&gt;&lt;pages&gt;1431-7&lt;/pages&gt;&lt;volume&gt;69&lt;/volume&gt;&lt;number&gt;8&lt;/number&gt;&lt;edition&gt;2006/01/06&lt;/edition&gt;&lt;keywords&gt;&lt;keyword&gt;Adult&lt;/keyword&gt;&lt;keyword&gt;Aged&lt;/keyword&gt;&lt;keyword&gt;*Body Fluid Compartments&lt;/keyword&gt;&lt;keyword&gt;Body Weight&lt;/keyword&gt;&lt;keyword&gt;Female&lt;/keyword&gt;&lt;keyword&gt;*Hemodiafiltration&lt;/keyword&gt;&lt;keyword&gt;Hemodialysis Solutions/chemistry&lt;/keyword&gt;&lt;keyword&gt;Humans&lt;/keyword&gt;&lt;keyword&gt;Kinetics&lt;/keyword&gt;&lt;keyword&gt;Male&lt;/keyword&gt;&lt;keyword&gt;Middle Aged&lt;/keyword&gt;&lt;keyword&gt;Models, Biological&lt;/keyword&gt;&lt;keyword&gt;beta 2-Microglobulin/blood/metabolism/*pharmacokinetics/therapeutic use&lt;/keyword&gt;&lt;/keywords&gt;&lt;dates&gt;&lt;year&gt;2006&lt;/year&gt;&lt;pub-dates&gt;&lt;date&gt;Apr&lt;/date&gt;&lt;/pub-dates&gt;&lt;/dates&gt;&lt;isbn&gt;0085-2538 (Print)&amp;#xD;0085-2538 (Linking)&lt;/isbn&gt;&lt;accession-num&gt;16395268&lt;/accession-num&gt;&lt;urls&gt;&lt;related-urls&gt;&lt;url&gt;https://www.ncbi.nlm.nih.gov/pubmed/16395268&lt;/url&gt;&lt;/related-urls&gt;&lt;/urls&gt;&lt;electronic-resource-num&gt;10.1038/sj.ki.5000048&lt;/electronic-resource-num&gt;&lt;/record&gt;&lt;/Cite&gt;&lt;/EndNote&gt;</w:instrText>
      </w:r>
      <w:r w:rsidR="001F4FB1">
        <w:fldChar w:fldCharType="separate"/>
      </w:r>
      <w:r w:rsidR="001F4FB1">
        <w:rPr>
          <w:noProof/>
        </w:rPr>
        <w:t>[2]</w:t>
      </w:r>
      <w:r w:rsidR="001F4FB1">
        <w:fldChar w:fldCharType="end"/>
      </w:r>
      <w:r w:rsidR="006A6A5C">
        <w:t xml:space="preserve">, and </w:t>
      </w:r>
      <w:r>
        <w:t xml:space="preserve">Agar et al </w:t>
      </w:r>
      <w:r w:rsidR="006A6A5C">
        <w:t xml:space="preserve">for </w:t>
      </w:r>
      <w:r>
        <w:t xml:space="preserve">phosphate kinetics </w:t>
      </w:r>
      <w:r w:rsidR="001F4FB1">
        <w:fldChar w:fldCharType="begin"/>
      </w:r>
      <w:r w:rsidR="001F4FB1">
        <w:instrText xml:space="preserve"> ADDIN EN.CITE &lt;EndNote&gt;&lt;Cite&gt;&lt;Author&gt;Agar&lt;/Author&gt;&lt;Year&gt;2011&lt;/Year&gt;&lt;RecNum&gt;28&lt;/RecNum&gt;&lt;DisplayText&gt;[3]&lt;/DisplayText&gt;&lt;record&gt;&lt;rec-number&gt;28&lt;/rec-number&gt;&lt;foreign-keys&gt;&lt;key app="EN" db-id="wz5eerzp9prawzeadz952wtb0dxwszt5wxwd" timestamp="1523018490"&gt;28&lt;/key&gt;&lt;/foreign-keys&gt;&lt;ref-type name="Journal Article"&gt;17&lt;/ref-type&gt;&lt;contributors&gt;&lt;authors&gt;&lt;author&gt;Agar, B. U.&lt;/author&gt;&lt;author&gt;Akonur, A.&lt;/author&gt;&lt;author&gt;Lo, Y. C.&lt;/author&gt;&lt;author&gt;Cheung, A. K.&lt;/author&gt;&lt;author&gt;Leypoldt, J. K.&lt;/author&gt;&lt;/authors&gt;&lt;/contributors&gt;&lt;auth-address&gt;Renal (MedicalProducts), Baxter Healthcare Corporation, McGaw Park, Illinois, USA.&lt;/auth-address&gt;&lt;titles&gt;&lt;title&gt;Kinetic model of phosphorus mobilization during and after short and conventional hemodialysis&lt;/title&gt;&lt;secondary-title&gt;Clin J Am Soc Nephrol&lt;/secondary-title&gt;&lt;/titles&gt;&lt;periodical&gt;&lt;full-title&gt;Clin J Am Soc Nephrol&lt;/full-title&gt;&lt;/periodical&gt;&lt;pages&gt;2854-60&lt;/pages&gt;&lt;volume&gt;6&lt;/volume&gt;&lt;number&gt;12&lt;/number&gt;&lt;edition&gt;2011/10/29&lt;/edition&gt;&lt;keywords&gt;&lt;keyword&gt;Adult&lt;/keyword&gt;&lt;keyword&gt;Aged&lt;/keyword&gt;&lt;keyword&gt;Cross-Over Studies&lt;/keyword&gt;&lt;keyword&gt;Female&lt;/keyword&gt;&lt;keyword&gt;Humans&lt;/keyword&gt;&lt;keyword&gt;Kinetics&lt;/keyword&gt;&lt;keyword&gt;Male&lt;/keyword&gt;&lt;keyword&gt;Middle Aged&lt;/keyword&gt;&lt;keyword&gt;Models, Biological&lt;/keyword&gt;&lt;keyword&gt;Phosphorus/*metabolism&lt;/keyword&gt;&lt;keyword&gt;*Renal Dialysis&lt;/keyword&gt;&lt;keyword&gt;Reproducibility of Results&lt;/keyword&gt;&lt;keyword&gt;Time Factors&lt;/keyword&gt;&lt;/keywords&gt;&lt;dates&gt;&lt;year&gt;2011&lt;/year&gt;&lt;pub-dates&gt;&lt;date&gt;Dec&lt;/date&gt;&lt;/pub-dates&gt;&lt;/dates&gt;&lt;isbn&gt;1555-905X (Electronic)&amp;#xD;1555-9041 (Linking)&lt;/isbn&gt;&lt;accession-num&gt;22034502&lt;/accession-num&gt;&lt;urls&gt;&lt;related-urls&gt;&lt;url&gt;https://www.ncbi.nlm.nih.gov/pubmed/22034502&lt;/url&gt;&lt;/related-urls&gt;&lt;/urls&gt;&lt;custom2&gt;PMC3255375&lt;/custom2&gt;&lt;electronic-resource-num&gt;10.2215/CJN.03860411&lt;/electronic-resource-num&gt;&lt;/record&gt;&lt;/Cite&gt;&lt;/EndNote&gt;</w:instrText>
      </w:r>
      <w:r w:rsidR="001F4FB1">
        <w:fldChar w:fldCharType="separate"/>
      </w:r>
      <w:r w:rsidR="001F4FB1">
        <w:rPr>
          <w:noProof/>
        </w:rPr>
        <w:t>[3]</w:t>
      </w:r>
      <w:r w:rsidR="001F4FB1">
        <w:fldChar w:fldCharType="end"/>
      </w:r>
      <w:r>
        <w:t xml:space="preserve">.  </w:t>
      </w:r>
      <w:r w:rsidR="001F4FB1">
        <w:t>The supplementary f</w:t>
      </w:r>
      <w:r w:rsidR="00F658A9">
        <w:t>i</w:t>
      </w:r>
      <w:r>
        <w:t>gure</w:t>
      </w:r>
      <w:r w:rsidR="001F4FB1">
        <w:t xml:space="preserve"> (below)</w:t>
      </w:r>
      <w:r>
        <w:t xml:space="preserve"> shows the two-compartment model framework </w:t>
      </w:r>
      <w:r w:rsidR="006A6A5C">
        <w:t>schematically</w:t>
      </w:r>
      <w:r w:rsidR="00F658A9">
        <w:t xml:space="preserve">.  </w:t>
      </w:r>
      <w:r w:rsidR="006A6A5C">
        <w:t>The model assumes that the solute can be considered to be distributed into two separate, well-mixed compa</w:t>
      </w:r>
      <w:r w:rsidR="00007BF2">
        <w:t>rt</w:t>
      </w:r>
      <w:r w:rsidR="006A6A5C">
        <w:t>ments</w:t>
      </w:r>
      <w:r w:rsidR="001F4FB1">
        <w:t xml:space="preserve">; 1) </w:t>
      </w:r>
      <w:r w:rsidR="006A6A5C">
        <w:t>a perfused compartment with volume V</w:t>
      </w:r>
      <w:r w:rsidR="006A6A5C" w:rsidRPr="006A6A5C">
        <w:rPr>
          <w:vertAlign w:val="subscript"/>
        </w:rPr>
        <w:t>P</w:t>
      </w:r>
      <w:r w:rsidR="006A6A5C">
        <w:t xml:space="preserve"> from which solute is removed by the dialyzer </w:t>
      </w:r>
      <w:r w:rsidR="007D7C39">
        <w:t>with a clearance of K</w:t>
      </w:r>
      <w:r w:rsidR="007D7C39" w:rsidRPr="007D7C39">
        <w:rPr>
          <w:vertAlign w:val="subscript"/>
        </w:rPr>
        <w:t>D</w:t>
      </w:r>
      <w:r w:rsidR="007D7C39">
        <w:t xml:space="preserve"> </w:t>
      </w:r>
      <w:r w:rsidR="006A6A5C">
        <w:t xml:space="preserve">and </w:t>
      </w:r>
      <w:r w:rsidR="001F4FB1">
        <w:t xml:space="preserve">2) </w:t>
      </w:r>
      <w:r w:rsidR="006A6A5C">
        <w:t>a non-perfused compartment with volume V</w:t>
      </w:r>
      <w:r w:rsidR="006A6A5C" w:rsidRPr="006A6A5C">
        <w:rPr>
          <w:vertAlign w:val="subscript"/>
        </w:rPr>
        <w:t>NP</w:t>
      </w:r>
      <w:r w:rsidR="006A6A5C">
        <w:t xml:space="preserve">.  The solute concentration in the perfused compartment is denoted as </w:t>
      </w:r>
      <w:r w:rsidR="007D7C39">
        <w:t>C</w:t>
      </w:r>
      <w:r w:rsidR="007D7C39" w:rsidRPr="006A6A5C">
        <w:rPr>
          <w:vertAlign w:val="subscript"/>
        </w:rPr>
        <w:t>P</w:t>
      </w:r>
      <w:r w:rsidR="006A6A5C">
        <w:t xml:space="preserve"> and that in the non-perfused compartment as </w:t>
      </w:r>
      <w:r w:rsidR="007D7C39">
        <w:t>C</w:t>
      </w:r>
      <w:r w:rsidR="007D7C39" w:rsidRPr="006A6A5C">
        <w:rPr>
          <w:vertAlign w:val="subscript"/>
        </w:rPr>
        <w:t>NP</w:t>
      </w:r>
      <w:r w:rsidR="006A6A5C">
        <w:t xml:space="preserve">.  </w:t>
      </w:r>
      <w:r w:rsidR="007D7C39">
        <w:t>There is resistance to solute movement between the two compartments; the intercompartment solute mass transfer rate is equal to the product of the intercompartmental clearance (K</w:t>
      </w:r>
      <w:r w:rsidR="007D7C39" w:rsidRPr="007D7C39">
        <w:rPr>
          <w:vertAlign w:val="subscript"/>
        </w:rPr>
        <w:t>IC</w:t>
      </w:r>
      <w:r w:rsidR="007D7C39">
        <w:t>) multiplied by the difference in solute concentration between the two compartments.  Solute generation</w:t>
      </w:r>
      <w:r w:rsidR="002374B1">
        <w:t xml:space="preserve"> with a rate of G and non-kidney clearance (K</w:t>
      </w:r>
      <w:r w:rsidR="002374B1" w:rsidRPr="002374B1">
        <w:rPr>
          <w:vertAlign w:val="subscript"/>
        </w:rPr>
        <w:t>NK</w:t>
      </w:r>
      <w:r w:rsidR="002374B1">
        <w:t xml:space="preserve">) was assumed to be confined to the perfused compartment.  </w:t>
      </w:r>
      <w:r w:rsidR="00632367">
        <w:t xml:space="preserve">Fluid is assumed to be removed </w:t>
      </w:r>
      <w:r w:rsidR="00F658A9">
        <w:t>by</w:t>
      </w:r>
      <w:r w:rsidR="00632367">
        <w:t xml:space="preserve"> </w:t>
      </w:r>
      <w:r w:rsidR="00F658A9">
        <w:t>the dialyzer at a constant rate Q</w:t>
      </w:r>
      <w:r w:rsidR="00F658A9" w:rsidRPr="00F658A9">
        <w:rPr>
          <w:vertAlign w:val="subscript"/>
        </w:rPr>
        <w:t>UF</w:t>
      </w:r>
      <w:r w:rsidR="00F658A9">
        <w:t xml:space="preserve"> from </w:t>
      </w:r>
      <w:r w:rsidR="00632367">
        <w:t xml:space="preserve">one or both compartments at a constant rate during the dialysis treatment </w:t>
      </w:r>
      <w:r w:rsidR="00F658A9">
        <w:t xml:space="preserve">and </w:t>
      </w:r>
      <w:r w:rsidR="00E122DF">
        <w:t xml:space="preserve">to be gained </w:t>
      </w:r>
      <w:r w:rsidR="00F658A9">
        <w:t xml:space="preserve">by </w:t>
      </w:r>
      <w:r w:rsidR="00E122DF">
        <w:t xml:space="preserve">one or both compartments at a constant rate </w:t>
      </w:r>
      <w:r w:rsidR="00F658A9">
        <w:rPr>
          <w:rFonts w:cstheme="minorHAnsi"/>
        </w:rPr>
        <w:t>α</w:t>
      </w:r>
      <w:r w:rsidR="00F658A9">
        <w:t xml:space="preserve"> </w:t>
      </w:r>
      <w:r w:rsidR="001F4FB1">
        <w:t xml:space="preserve">(a negative value of G) </w:t>
      </w:r>
      <w:r w:rsidR="00E122DF">
        <w:t>during the interdialytic interval</w:t>
      </w:r>
      <w:r w:rsidR="009A31EB">
        <w:t>.</w:t>
      </w:r>
      <w:r w:rsidR="001F4FB1">
        <w:t xml:space="preserve">  Residual kidney clearance of all solutes was neglected in this study.</w:t>
      </w:r>
    </w:p>
    <w:p w14:paraId="7A07E08A" w14:textId="7918A4E4" w:rsidR="00F658A9" w:rsidRDefault="00632367" w:rsidP="006A6A5C">
      <w:r>
        <w:t xml:space="preserve">The perfused and non-perfused compartment volumes are different for each solute and are assumed to be </w:t>
      </w:r>
      <w:r w:rsidR="001F4FB1">
        <w:t>approximated</w:t>
      </w:r>
      <w:r>
        <w:t xml:space="preserve"> by physiological body compartments.  For urea, the perfused and non-perfused compartment volumes are assumed </w:t>
      </w:r>
      <w:r w:rsidR="00F658A9">
        <w:t>to be</w:t>
      </w:r>
      <w:r>
        <w:t xml:space="preserve"> the extracellular and intracellular fluid volumes, respectively; thus, the sum of the perfused and non-perfused compartments for urea is approximately total body water volume.  For </w:t>
      </w:r>
      <w:r w:rsidR="003E3673">
        <w:rPr>
          <w:rFonts w:cstheme="minorHAnsi"/>
        </w:rPr>
        <w:t>beta</w:t>
      </w:r>
      <w:r w:rsidR="003E3673" w:rsidRPr="004C317D">
        <w:rPr>
          <w:rFonts w:cstheme="minorHAnsi"/>
          <w:vertAlign w:val="subscript"/>
        </w:rPr>
        <w:t>2</w:t>
      </w:r>
      <w:r w:rsidR="003E3673">
        <w:t>-microglobulin</w:t>
      </w:r>
      <w:r>
        <w:t xml:space="preserve">, the perfused and non-perfused compartment volumes are assumed </w:t>
      </w:r>
      <w:r w:rsidR="00F658A9">
        <w:t>to be</w:t>
      </w:r>
      <w:r>
        <w:t xml:space="preserve"> plasma and interstitial fluid volumes, respectively; thus, the sum of the perfused and non-perfused compartments for </w:t>
      </w:r>
      <w:r w:rsidR="003E3673">
        <w:rPr>
          <w:rFonts w:cstheme="minorHAnsi"/>
        </w:rPr>
        <w:t>beta</w:t>
      </w:r>
      <w:r w:rsidR="003E3673" w:rsidRPr="004C317D">
        <w:rPr>
          <w:rFonts w:cstheme="minorHAnsi"/>
          <w:vertAlign w:val="subscript"/>
        </w:rPr>
        <w:t>2</w:t>
      </w:r>
      <w:r w:rsidR="003E3673">
        <w:t xml:space="preserve">-microglobulin </w:t>
      </w:r>
      <w:r>
        <w:t>is approximately extracellular fluid volume.</w:t>
      </w:r>
      <w:r w:rsidR="00412287">
        <w:t xml:space="preserve">  For phosphate, the perfused compartment volume is assumed </w:t>
      </w:r>
      <w:r w:rsidR="00F658A9">
        <w:t>to be</w:t>
      </w:r>
      <w:r w:rsidR="00412287">
        <w:t xml:space="preserve"> the extracellular fluid volume and the non-perfused compartment volume is assumed to be infinitely large </w:t>
      </w:r>
      <w:r w:rsidR="002B1A48">
        <w:fldChar w:fldCharType="begin"/>
      </w:r>
      <w:r w:rsidR="002B1A48">
        <w:instrText xml:space="preserve"> ADDIN EN.CITE &lt;EndNote&gt;&lt;Cite&gt;&lt;Author&gt;Agar&lt;/Author&gt;&lt;Year&gt;2011&lt;/Year&gt;&lt;RecNum&gt;28&lt;/RecNum&gt;&lt;DisplayText&gt;[3]&lt;/DisplayText&gt;&lt;record&gt;&lt;rec-number&gt;28&lt;/rec-number&gt;&lt;foreign-keys&gt;&lt;key app="EN" db-id="wz5eerzp9prawzeadz952wtb0dxwszt5wxwd" timestamp="1523018490"&gt;28&lt;/key&gt;&lt;/foreign-keys&gt;&lt;ref-type name="Journal Article"&gt;17&lt;/ref-type&gt;&lt;contributors&gt;&lt;authors&gt;&lt;author&gt;Agar, B. U.&lt;/author&gt;&lt;author&gt;Akonur, A.&lt;/author&gt;&lt;author&gt;Lo, Y. C.&lt;/author&gt;&lt;author&gt;Cheung, A. K.&lt;/author&gt;&lt;author&gt;Leypoldt, J. K.&lt;/author&gt;&lt;/authors&gt;&lt;/contributors&gt;&lt;auth-address&gt;Renal (MedicalProducts), Baxter Healthcare Corporation, McGaw Park, Illinois, USA.&lt;/auth-address&gt;&lt;titles&gt;&lt;title&gt;Kinetic model of phosphorus mobilization during and after short and conventional hemodialysis&lt;/title&gt;&lt;secondary-title&gt;Clin J Am Soc Nephrol&lt;/secondary-title&gt;&lt;/titles&gt;&lt;periodical&gt;&lt;full-title&gt;Clin J Am Soc Nephrol&lt;/full-title&gt;&lt;/periodical&gt;&lt;pages&gt;2854-60&lt;/pages&gt;&lt;volume&gt;6&lt;/volume&gt;&lt;number&gt;12&lt;/number&gt;&lt;edition&gt;2011/10/29&lt;/edition&gt;&lt;keywords&gt;&lt;keyword&gt;Adult&lt;/keyword&gt;&lt;keyword&gt;Aged&lt;/keyword&gt;&lt;keyword&gt;Cross-Over Studies&lt;/keyword&gt;&lt;keyword&gt;Female&lt;/keyword&gt;&lt;keyword&gt;Humans&lt;/keyword&gt;&lt;keyword&gt;Kinetics&lt;/keyword&gt;&lt;keyword&gt;Male&lt;/keyword&gt;&lt;keyword&gt;Middle Aged&lt;/keyword&gt;&lt;keyword&gt;Models, Biological&lt;/keyword&gt;&lt;keyword&gt;Phosphorus/*metabolism&lt;/keyword&gt;&lt;keyword&gt;*Renal Dialysis&lt;/keyword&gt;&lt;keyword&gt;Reproducibility of Results&lt;/keyword&gt;&lt;keyword&gt;Time Factors&lt;/keyword&gt;&lt;/keywords&gt;&lt;dates&gt;&lt;year&gt;2011&lt;/year&gt;&lt;pub-dates&gt;&lt;date&gt;Dec&lt;/date&gt;&lt;/pub-dates&gt;&lt;/dates&gt;&lt;isbn&gt;1555-905X (Electronic)&amp;#xD;1555-9041 (Linking)&lt;/isbn&gt;&lt;accession-num&gt;22034502&lt;/accession-num&gt;&lt;urls&gt;&lt;related-urls&gt;&lt;url&gt;https://www.ncbi.nlm.nih.gov/pubmed/22034502&lt;/url&gt;&lt;/related-urls&gt;&lt;/urls&gt;&lt;custom2&gt;PMC3255375&lt;/custom2&gt;&lt;electronic-resource-num&gt;10.2215/CJN.03860411&lt;/electronic-resource-num&gt;&lt;/record&gt;&lt;/Cite&gt;&lt;/EndNote&gt;</w:instrText>
      </w:r>
      <w:r w:rsidR="002B1A48">
        <w:fldChar w:fldCharType="separate"/>
      </w:r>
      <w:r w:rsidR="002B1A48">
        <w:rPr>
          <w:noProof/>
        </w:rPr>
        <w:t>[3]</w:t>
      </w:r>
      <w:r w:rsidR="002B1A48">
        <w:fldChar w:fldCharType="end"/>
      </w:r>
      <w:r w:rsidR="00412287">
        <w:t>.</w:t>
      </w:r>
      <w:r w:rsidR="00B472C6">
        <w:t xml:space="preserve">  For all solutes, fluid is assumed to be removed from the extracellular compartment; thus, </w:t>
      </w:r>
      <w:r w:rsidR="007431BE">
        <w:t>fluid</w:t>
      </w:r>
      <w:r w:rsidR="00B472C6">
        <w:t xml:space="preserve"> is assumed to be removed from the </w:t>
      </w:r>
      <w:r w:rsidR="00B472C6">
        <w:lastRenderedPageBreak/>
        <w:t xml:space="preserve">perfused compartment only when considering urea and phosphate, but </w:t>
      </w:r>
      <w:r w:rsidR="007431BE">
        <w:t xml:space="preserve">it is assumed to be removed proportionately from the perfused and non-perfused compartments when considering </w:t>
      </w:r>
      <w:r w:rsidR="002B5D56">
        <w:rPr>
          <w:rFonts w:cstheme="minorHAnsi"/>
        </w:rPr>
        <w:t>beta</w:t>
      </w:r>
      <w:r w:rsidR="002B5D56" w:rsidRPr="004C317D">
        <w:rPr>
          <w:rFonts w:cstheme="minorHAnsi"/>
          <w:vertAlign w:val="subscript"/>
        </w:rPr>
        <w:t>2</w:t>
      </w:r>
      <w:r w:rsidR="002B5D56">
        <w:t>-microglobulin</w:t>
      </w:r>
      <w:r w:rsidR="007431BE">
        <w:t>.</w:t>
      </w:r>
    </w:p>
    <w:p w14:paraId="361AB207" w14:textId="4160D9A7" w:rsidR="00F658A9" w:rsidRDefault="00F658A9" w:rsidP="006A6A5C">
      <w:r>
        <w:t>The change in solute mass in the perfused compartment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</w:tblGrid>
      <w:tr w:rsidR="005B3739" w14:paraId="4B39FC2B" w14:textId="77777777" w:rsidTr="00973C15">
        <w:tc>
          <w:tcPr>
            <w:tcW w:w="8545" w:type="dxa"/>
          </w:tcPr>
          <w:p w14:paraId="166EF78C" w14:textId="7A7AE50C" w:rsidR="005B3739" w:rsidRPr="00A15ABF" w:rsidRDefault="00C34B2A" w:rsidP="006A6A5C">
            <w:pPr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∅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G+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IC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NP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+ϑ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NK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05" w:type="dxa"/>
          </w:tcPr>
          <w:p w14:paraId="3A1B7A92" w14:textId="3C4651C7" w:rsidR="005B3739" w:rsidRDefault="005B3739" w:rsidP="009942F9">
            <w:pPr>
              <w:jc w:val="right"/>
            </w:pPr>
            <w:r>
              <w:t>(1)</w:t>
            </w:r>
          </w:p>
        </w:tc>
      </w:tr>
    </w:tbl>
    <w:p w14:paraId="5EF57A3F" w14:textId="296E07DC" w:rsidR="009942F9" w:rsidRDefault="009942F9" w:rsidP="006A6A5C"/>
    <w:p w14:paraId="62328AA3" w14:textId="06F1A274" w:rsidR="00A15ABF" w:rsidRDefault="009942F9" w:rsidP="006A6A5C">
      <w:r>
        <w:t>And in the non-perfused compartment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</w:tblGrid>
      <w:tr w:rsidR="00A15ABF" w14:paraId="34668A19" w14:textId="77777777" w:rsidTr="00973C15">
        <w:tc>
          <w:tcPr>
            <w:tcW w:w="8545" w:type="dxa"/>
          </w:tcPr>
          <w:p w14:paraId="72E63D49" w14:textId="455F0202" w:rsidR="00614E6B" w:rsidRPr="00614E6B" w:rsidRDefault="00C34B2A" w:rsidP="00A15ABF">
            <w:pPr>
              <w:spacing w:after="160" w:line="259" w:lineRule="auto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NP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NP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∅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theme="minorHAnsi"/>
                          </w:rPr>
                          <m:t>NP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G+K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IC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NP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805" w:type="dxa"/>
          </w:tcPr>
          <w:p w14:paraId="05CA13CE" w14:textId="0AAA4796" w:rsidR="00A15ABF" w:rsidRDefault="00A15ABF" w:rsidP="00163FBA">
            <w:pPr>
              <w:jc w:val="right"/>
            </w:pPr>
            <w:r>
              <w:t>(2)</w:t>
            </w:r>
          </w:p>
        </w:tc>
      </w:tr>
    </w:tbl>
    <w:p w14:paraId="5CCCA6C4" w14:textId="77777777" w:rsidR="00A15ABF" w:rsidRDefault="00A15ABF" w:rsidP="00A15ABF"/>
    <w:p w14:paraId="5F4791E0" w14:textId="2348CD43" w:rsidR="009942F9" w:rsidRDefault="00A15ABF" w:rsidP="006A6A5C">
      <w:r>
        <w:t xml:space="preserve">In equations (1) and (2), the values of </w:t>
      </w:r>
      <w:r>
        <w:rPr>
          <w:rFonts w:cstheme="minorHAnsi"/>
        </w:rPr>
        <w:t>φ</w:t>
      </w:r>
      <w:r>
        <w:rPr>
          <w:rFonts w:cstheme="minorHAnsi"/>
          <w:vertAlign w:val="subscript"/>
        </w:rPr>
        <w:t>P</w:t>
      </w:r>
      <w:r>
        <w:rPr>
          <w:rFonts w:cstheme="minorHAnsi"/>
        </w:rPr>
        <w:t xml:space="preserve"> and φ</w:t>
      </w:r>
      <w:r>
        <w:rPr>
          <w:rFonts w:cstheme="minorHAnsi"/>
          <w:vertAlign w:val="subscript"/>
        </w:rPr>
        <w:t>P</w:t>
      </w:r>
      <w:r>
        <w:rPr>
          <w:rFonts w:cstheme="minorHAnsi"/>
        </w:rPr>
        <w:t xml:space="preserve"> denote the fraction of the compartment volumes in the perfused and non-perfused compartments</w:t>
      </w:r>
      <w:r w:rsidR="00AF7606">
        <w:rPr>
          <w:rFonts w:cstheme="minorHAnsi"/>
        </w:rPr>
        <w:t>, respectively.  The symbol</w:t>
      </w:r>
      <w:r w:rsidR="00B54D1A">
        <w:rPr>
          <w:rFonts w:cstheme="minorHAnsi"/>
        </w:rPr>
        <w:t xml:space="preserve"> θ</w:t>
      </w:r>
      <w:r w:rsidR="00AF7606">
        <w:rPr>
          <w:rFonts w:cstheme="minorHAnsi"/>
        </w:rPr>
        <w:t xml:space="preserve"> is an indicator variable such that </w:t>
      </w:r>
      <w:r w:rsidR="00B54D1A">
        <w:rPr>
          <w:rFonts w:cstheme="minorHAnsi"/>
        </w:rPr>
        <w:t>θ</w:t>
      </w:r>
      <w:r w:rsidR="00AF7606">
        <w:rPr>
          <w:rFonts w:cstheme="minorHAnsi"/>
        </w:rPr>
        <w:t xml:space="preserve">=1 during an intradialytic interval and </w:t>
      </w:r>
      <w:r w:rsidR="00B54D1A">
        <w:rPr>
          <w:rFonts w:cstheme="minorHAnsi"/>
        </w:rPr>
        <w:t>θ</w:t>
      </w:r>
      <w:r w:rsidR="00AF7606">
        <w:rPr>
          <w:rFonts w:cstheme="minorHAnsi"/>
        </w:rPr>
        <w:t>=0 during an interdialytic interval.</w:t>
      </w:r>
    </w:p>
    <w:p w14:paraId="1182CD90" w14:textId="5EFA315F" w:rsidR="00F61ADA" w:rsidRDefault="00F61ADA" w:rsidP="00F61ADA">
      <w:r>
        <w:t>Comparable equations describe the change in volume of the perfused compartment as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</w:tblGrid>
      <w:tr w:rsidR="00F61ADA" w14:paraId="3B7BD58D" w14:textId="77777777" w:rsidTr="00973C15">
        <w:tc>
          <w:tcPr>
            <w:tcW w:w="8545" w:type="dxa"/>
          </w:tcPr>
          <w:p w14:paraId="15D1879E" w14:textId="72913FE4" w:rsidR="00B54D1A" w:rsidRDefault="00C34B2A" w:rsidP="00B54D1A"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=-ϑ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UF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1-ϑ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∝</m:t>
                </m:r>
              </m:oMath>
            </m:oMathPara>
          </w:p>
          <w:p w14:paraId="6214D6AA" w14:textId="09490989" w:rsidR="00F61ADA" w:rsidRPr="00A15ABF" w:rsidRDefault="00F61ADA" w:rsidP="00163FBA">
            <w:pPr>
              <w:rPr>
                <w:rFonts w:cstheme="minorHAnsi"/>
              </w:rPr>
            </w:pPr>
          </w:p>
        </w:tc>
        <w:tc>
          <w:tcPr>
            <w:tcW w:w="805" w:type="dxa"/>
          </w:tcPr>
          <w:p w14:paraId="547C314A" w14:textId="5EA7A17B" w:rsidR="00F61ADA" w:rsidRDefault="00F61ADA" w:rsidP="00163FBA">
            <w:pPr>
              <w:jc w:val="right"/>
            </w:pPr>
            <w:r>
              <w:t>(3)</w:t>
            </w:r>
          </w:p>
        </w:tc>
      </w:tr>
    </w:tbl>
    <w:p w14:paraId="0A8CA15D" w14:textId="5EC05F42" w:rsidR="00F61ADA" w:rsidRDefault="00F61ADA" w:rsidP="00F61ADA">
      <w:r>
        <w:t>and in the non-perfused compartment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</w:tblGrid>
      <w:tr w:rsidR="00F61ADA" w14:paraId="2A039186" w14:textId="77777777" w:rsidTr="00973C15">
        <w:tc>
          <w:tcPr>
            <w:tcW w:w="8545" w:type="dxa"/>
          </w:tcPr>
          <w:p w14:paraId="501718B1" w14:textId="2B6B02BA" w:rsidR="00F61ADA" w:rsidRPr="00A15ABF" w:rsidRDefault="00C34B2A" w:rsidP="00163FBA">
            <w:pPr>
              <w:spacing w:after="160" w:line="259" w:lineRule="auto"/>
              <w:rPr>
                <w:rFonts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NP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=-ϑ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NP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UF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1-ϑ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NP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∝</m:t>
                </m:r>
              </m:oMath>
            </m:oMathPara>
          </w:p>
        </w:tc>
        <w:tc>
          <w:tcPr>
            <w:tcW w:w="805" w:type="dxa"/>
          </w:tcPr>
          <w:p w14:paraId="211B2913" w14:textId="4E1B46AB" w:rsidR="00F61ADA" w:rsidRDefault="00F61ADA" w:rsidP="00163FBA">
            <w:pPr>
              <w:jc w:val="right"/>
            </w:pPr>
            <w:r>
              <w:t>(4)</w:t>
            </w:r>
          </w:p>
        </w:tc>
      </w:tr>
    </w:tbl>
    <w:p w14:paraId="1F5DFFA2" w14:textId="3EC61B73" w:rsidR="00B54D1A" w:rsidRDefault="00614E6B" w:rsidP="006A6A5C">
      <w:r>
        <w:t xml:space="preserve">Note that these equations are those described by Ward et al </w:t>
      </w:r>
      <w:r>
        <w:fldChar w:fldCharType="begin"/>
      </w:r>
      <w:r>
        <w:instrText xml:space="preserve"> ADDIN EN.CITE &lt;EndNote&gt;&lt;Cite&gt;&lt;Author&gt;Ward&lt;/Author&gt;&lt;Year&gt;2006&lt;/Year&gt;&lt;RecNum&gt;25&lt;/RecNum&gt;&lt;DisplayText&gt;[2]&lt;/DisplayText&gt;&lt;record&gt;&lt;rec-number&gt;25&lt;/rec-number&gt;&lt;foreign-keys&gt;&lt;key app="EN" db-id="wz5eerzp9prawzeadz952wtb0dxwszt5wxwd" timestamp="1523018421"&gt;25&lt;/key&gt;&lt;/foreign-keys&gt;&lt;ref-type name="Journal Article"&gt;17&lt;/ref-type&gt;&lt;contributors&gt;&lt;authors&gt;&lt;author&gt;Ward, R. A.&lt;/author&gt;&lt;author&gt;Greene, T.&lt;/author&gt;&lt;author&gt;Hartmann, B.&lt;/author&gt;&lt;author&gt;Samtleben, W.&lt;/author&gt;&lt;/authors&gt;&lt;/contributors&gt;&lt;auth-address&gt;Department of Medicine, University of Louisville, Kentucky 40202-1718, USA. richard.ward@kdp.louisville.edu&lt;/auth-address&gt;&lt;titles&gt;&lt;title&gt;Resistance to intercompartmental mass transfer limits beta2-microglobulin removal by post-dilution hemodiafiltration&lt;/title&gt;&lt;secondary-title&gt;Kidney Int&lt;/secondary-title&gt;&lt;/titles&gt;&lt;periodical&gt;&lt;full-title&gt;Kidney Int&lt;/full-title&gt;&lt;/periodical&gt;&lt;pages&gt;1431-7&lt;/pages&gt;&lt;volume&gt;69&lt;/volume&gt;&lt;number&gt;8&lt;/number&gt;&lt;edition&gt;2006/01/06&lt;/edition&gt;&lt;keywords&gt;&lt;keyword&gt;Adult&lt;/keyword&gt;&lt;keyword&gt;Aged&lt;/keyword&gt;&lt;keyword&gt;*Body Fluid Compartments&lt;/keyword&gt;&lt;keyword&gt;Body Weight&lt;/keyword&gt;&lt;keyword&gt;Female&lt;/keyword&gt;&lt;keyword&gt;*Hemodiafiltration&lt;/keyword&gt;&lt;keyword&gt;Hemodialysis Solutions/chemistry&lt;/keyword&gt;&lt;keyword&gt;Humans&lt;/keyword&gt;&lt;keyword&gt;Kinetics&lt;/keyword&gt;&lt;keyword&gt;Male&lt;/keyword&gt;&lt;keyword&gt;Middle Aged&lt;/keyword&gt;&lt;keyword&gt;Models, Biological&lt;/keyword&gt;&lt;keyword&gt;beta 2-Microglobulin/blood/metabolism/*pharmacokinetics/therapeutic use&lt;/keyword&gt;&lt;/keywords&gt;&lt;dates&gt;&lt;year&gt;2006&lt;/year&gt;&lt;pub-dates&gt;&lt;date&gt;Apr&lt;/date&gt;&lt;/pub-dates&gt;&lt;/dates&gt;&lt;isbn&gt;0085-2538 (Print)&amp;#xD;0085-2538 (Linking)&lt;/isbn&gt;&lt;accession-num&gt;16395268&lt;/accession-num&gt;&lt;urls&gt;&lt;related-urls&gt;&lt;url&gt;https://www.ncbi.nlm.nih.gov/pubmed/16395268&lt;/url&gt;&lt;/related-urls&gt;&lt;/urls&gt;&lt;electronic-resource-num&gt;10.1038/sj.ki.5000048&lt;/electronic-resource-num&gt;&lt;/record&gt;&lt;/Cite&gt;&lt;/EndNote&gt;</w:instrText>
      </w:r>
      <w:r>
        <w:fldChar w:fldCharType="separate"/>
      </w:r>
      <w:r>
        <w:rPr>
          <w:noProof/>
        </w:rPr>
        <w:t>[2]</w:t>
      </w:r>
      <w:r>
        <w:fldChar w:fldCharType="end"/>
      </w:r>
      <w:r>
        <w:t xml:space="preserve"> but neglect the effect of solute transport by convection between the perfused and non-perfused compartments.</w:t>
      </w:r>
    </w:p>
    <w:p w14:paraId="40719356" w14:textId="3CD304B2" w:rsidR="0032783D" w:rsidRPr="0032783D" w:rsidRDefault="0032783D" w:rsidP="0032783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783D">
        <w:rPr>
          <w:rFonts w:asciiTheme="minorHAnsi" w:hAnsiTheme="minorHAnsi" w:cstheme="minorHAnsi"/>
          <w:color w:val="000000" w:themeColor="text1"/>
          <w:sz w:val="22"/>
          <w:szCs w:val="22"/>
        </w:rPr>
        <w:t>To account for solute convection in determining the total dialyzer clearance (K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D</w:t>
      </w:r>
      <w:r w:rsidRPr="0032783D">
        <w:rPr>
          <w:rFonts w:asciiTheme="minorHAnsi" w:hAnsiTheme="minorHAnsi" w:cstheme="minorHAnsi"/>
          <w:color w:val="000000" w:themeColor="text1"/>
          <w:sz w:val="22"/>
          <w:szCs w:val="22"/>
        </w:rPr>
        <w:t>), we used the following equation for all solutes</w:t>
      </w:r>
    </w:p>
    <w:p w14:paraId="05EA254E" w14:textId="77777777" w:rsidR="0032783D" w:rsidRDefault="0032783D" w:rsidP="0032783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</w:tblGrid>
      <w:tr w:rsidR="0032783D" w14:paraId="13148694" w14:textId="77777777" w:rsidTr="00973C15">
        <w:tc>
          <w:tcPr>
            <w:tcW w:w="8545" w:type="dxa"/>
          </w:tcPr>
          <w:p w14:paraId="537E556F" w14:textId="7C0CCCC8" w:rsidR="0032783D" w:rsidRPr="0032783D" w:rsidRDefault="00C34B2A" w:rsidP="0032783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  <m:t>diff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+Tr×</m:t>
                </m:r>
                <m:sSub>
                  <m:sSubPr>
                    <m:ctrl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  <m:t>UF</m:t>
                    </m:r>
                  </m:sub>
                </m:sSub>
              </m:oMath>
            </m:oMathPara>
          </w:p>
        </w:tc>
        <w:tc>
          <w:tcPr>
            <w:tcW w:w="805" w:type="dxa"/>
          </w:tcPr>
          <w:p w14:paraId="30A05CCA" w14:textId="6EF1F3A7" w:rsidR="0032783D" w:rsidRDefault="0032783D" w:rsidP="00163FBA">
            <w:pPr>
              <w:jc w:val="right"/>
            </w:pPr>
            <w:r>
              <w:t>(5)</w:t>
            </w:r>
          </w:p>
        </w:tc>
      </w:tr>
    </w:tbl>
    <w:p w14:paraId="2C3E7FA1" w14:textId="77777777" w:rsidR="0032783D" w:rsidRDefault="0032783D" w:rsidP="0032783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2E1ADD" w14:textId="28DD5999" w:rsidR="0032783D" w:rsidRDefault="0032783D" w:rsidP="0032783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78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where </w:t>
      </w:r>
      <w:r w:rsidR="00F847AC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F847AC" w:rsidRPr="00B27EA1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diff</w:t>
      </w:r>
      <w:r w:rsidR="00F847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denotes diffusive solute clearance from the dialyzer as estimated using Michaels’ equation</w:t>
      </w:r>
      <w:r w:rsidR="00DB00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847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0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where the “blood” flow rate term in the equation is the blood water flow rate for urea and plasma flow rate for </w:t>
      </w:r>
      <w:r w:rsidR="00BE381E" w:rsidRPr="00BE381E">
        <w:rPr>
          <w:rFonts w:asciiTheme="minorHAnsi" w:hAnsiTheme="minorHAnsi" w:cstheme="minorHAnsi"/>
        </w:rPr>
        <w:t>beta</w:t>
      </w:r>
      <w:r w:rsidR="00BE381E" w:rsidRPr="00BE381E">
        <w:rPr>
          <w:rFonts w:asciiTheme="minorHAnsi" w:hAnsiTheme="minorHAnsi" w:cstheme="minorHAnsi"/>
          <w:vertAlign w:val="subscript"/>
        </w:rPr>
        <w:t>2</w:t>
      </w:r>
      <w:r w:rsidR="00BE381E" w:rsidRPr="00BE381E">
        <w:rPr>
          <w:rFonts w:asciiTheme="minorHAnsi" w:hAnsiTheme="minorHAnsi" w:cstheme="minorHAnsi"/>
        </w:rPr>
        <w:t>-microglobulin</w:t>
      </w:r>
      <w:r w:rsidR="00BE381E" w:rsidRPr="00BE3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0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phosphate, </w:t>
      </w:r>
      <w:r w:rsidR="00F847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Pr="003278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 denotes the transmittance coefficient </w:t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ldData xml:space="preserve">PEVuZE5vdGU+PENpdGU+PEF1dGhvcj5HcmFuZ2VyPC9BdXRob3I+PFllYXI+MTk3ODwvWWVhcj48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</w:fldData>
        </w:fldChar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ADDIN EN.CITE </w:instrText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ldData xml:space="preserve">PEVuZE5vdGU+PENpdGU+PEF1dGhvcj5HcmFuZ2VyPC9BdXRob3I+PFllYXI+MTk3ODwvWWVhcj48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</w:fldData>
        </w:fldChar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ADDIN EN.CITE.DATA </w:instrText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2B1A4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[4, 5]</w:t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2B1A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2783D">
        <w:rPr>
          <w:rFonts w:asciiTheme="minorHAnsi" w:hAnsiTheme="minorHAnsi" w:cstheme="minorHAnsi"/>
          <w:color w:val="000000" w:themeColor="text1"/>
          <w:sz w:val="22"/>
          <w:szCs w:val="22"/>
        </w:rPr>
        <w:t>defined as</w:t>
      </w:r>
    </w:p>
    <w:p w14:paraId="54E0019D" w14:textId="30AAB555" w:rsidR="0032783D" w:rsidRDefault="0032783D" w:rsidP="0032783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</w:tblGrid>
      <w:tr w:rsidR="0032783D" w14:paraId="467E8A82" w14:textId="77777777" w:rsidTr="00973C15">
        <w:tc>
          <w:tcPr>
            <w:tcW w:w="8545" w:type="dxa"/>
          </w:tcPr>
          <w:p w14:paraId="08D6DA38" w14:textId="3270180A" w:rsidR="0032783D" w:rsidRPr="0032783D" w:rsidRDefault="0032783D" w:rsidP="00163F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Tr=S×(1-</m:t>
                </m:r>
                <m:f>
                  <m:fPr>
                    <m:ctrlPr>
                      <w:rPr>
                        <w:rFonts w:ascii="Cambria Math" w:hAnsi="Cambria Math" w:cstheme="minorHAnsi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2"/>
                            <w:szCs w:val="22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805" w:type="dxa"/>
          </w:tcPr>
          <w:p w14:paraId="357E39DC" w14:textId="6325B94A" w:rsidR="0032783D" w:rsidRDefault="0032783D" w:rsidP="00163FBA">
            <w:pPr>
              <w:jc w:val="right"/>
            </w:pPr>
            <w:r>
              <w:t>(6)</w:t>
            </w:r>
          </w:p>
        </w:tc>
      </w:tr>
    </w:tbl>
    <w:p w14:paraId="7F94720B" w14:textId="77777777" w:rsidR="0032783D" w:rsidRDefault="0032783D" w:rsidP="0032783D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1AB995" w14:textId="2B8E2AC8" w:rsidR="00E047EE" w:rsidRDefault="002B1A48" w:rsidP="00E047E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where t</w:t>
      </w:r>
      <w:r w:rsidR="0032783D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>he</w:t>
      </w:r>
      <w:r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783D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sieving coefficient </w:t>
      </w:r>
      <w:r w:rsidR="008C6347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denoted by S was </w:t>
      </w:r>
      <w:r w:rsidR="0032783D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>assumed as 1, 0.8</w:t>
      </w:r>
      <w:r w:rsidR="008C6347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>, and 1</w:t>
      </w:r>
      <w:r w:rsidR="0032783D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urea</w:t>
      </w:r>
      <w:r w:rsidR="0032783D" w:rsidRPr="00BE3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E381E" w:rsidRPr="00BE381E">
        <w:rPr>
          <w:rFonts w:asciiTheme="minorHAnsi" w:hAnsiTheme="minorHAnsi" w:cstheme="minorHAnsi"/>
        </w:rPr>
        <w:t>beta</w:t>
      </w:r>
      <w:r w:rsidR="00BE381E" w:rsidRPr="00BE381E">
        <w:rPr>
          <w:rFonts w:asciiTheme="minorHAnsi" w:hAnsiTheme="minorHAnsi" w:cstheme="minorHAnsi"/>
          <w:vertAlign w:val="subscript"/>
        </w:rPr>
        <w:t>2</w:t>
      </w:r>
      <w:r w:rsidR="00BE381E" w:rsidRPr="00BE381E">
        <w:rPr>
          <w:rFonts w:asciiTheme="minorHAnsi" w:hAnsiTheme="minorHAnsi" w:cstheme="minorHAnsi"/>
        </w:rPr>
        <w:t>-microglobulin</w:t>
      </w:r>
      <w:r w:rsidR="00BE381E">
        <w:t xml:space="preserve"> </w:t>
      </w:r>
      <w:r w:rsidR="008C6347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>and phospha</w:t>
      </w:r>
      <w:r w:rsidR="009A4C1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8C6347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32783D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>, respectively, in this study.  When the sieving coefficient is assumed to be unity, the equation for K</w:t>
      </w:r>
      <w:r w:rsidR="008C6347" w:rsidRPr="002B1A48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D</w:t>
      </w:r>
      <w:r w:rsidR="0032783D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reduces to the conventional expression for urea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ADDIN EN.CITE &lt;EndNote&gt;&lt;Cite&gt;&lt;Author&gt;Daugirdas&lt;/Author&gt;&lt;Year&gt;2009&lt;/Year&gt;&lt;RecNum&gt;18&lt;/RecNum&gt;&lt;DisplayText&gt;[1]&lt;/DisplayText&gt;&lt;record&gt;&lt;rec-number&gt;18&lt;/rec-number&gt;&lt;foreign-keys&gt;&lt;key app="EN" db-id="wz5eerzp9prawzeadz952wtb0dxwszt5wxwd" timestamp="1523018268"&gt;18&lt;/key&gt;&lt;/foreign-keys&gt;&lt;ref-type name="Journal Article"&gt;17&lt;/ref-type&gt;&lt;contributors&gt;&lt;authors&gt;&lt;author&gt;Daugirdas, J. T.&lt;/author&gt;&lt;author&gt;Depner, T. A.&lt;/author&gt;&lt;author&gt;Greene, T.&lt;/author&gt;&lt;author&gt;Silisteanu, P.&lt;/author&gt;&lt;/authors&gt;&lt;/contributors&gt;&lt;auth-address&gt;University of Illinois at Chicago, Burr Ridge, IL 60527, USA. jtdaugir@uic.edu&lt;/auth-address&gt;&lt;titles&gt;&lt;title&gt;Solute-solver: a web-based tool for modeling urea kinetics for a broad range of hemodialysis schedules in multiple patients&lt;/title&gt;&lt;secondary-title&gt;Am J Kidney Dis&lt;/secondary-title&gt;&lt;/titles&gt;&lt;periodical&gt;&lt;full-title&gt;Am J Kidney Dis&lt;/full-title&gt;&lt;/periodical&gt;&lt;pages&gt;798-809&lt;/pages&gt;&lt;volume&gt;54&lt;/volume&gt;&lt;number&gt;5&lt;/number&gt;&lt;edition&gt;2009/10/27&lt;/edition&gt;&lt;keywords&gt;&lt;keyword&gt;Humans&lt;/keyword&gt;&lt;keyword&gt;*Internet&lt;/keyword&gt;&lt;keyword&gt;*Models, Biological&lt;/keyword&gt;&lt;keyword&gt;Renal Dialysis/*methods&lt;/keyword&gt;&lt;keyword&gt;Urea/*metabolism&lt;/keyword&gt;&lt;/keywords&gt;&lt;dates&gt;&lt;year&gt;2009&lt;/year&gt;&lt;pub-dates&gt;&lt;date&gt;Nov&lt;/date&gt;&lt;/pub-dates&gt;&lt;/dates&gt;&lt;isbn&gt;1523-6838 (Electronic)&amp;#xD;0272-6386 (Linking)&lt;/isbn&gt;&lt;accession-num&gt;19853198&lt;/accession-num&gt;&lt;urls&gt;&lt;related-urls&gt;&lt;url&gt;https://www.ncbi.nlm.nih.gov/pubmed/19853198&lt;/url&gt;&lt;/related-urls&gt;&lt;/urls&gt;&lt;electronic-resource-num&gt;10.1053/j.ajkd.2009.06.033&lt;/electronic-resource-num&gt;&lt;/record&gt;&lt;/Cite&gt;&lt;/EndNote&gt;</w:instrTex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[1]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="0032783D" w:rsidRPr="002B1A4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2C9593" w14:textId="77777777" w:rsidR="00E047EE" w:rsidRPr="00E047EE" w:rsidRDefault="00E047EE" w:rsidP="00E047E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14BF8D" w14:textId="376EC169" w:rsidR="0032783D" w:rsidRPr="002B1A48" w:rsidRDefault="0032783D" w:rsidP="0032783D">
      <w:pPr>
        <w:rPr>
          <w:rFonts w:cstheme="minorHAnsi"/>
        </w:rPr>
      </w:pPr>
      <w:r w:rsidRPr="002B1A48">
        <w:rPr>
          <w:rFonts w:cstheme="minorHAnsi"/>
        </w:rPr>
        <w:lastRenderedPageBreak/>
        <w:t>The value</w:t>
      </w:r>
      <w:r w:rsidR="00E047EE">
        <w:rPr>
          <w:rFonts w:cstheme="minorHAnsi"/>
        </w:rPr>
        <w:t>s</w:t>
      </w:r>
      <w:r w:rsidRPr="002B1A48">
        <w:rPr>
          <w:rFonts w:cstheme="minorHAnsi"/>
        </w:rPr>
        <w:t xml:space="preserve"> of the various parameters </w:t>
      </w:r>
      <w:r w:rsidR="00F847AC">
        <w:rPr>
          <w:rFonts w:cstheme="minorHAnsi"/>
        </w:rPr>
        <w:t>assumed</w:t>
      </w:r>
      <w:r w:rsidRPr="002B1A48">
        <w:rPr>
          <w:rFonts w:cstheme="minorHAnsi"/>
        </w:rPr>
        <w:t xml:space="preserve"> for urea, </w:t>
      </w:r>
      <w:r w:rsidR="00BE381E">
        <w:rPr>
          <w:rFonts w:cstheme="minorHAnsi"/>
        </w:rPr>
        <w:t>beta</w:t>
      </w:r>
      <w:r w:rsidR="00BE381E" w:rsidRPr="004C317D">
        <w:rPr>
          <w:rFonts w:cstheme="minorHAnsi"/>
          <w:vertAlign w:val="subscript"/>
        </w:rPr>
        <w:t>2</w:t>
      </w:r>
      <w:r w:rsidR="00BE381E">
        <w:t xml:space="preserve">-microglobulin </w:t>
      </w:r>
      <w:r w:rsidRPr="002B1A48">
        <w:rPr>
          <w:rFonts w:cstheme="minorHAnsi"/>
        </w:rPr>
        <w:t xml:space="preserve">and phosphate are described in </w:t>
      </w:r>
      <w:r w:rsidR="00E047EE">
        <w:rPr>
          <w:rFonts w:cstheme="minorHAnsi"/>
        </w:rPr>
        <w:t>the supplementary table (see below).</w:t>
      </w:r>
    </w:p>
    <w:p w14:paraId="0538F696" w14:textId="77777777" w:rsidR="00B54D1A" w:rsidRPr="002B1A48" w:rsidRDefault="00B54D1A">
      <w:pPr>
        <w:rPr>
          <w:rFonts w:cstheme="minorHAnsi"/>
        </w:rPr>
      </w:pPr>
      <w:r w:rsidRPr="002B1A48">
        <w:rPr>
          <w:rFonts w:cstheme="minorHAnsi"/>
        </w:rPr>
        <w:br w:type="page"/>
      </w:r>
    </w:p>
    <w:p w14:paraId="19FF3759" w14:textId="661DA5F2" w:rsidR="00B54D1A" w:rsidRPr="00B54D1A" w:rsidRDefault="00B54D1A">
      <w:pPr>
        <w:rPr>
          <w:b/>
        </w:rPr>
      </w:pPr>
      <w:r w:rsidRPr="00B54D1A">
        <w:rPr>
          <w:b/>
        </w:rPr>
        <w:lastRenderedPageBreak/>
        <w:t>SUPPLEMENTARY 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4D1A" w14:paraId="7331B54D" w14:textId="77777777" w:rsidTr="00BE381E">
        <w:tc>
          <w:tcPr>
            <w:tcW w:w="2337" w:type="dxa"/>
          </w:tcPr>
          <w:p w14:paraId="146313EB" w14:textId="7B7A1942" w:rsidR="00B54D1A" w:rsidRPr="006A5F7D" w:rsidRDefault="00B54D1A">
            <w:pPr>
              <w:rPr>
                <w:u w:val="single"/>
              </w:rPr>
            </w:pPr>
            <w:r w:rsidRPr="006A5F7D">
              <w:rPr>
                <w:u w:val="single"/>
              </w:rPr>
              <w:t>Parameter</w:t>
            </w:r>
          </w:p>
        </w:tc>
        <w:tc>
          <w:tcPr>
            <w:tcW w:w="2337" w:type="dxa"/>
          </w:tcPr>
          <w:p w14:paraId="37FFD4EB" w14:textId="67C0231A" w:rsidR="00B54D1A" w:rsidRPr="006A5F7D" w:rsidRDefault="00B54D1A" w:rsidP="006A5F7D">
            <w:pPr>
              <w:jc w:val="center"/>
              <w:rPr>
                <w:u w:val="single"/>
              </w:rPr>
            </w:pPr>
            <w:r w:rsidRPr="006A5F7D">
              <w:rPr>
                <w:u w:val="single"/>
              </w:rPr>
              <w:t>For Urea</w:t>
            </w:r>
          </w:p>
        </w:tc>
        <w:tc>
          <w:tcPr>
            <w:tcW w:w="2338" w:type="dxa"/>
          </w:tcPr>
          <w:p w14:paraId="6C981E33" w14:textId="7A8471F8" w:rsidR="00B54D1A" w:rsidRPr="00BE381E" w:rsidRDefault="00B54D1A" w:rsidP="006A5F7D">
            <w:pPr>
              <w:jc w:val="center"/>
              <w:rPr>
                <w:u w:val="single"/>
              </w:rPr>
            </w:pPr>
            <w:r w:rsidRPr="00BE381E">
              <w:rPr>
                <w:u w:val="single"/>
              </w:rPr>
              <w:t xml:space="preserve">For </w:t>
            </w:r>
            <w:r w:rsidR="00BE381E" w:rsidRPr="00BE381E">
              <w:rPr>
                <w:rFonts w:cstheme="minorHAnsi"/>
                <w:u w:val="single"/>
              </w:rPr>
              <w:t>beta</w:t>
            </w:r>
            <w:r w:rsidR="00BE381E" w:rsidRPr="00BE381E">
              <w:rPr>
                <w:rFonts w:cstheme="minorHAnsi"/>
                <w:u w:val="single"/>
                <w:vertAlign w:val="subscript"/>
              </w:rPr>
              <w:t>2</w:t>
            </w:r>
            <w:r w:rsidR="00BE381E" w:rsidRPr="00BE381E">
              <w:rPr>
                <w:u w:val="single"/>
              </w:rPr>
              <w:t>-microglobulin</w:t>
            </w:r>
          </w:p>
        </w:tc>
        <w:tc>
          <w:tcPr>
            <w:tcW w:w="2338" w:type="dxa"/>
          </w:tcPr>
          <w:p w14:paraId="22CB7AC6" w14:textId="6932C4E2" w:rsidR="00B54D1A" w:rsidRPr="006A5F7D" w:rsidRDefault="00B54D1A" w:rsidP="006A5F7D">
            <w:pPr>
              <w:jc w:val="center"/>
              <w:rPr>
                <w:u w:val="single"/>
              </w:rPr>
            </w:pPr>
            <w:r w:rsidRPr="006A5F7D">
              <w:rPr>
                <w:u w:val="single"/>
              </w:rPr>
              <w:t>For Phosphate</w:t>
            </w:r>
          </w:p>
        </w:tc>
      </w:tr>
      <w:tr w:rsidR="00B54D1A" w14:paraId="38B3C9D4" w14:textId="77777777" w:rsidTr="00BE381E">
        <w:tc>
          <w:tcPr>
            <w:tcW w:w="2337" w:type="dxa"/>
          </w:tcPr>
          <w:p w14:paraId="55052DBA" w14:textId="4BC2231D" w:rsidR="00B54D1A" w:rsidRDefault="00A2610B">
            <w:r>
              <w:t>V</w:t>
            </w:r>
            <w:r w:rsidRPr="00A2610B">
              <w:rPr>
                <w:vertAlign w:val="subscript"/>
              </w:rPr>
              <w:t>P</w:t>
            </w:r>
          </w:p>
        </w:tc>
        <w:tc>
          <w:tcPr>
            <w:tcW w:w="2337" w:type="dxa"/>
          </w:tcPr>
          <w:p w14:paraId="42B821FF" w14:textId="6D0ABF89" w:rsidR="00B54D1A" w:rsidRDefault="00A2610B" w:rsidP="006A5F7D">
            <w:pPr>
              <w:jc w:val="center"/>
            </w:pPr>
            <w:r>
              <w:t>Extracellular Volume</w:t>
            </w:r>
            <w:r w:rsidR="00467224">
              <w:t xml:space="preserve"> (ECV) or TBW/3</w:t>
            </w:r>
          </w:p>
        </w:tc>
        <w:tc>
          <w:tcPr>
            <w:tcW w:w="2338" w:type="dxa"/>
          </w:tcPr>
          <w:p w14:paraId="2CFCFCEB" w14:textId="3956370A" w:rsidR="00B54D1A" w:rsidRDefault="00A2610B" w:rsidP="006A5F7D">
            <w:pPr>
              <w:jc w:val="center"/>
            </w:pPr>
            <w:r>
              <w:t>Plasma Volume</w:t>
            </w:r>
            <w:r w:rsidR="00467224">
              <w:t xml:space="preserve"> or ECV/4</w:t>
            </w:r>
          </w:p>
        </w:tc>
        <w:tc>
          <w:tcPr>
            <w:tcW w:w="2338" w:type="dxa"/>
          </w:tcPr>
          <w:p w14:paraId="007F8F94" w14:textId="154D574A" w:rsidR="00B54D1A" w:rsidRDefault="00A2610B" w:rsidP="006A5F7D">
            <w:pPr>
              <w:jc w:val="center"/>
            </w:pPr>
            <w:r>
              <w:t>Extracellular Volume</w:t>
            </w:r>
            <w:r w:rsidR="00467224">
              <w:t xml:space="preserve"> or TBW/3</w:t>
            </w:r>
          </w:p>
        </w:tc>
      </w:tr>
      <w:tr w:rsidR="00B54D1A" w14:paraId="14EE9582" w14:textId="77777777" w:rsidTr="00BE381E">
        <w:tc>
          <w:tcPr>
            <w:tcW w:w="2337" w:type="dxa"/>
          </w:tcPr>
          <w:p w14:paraId="6452922C" w14:textId="30A7DBBF" w:rsidR="00B54D1A" w:rsidRDefault="00A2610B">
            <w:r>
              <w:t>V</w:t>
            </w:r>
            <w:r w:rsidRPr="00A2610B">
              <w:rPr>
                <w:vertAlign w:val="subscript"/>
              </w:rPr>
              <w:t>NP</w:t>
            </w:r>
          </w:p>
        </w:tc>
        <w:tc>
          <w:tcPr>
            <w:tcW w:w="2337" w:type="dxa"/>
          </w:tcPr>
          <w:p w14:paraId="4EBE8437" w14:textId="26D0B15B" w:rsidR="00B54D1A" w:rsidRDefault="00A2610B" w:rsidP="006A5F7D">
            <w:pPr>
              <w:jc w:val="center"/>
            </w:pPr>
            <w:r>
              <w:t>Intracellular Volume</w:t>
            </w:r>
            <w:r w:rsidR="00467224">
              <w:t xml:space="preserve"> or 2</w:t>
            </w:r>
            <w:r w:rsidR="00467224">
              <w:rPr>
                <w:rFonts w:cstheme="minorHAnsi"/>
              </w:rPr>
              <w:t>×</w:t>
            </w:r>
            <w:r w:rsidR="00467224">
              <w:t>TBW/3</w:t>
            </w:r>
          </w:p>
        </w:tc>
        <w:tc>
          <w:tcPr>
            <w:tcW w:w="2338" w:type="dxa"/>
          </w:tcPr>
          <w:p w14:paraId="7DE310D6" w14:textId="316AD6B5" w:rsidR="00B54D1A" w:rsidRDefault="00A2610B" w:rsidP="006A5F7D">
            <w:pPr>
              <w:jc w:val="center"/>
            </w:pPr>
            <w:r>
              <w:t>Interstitial Tissue Volume</w:t>
            </w:r>
            <w:r w:rsidR="00467224">
              <w:t xml:space="preserve"> or 3 </w:t>
            </w:r>
            <w:r w:rsidR="00467224">
              <w:rPr>
                <w:rFonts w:cstheme="minorHAnsi"/>
              </w:rPr>
              <w:t>×</w:t>
            </w:r>
            <w:r w:rsidR="00467224">
              <w:t xml:space="preserve"> ECV/4</w:t>
            </w:r>
          </w:p>
        </w:tc>
        <w:tc>
          <w:tcPr>
            <w:tcW w:w="2338" w:type="dxa"/>
          </w:tcPr>
          <w:p w14:paraId="0B09E04D" w14:textId="14856373" w:rsidR="00B54D1A" w:rsidRDefault="00467224" w:rsidP="006A5F7D">
            <w:pPr>
              <w:jc w:val="center"/>
            </w:pPr>
            <w:r>
              <w:t>Infinitely Large</w:t>
            </w:r>
          </w:p>
        </w:tc>
      </w:tr>
      <w:tr w:rsidR="00B54D1A" w14:paraId="36BC3834" w14:textId="77777777" w:rsidTr="00BE381E">
        <w:tc>
          <w:tcPr>
            <w:tcW w:w="2337" w:type="dxa"/>
          </w:tcPr>
          <w:p w14:paraId="1FEA6429" w14:textId="1B6FC019" w:rsidR="00B54D1A" w:rsidRDefault="00A2610B">
            <w:r>
              <w:t>G (mg/min)</w:t>
            </w:r>
          </w:p>
        </w:tc>
        <w:tc>
          <w:tcPr>
            <w:tcW w:w="2337" w:type="dxa"/>
          </w:tcPr>
          <w:p w14:paraId="7E113AC1" w14:textId="45033B5E" w:rsidR="00B54D1A" w:rsidRDefault="008C1B7F" w:rsidP="006A5F7D">
            <w:pPr>
              <w:jc w:val="center"/>
            </w:pPr>
            <w:r>
              <w:t>Arbitrary</w:t>
            </w:r>
          </w:p>
        </w:tc>
        <w:tc>
          <w:tcPr>
            <w:tcW w:w="2338" w:type="dxa"/>
          </w:tcPr>
          <w:p w14:paraId="7607F15A" w14:textId="5AD8F757" w:rsidR="00B54D1A" w:rsidRDefault="008C1B7F" w:rsidP="006A5F7D">
            <w:pPr>
              <w:jc w:val="center"/>
            </w:pPr>
            <w:r>
              <w:t>Arbitrary</w:t>
            </w:r>
          </w:p>
        </w:tc>
        <w:tc>
          <w:tcPr>
            <w:tcW w:w="2338" w:type="dxa"/>
          </w:tcPr>
          <w:p w14:paraId="29C2F19F" w14:textId="552D5282" w:rsidR="00B54D1A" w:rsidRDefault="008C1B7F" w:rsidP="006A5F7D">
            <w:pPr>
              <w:jc w:val="center"/>
            </w:pPr>
            <w:r>
              <w:t>Neglected</w:t>
            </w:r>
          </w:p>
        </w:tc>
      </w:tr>
      <w:tr w:rsidR="00B54D1A" w14:paraId="14D15A76" w14:textId="77777777" w:rsidTr="00BE381E">
        <w:tc>
          <w:tcPr>
            <w:tcW w:w="2337" w:type="dxa"/>
          </w:tcPr>
          <w:p w14:paraId="6DC4FBC1" w14:textId="017E3BC3" w:rsidR="00B54D1A" w:rsidRDefault="00A2610B">
            <w:r>
              <w:t>K</w:t>
            </w:r>
            <w:r w:rsidRPr="00A2610B">
              <w:rPr>
                <w:vertAlign w:val="subscript"/>
              </w:rPr>
              <w:t>NK</w:t>
            </w:r>
            <w:r>
              <w:t xml:space="preserve"> (mL/min)</w:t>
            </w:r>
          </w:p>
        </w:tc>
        <w:tc>
          <w:tcPr>
            <w:tcW w:w="2337" w:type="dxa"/>
          </w:tcPr>
          <w:p w14:paraId="38FB054A" w14:textId="62C75C10" w:rsidR="00B54D1A" w:rsidRDefault="00A2610B" w:rsidP="006A5F7D">
            <w:pPr>
              <w:jc w:val="center"/>
            </w:pPr>
            <w:r>
              <w:t>0</w:t>
            </w:r>
          </w:p>
        </w:tc>
        <w:tc>
          <w:tcPr>
            <w:tcW w:w="2338" w:type="dxa"/>
          </w:tcPr>
          <w:p w14:paraId="1106AA33" w14:textId="1523C2CF" w:rsidR="00B54D1A" w:rsidRDefault="00A2610B" w:rsidP="006A5F7D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47BC107D" w14:textId="17F53AD8" w:rsidR="00B54D1A" w:rsidRDefault="00A2610B" w:rsidP="006A5F7D">
            <w:pPr>
              <w:jc w:val="center"/>
            </w:pPr>
            <w:r>
              <w:t>0</w:t>
            </w:r>
          </w:p>
        </w:tc>
      </w:tr>
      <w:tr w:rsidR="00B54D1A" w14:paraId="418C0ECD" w14:textId="77777777" w:rsidTr="00BE381E">
        <w:tc>
          <w:tcPr>
            <w:tcW w:w="2337" w:type="dxa"/>
          </w:tcPr>
          <w:p w14:paraId="3E882C8C" w14:textId="2F491CC8" w:rsidR="00B54D1A" w:rsidRDefault="00A2610B">
            <w:r>
              <w:rPr>
                <w:rFonts w:cstheme="minorHAnsi"/>
              </w:rPr>
              <w:t>φ</w:t>
            </w:r>
            <w:r w:rsidRPr="00A2610B">
              <w:rPr>
                <w:vertAlign w:val="subscript"/>
              </w:rPr>
              <w:t>P</w:t>
            </w:r>
          </w:p>
        </w:tc>
        <w:tc>
          <w:tcPr>
            <w:tcW w:w="2337" w:type="dxa"/>
          </w:tcPr>
          <w:p w14:paraId="0921BBDF" w14:textId="0569BB54" w:rsidR="00B54D1A" w:rsidRDefault="00814B21" w:rsidP="006A5F7D">
            <w:pPr>
              <w:jc w:val="center"/>
            </w:pPr>
            <w:r>
              <w:t>0.33</w:t>
            </w:r>
          </w:p>
        </w:tc>
        <w:tc>
          <w:tcPr>
            <w:tcW w:w="2338" w:type="dxa"/>
          </w:tcPr>
          <w:p w14:paraId="6E3118A6" w14:textId="2E6D3453" w:rsidR="00B54D1A" w:rsidRDefault="00814B21" w:rsidP="006A5F7D">
            <w:pPr>
              <w:jc w:val="center"/>
            </w:pPr>
            <w:r>
              <w:t>0.25</w:t>
            </w:r>
          </w:p>
        </w:tc>
        <w:tc>
          <w:tcPr>
            <w:tcW w:w="2338" w:type="dxa"/>
          </w:tcPr>
          <w:p w14:paraId="6C8B92CF" w14:textId="52F7CEE4" w:rsidR="00B54D1A" w:rsidRDefault="00814B21" w:rsidP="006A5F7D">
            <w:pPr>
              <w:jc w:val="center"/>
            </w:pPr>
            <w:r>
              <w:t>0.33</w:t>
            </w:r>
          </w:p>
        </w:tc>
      </w:tr>
      <w:tr w:rsidR="00814B21" w14:paraId="66E43E45" w14:textId="77777777" w:rsidTr="00BE381E">
        <w:tc>
          <w:tcPr>
            <w:tcW w:w="2337" w:type="dxa"/>
          </w:tcPr>
          <w:p w14:paraId="7D888D18" w14:textId="17659671" w:rsidR="00814B21" w:rsidRDefault="00814B21">
            <w:pPr>
              <w:rPr>
                <w:rFonts w:cstheme="minorHAnsi"/>
              </w:rPr>
            </w:pPr>
            <w:r>
              <w:rPr>
                <w:rFonts w:cstheme="minorHAnsi"/>
              </w:rPr>
              <w:t>φ</w:t>
            </w:r>
            <w:r w:rsidRPr="00A2610B">
              <w:rPr>
                <w:vertAlign w:val="subscript"/>
              </w:rPr>
              <w:t>NP</w:t>
            </w:r>
          </w:p>
        </w:tc>
        <w:tc>
          <w:tcPr>
            <w:tcW w:w="2337" w:type="dxa"/>
          </w:tcPr>
          <w:p w14:paraId="7A99DD75" w14:textId="1FF2D0F3" w:rsidR="00814B21" w:rsidRDefault="00814B21" w:rsidP="006A5F7D">
            <w:pPr>
              <w:jc w:val="center"/>
            </w:pPr>
            <w:r>
              <w:t>0.67</w:t>
            </w:r>
          </w:p>
        </w:tc>
        <w:tc>
          <w:tcPr>
            <w:tcW w:w="2338" w:type="dxa"/>
          </w:tcPr>
          <w:p w14:paraId="7BD1C890" w14:textId="449CD0B7" w:rsidR="00814B21" w:rsidRDefault="00814B21" w:rsidP="006A5F7D">
            <w:pPr>
              <w:jc w:val="center"/>
            </w:pPr>
            <w:r>
              <w:t>0.75</w:t>
            </w:r>
          </w:p>
        </w:tc>
        <w:tc>
          <w:tcPr>
            <w:tcW w:w="2338" w:type="dxa"/>
          </w:tcPr>
          <w:p w14:paraId="3A082E47" w14:textId="5E25FBD0" w:rsidR="00814B21" w:rsidRDefault="00814B21" w:rsidP="006A5F7D">
            <w:pPr>
              <w:jc w:val="center"/>
            </w:pPr>
            <w:r>
              <w:t>0.67</w:t>
            </w:r>
          </w:p>
        </w:tc>
      </w:tr>
      <w:tr w:rsidR="00DB001B" w14:paraId="5304AB9C" w14:textId="77777777" w:rsidTr="00BE381E">
        <w:tc>
          <w:tcPr>
            <w:tcW w:w="2337" w:type="dxa"/>
          </w:tcPr>
          <w:p w14:paraId="00CDA12C" w14:textId="36180884" w:rsidR="00DB001B" w:rsidRDefault="00DB001B" w:rsidP="00DB001B">
            <w:r>
              <w:t>“Blood Flow Rate”</w:t>
            </w:r>
          </w:p>
        </w:tc>
        <w:tc>
          <w:tcPr>
            <w:tcW w:w="2337" w:type="dxa"/>
          </w:tcPr>
          <w:p w14:paraId="6BACD1F9" w14:textId="5E6D2446" w:rsidR="00DB001B" w:rsidRDefault="00DB001B" w:rsidP="00DB001B">
            <w:pPr>
              <w:jc w:val="center"/>
            </w:pPr>
            <w:r>
              <w:t xml:space="preserve">0.894 </w:t>
            </w:r>
            <w:r>
              <w:rPr>
                <w:rFonts w:cstheme="minorHAnsi"/>
              </w:rPr>
              <w:t>×</w:t>
            </w:r>
            <w:r>
              <w:t xml:space="preserve"> Q</w:t>
            </w:r>
            <w:r w:rsidRPr="00DB001B">
              <w:rPr>
                <w:vertAlign w:val="subscript"/>
              </w:rPr>
              <w:t>b</w:t>
            </w:r>
          </w:p>
        </w:tc>
        <w:tc>
          <w:tcPr>
            <w:tcW w:w="2338" w:type="dxa"/>
          </w:tcPr>
          <w:p w14:paraId="6000381D" w14:textId="06B07F67" w:rsidR="00DB001B" w:rsidRDefault="00DB001B" w:rsidP="00DB001B">
            <w:pPr>
              <w:jc w:val="center"/>
            </w:pPr>
            <w:r>
              <w:t xml:space="preserve">0.67 </w:t>
            </w:r>
            <w:r>
              <w:rPr>
                <w:rFonts w:cstheme="minorHAnsi"/>
              </w:rPr>
              <w:t>×</w:t>
            </w:r>
            <w:r>
              <w:t xml:space="preserve"> Q</w:t>
            </w:r>
            <w:r w:rsidRPr="00DB001B">
              <w:rPr>
                <w:vertAlign w:val="subscript"/>
              </w:rPr>
              <w:t>b</w:t>
            </w:r>
          </w:p>
        </w:tc>
        <w:tc>
          <w:tcPr>
            <w:tcW w:w="2338" w:type="dxa"/>
          </w:tcPr>
          <w:p w14:paraId="0375A341" w14:textId="253534DC" w:rsidR="00DB001B" w:rsidRDefault="00DB001B" w:rsidP="00DB001B">
            <w:pPr>
              <w:jc w:val="center"/>
            </w:pPr>
            <w:r>
              <w:t xml:space="preserve">0.67 </w:t>
            </w:r>
            <w:r>
              <w:rPr>
                <w:rFonts w:cstheme="minorHAnsi"/>
              </w:rPr>
              <w:t>×</w:t>
            </w:r>
            <w:r>
              <w:t xml:space="preserve"> Q</w:t>
            </w:r>
            <w:r w:rsidRPr="00DB001B">
              <w:rPr>
                <w:vertAlign w:val="subscript"/>
              </w:rPr>
              <w:t>b</w:t>
            </w:r>
          </w:p>
        </w:tc>
      </w:tr>
      <w:tr w:rsidR="00DB001B" w14:paraId="49C69B7A" w14:textId="77777777" w:rsidTr="00BE381E">
        <w:tc>
          <w:tcPr>
            <w:tcW w:w="2337" w:type="dxa"/>
          </w:tcPr>
          <w:p w14:paraId="3520B533" w14:textId="50707C20" w:rsidR="00DB001B" w:rsidRDefault="00DB001B" w:rsidP="00DB001B">
            <w:r>
              <w:t>Dialyzer S</w:t>
            </w:r>
          </w:p>
        </w:tc>
        <w:tc>
          <w:tcPr>
            <w:tcW w:w="2337" w:type="dxa"/>
          </w:tcPr>
          <w:p w14:paraId="42D4407E" w14:textId="128DE714" w:rsidR="00DB001B" w:rsidRDefault="00DB001B" w:rsidP="00DB001B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63BAE8E1" w14:textId="0583BFAE" w:rsidR="00DB001B" w:rsidRDefault="00DB001B" w:rsidP="00DB001B">
            <w:pPr>
              <w:jc w:val="center"/>
            </w:pPr>
            <w:r>
              <w:t>0.8</w:t>
            </w:r>
          </w:p>
        </w:tc>
        <w:tc>
          <w:tcPr>
            <w:tcW w:w="2338" w:type="dxa"/>
          </w:tcPr>
          <w:p w14:paraId="1484E80B" w14:textId="2A5D3B85" w:rsidR="00DB001B" w:rsidRDefault="00DB001B" w:rsidP="00DB001B">
            <w:pPr>
              <w:jc w:val="center"/>
            </w:pPr>
            <w:r>
              <w:t>1</w:t>
            </w:r>
          </w:p>
        </w:tc>
      </w:tr>
      <w:tr w:rsidR="00DB001B" w14:paraId="33F5C1F7" w14:textId="77777777" w:rsidTr="00BE381E">
        <w:tc>
          <w:tcPr>
            <w:tcW w:w="2337" w:type="dxa"/>
          </w:tcPr>
          <w:p w14:paraId="302BB7A3" w14:textId="5A1618A4" w:rsidR="00DB001B" w:rsidRDefault="00DB001B" w:rsidP="00DB001B">
            <w:r>
              <w:t>Dialyzer K</w:t>
            </w:r>
            <w:r w:rsidRPr="00B27EA1">
              <w:rPr>
                <w:vertAlign w:val="subscript"/>
              </w:rPr>
              <w:t>o</w:t>
            </w:r>
            <w:r>
              <w:t>A (mL/min)</w:t>
            </w:r>
          </w:p>
        </w:tc>
        <w:tc>
          <w:tcPr>
            <w:tcW w:w="2337" w:type="dxa"/>
          </w:tcPr>
          <w:p w14:paraId="1830AEE0" w14:textId="7061B305" w:rsidR="00DB001B" w:rsidRDefault="00DB001B" w:rsidP="00DB001B">
            <w:pPr>
              <w:jc w:val="center"/>
            </w:pPr>
            <w:r>
              <w:t>As reported in main text</w:t>
            </w:r>
          </w:p>
        </w:tc>
        <w:tc>
          <w:tcPr>
            <w:tcW w:w="2338" w:type="dxa"/>
          </w:tcPr>
          <w:p w14:paraId="1EB185DE" w14:textId="4698BD9C" w:rsidR="00DB001B" w:rsidRDefault="00DB001B" w:rsidP="00DB001B">
            <w:pPr>
              <w:jc w:val="center"/>
            </w:pPr>
            <w:r>
              <w:t>80</w:t>
            </w:r>
            <w:r w:rsidR="008C1B7F">
              <w:t xml:space="preserve"> </w:t>
            </w:r>
            <w:r w:rsidR="008C1B7F">
              <w:fldChar w:fldCharType="begin"/>
            </w:r>
            <w:r w:rsidR="008C1B7F">
              <w:instrText xml:space="preserve"> ADDIN EN.CITE &lt;EndNote&gt;&lt;Cite&gt;&lt;Author&gt;Ward&lt;/Author&gt;&lt;Year&gt;2006&lt;/Year&gt;&lt;RecNum&gt;25&lt;/RecNum&gt;&lt;DisplayText&gt;[2]&lt;/DisplayText&gt;&lt;record&gt;&lt;rec-number&gt;25&lt;/rec-number&gt;&lt;foreign-keys&gt;&lt;key app="EN" db-id="wz5eerzp9prawzeadz952wtb0dxwszt5wxwd" timestamp="1523018421"&gt;25&lt;/key&gt;&lt;/foreign-keys&gt;&lt;ref-type name="Journal Article"&gt;17&lt;/ref-type&gt;&lt;contributors&gt;&lt;authors&gt;&lt;author&gt;Ward, R. A.&lt;/author&gt;&lt;author&gt;Greene, T.&lt;/author&gt;&lt;author&gt;Hartmann, B.&lt;/author&gt;&lt;author&gt;Samtleben, W.&lt;/author&gt;&lt;/authors&gt;&lt;/contributors&gt;&lt;auth-address&gt;Department of Medicine, University of Louisville, Kentucky 40202-1718, USA. richard.ward@kdp.louisville.edu&lt;/auth-address&gt;&lt;titles&gt;&lt;title&gt;Resistance to intercompartmental mass transfer limits beta2-microglobulin removal by post-dilution hemodiafiltration&lt;/title&gt;&lt;secondary-title&gt;Kidney Int&lt;/secondary-title&gt;&lt;/titles&gt;&lt;periodical&gt;&lt;full-title&gt;Kidney Int&lt;/full-title&gt;&lt;/periodical&gt;&lt;pages&gt;1431-7&lt;/pages&gt;&lt;volume&gt;69&lt;/volume&gt;&lt;number&gt;8&lt;/number&gt;&lt;edition&gt;2006/01/06&lt;/edition&gt;&lt;keywords&gt;&lt;keyword&gt;Adult&lt;/keyword&gt;&lt;keyword&gt;Aged&lt;/keyword&gt;&lt;keyword&gt;*Body Fluid Compartments&lt;/keyword&gt;&lt;keyword&gt;Body Weight&lt;/keyword&gt;&lt;keyword&gt;Female&lt;/keyword&gt;&lt;keyword&gt;*Hemodiafiltration&lt;/keyword&gt;&lt;keyword&gt;Hemodialysis Solutions/chemistry&lt;/keyword&gt;&lt;keyword&gt;Humans&lt;/keyword&gt;&lt;keyword&gt;Kinetics&lt;/keyword&gt;&lt;keyword&gt;Male&lt;/keyword&gt;&lt;keyword&gt;Middle Aged&lt;/keyword&gt;&lt;keyword&gt;Models, Biological&lt;/keyword&gt;&lt;keyword&gt;beta 2-Microglobulin/blood/metabolism/*pharmacokinetics/therapeutic use&lt;/keyword&gt;&lt;/keywords&gt;&lt;dates&gt;&lt;year&gt;2006&lt;/year&gt;&lt;pub-dates&gt;&lt;date&gt;Apr&lt;/date&gt;&lt;/pub-dates&gt;&lt;/dates&gt;&lt;isbn&gt;0085-2538 (Print)&amp;#xD;0085-2538 (Linking)&lt;/isbn&gt;&lt;accession-num&gt;16395268&lt;/accession-num&gt;&lt;urls&gt;&lt;related-urls&gt;&lt;url&gt;https://www.ncbi.nlm.nih.gov/pubmed/16395268&lt;/url&gt;&lt;/related-urls&gt;&lt;/urls&gt;&lt;electronic-resource-num&gt;10.1038/sj.ki.5000048&lt;/electronic-resource-num&gt;&lt;/record&gt;&lt;/Cite&gt;&lt;/EndNote&gt;</w:instrText>
            </w:r>
            <w:r w:rsidR="008C1B7F">
              <w:fldChar w:fldCharType="separate"/>
            </w:r>
            <w:r w:rsidR="008C1B7F">
              <w:rPr>
                <w:noProof/>
              </w:rPr>
              <w:t>[2]</w:t>
            </w:r>
            <w:r w:rsidR="008C1B7F">
              <w:fldChar w:fldCharType="end"/>
            </w:r>
          </w:p>
        </w:tc>
        <w:tc>
          <w:tcPr>
            <w:tcW w:w="2338" w:type="dxa"/>
          </w:tcPr>
          <w:p w14:paraId="1B695BDC" w14:textId="5B420D93" w:rsidR="00DB001B" w:rsidRDefault="00DB001B" w:rsidP="00DB001B">
            <w:pPr>
              <w:jc w:val="center"/>
            </w:pPr>
            <w:r>
              <w:t>60% of that for urea</w:t>
            </w:r>
          </w:p>
        </w:tc>
      </w:tr>
    </w:tbl>
    <w:p w14:paraId="016F31C0" w14:textId="77777777" w:rsidR="00DB001B" w:rsidRDefault="00DB001B"/>
    <w:p w14:paraId="120A6AC0" w14:textId="3EF44869" w:rsidR="00F658A9" w:rsidRDefault="00DB001B">
      <w:r>
        <w:t>T</w:t>
      </w:r>
      <w:r w:rsidR="00467224">
        <w:t>BW = Total Body Water Volume and t</w:t>
      </w:r>
      <w:r>
        <w:t xml:space="preserve">he hematocrit </w:t>
      </w:r>
      <w:r w:rsidR="00467224">
        <w:t>wa</w:t>
      </w:r>
      <w:r>
        <w:t>s assumed to be 33%.</w:t>
      </w:r>
      <w:r w:rsidR="00F658A9">
        <w:br w:type="page"/>
      </w:r>
    </w:p>
    <w:p w14:paraId="035D31A8" w14:textId="726F47E2" w:rsidR="00F658A9" w:rsidRDefault="00F658A9">
      <w:pPr>
        <w:rPr>
          <w:b/>
        </w:rPr>
      </w:pPr>
      <w:r w:rsidRPr="00F658A9">
        <w:rPr>
          <w:b/>
        </w:rPr>
        <w:lastRenderedPageBreak/>
        <w:t>S</w:t>
      </w:r>
      <w:r w:rsidR="00B54D1A">
        <w:rPr>
          <w:b/>
        </w:rPr>
        <w:t>UPPLEMENTARY FIGURE</w:t>
      </w:r>
    </w:p>
    <w:p w14:paraId="66B04552" w14:textId="2F2FF0C9" w:rsidR="00C827BC" w:rsidRPr="00C827BC" w:rsidRDefault="00C827BC">
      <w:r>
        <w:t>The two-compartment model framework used in this study.</w:t>
      </w:r>
    </w:p>
    <w:p w14:paraId="2FDFBAAE" w14:textId="77777777" w:rsidR="001F4FB1" w:rsidRDefault="00F658A9">
      <w:r w:rsidRPr="00F658A9">
        <w:rPr>
          <w:noProof/>
        </w:rPr>
        <w:drawing>
          <wp:inline distT="0" distB="0" distL="0" distR="0" wp14:anchorId="01D88139" wp14:editId="47D21DE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9255" w14:textId="0D05EFDE" w:rsidR="001F4FB1" w:rsidRDefault="001F4FB1">
      <w:r>
        <w:br w:type="page"/>
      </w:r>
    </w:p>
    <w:p w14:paraId="37CFBCAA" w14:textId="6BF6E0D9" w:rsidR="001F4FB1" w:rsidRPr="001F4FB1" w:rsidRDefault="001F4FB1">
      <w:pPr>
        <w:rPr>
          <w:b/>
        </w:rPr>
      </w:pPr>
      <w:r w:rsidRPr="001F4FB1">
        <w:rPr>
          <w:b/>
        </w:rPr>
        <w:lastRenderedPageBreak/>
        <w:t>REFERENCES</w:t>
      </w:r>
    </w:p>
    <w:p w14:paraId="6355CD53" w14:textId="77777777" w:rsidR="008C1B7F" w:rsidRPr="008C1B7F" w:rsidRDefault="001F4FB1" w:rsidP="008C1B7F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8C1B7F" w:rsidRPr="008C1B7F">
        <w:t>1.</w:t>
      </w:r>
      <w:r w:rsidR="008C1B7F" w:rsidRPr="008C1B7F">
        <w:tab/>
        <w:t xml:space="preserve">Daugirdas JT, Depner TA, Greene T, Silisteanu P. Solute-solver: a web-based tool for modeling urea kinetics for a broad range of hemodialysis schedules in multiple patients. </w:t>
      </w:r>
      <w:r w:rsidR="008C1B7F" w:rsidRPr="008C1B7F">
        <w:rPr>
          <w:i/>
        </w:rPr>
        <w:t>Am J Kidney Dis</w:t>
      </w:r>
      <w:r w:rsidR="008C1B7F" w:rsidRPr="008C1B7F">
        <w:t xml:space="preserve"> 2009; 54: 798-809</w:t>
      </w:r>
    </w:p>
    <w:p w14:paraId="1F3144C0" w14:textId="77777777" w:rsidR="008C1B7F" w:rsidRPr="008C1B7F" w:rsidRDefault="008C1B7F" w:rsidP="008C1B7F">
      <w:pPr>
        <w:pStyle w:val="EndNoteBibliography"/>
        <w:spacing w:after="0"/>
      </w:pPr>
      <w:r w:rsidRPr="008C1B7F">
        <w:t>2.</w:t>
      </w:r>
      <w:r w:rsidRPr="008C1B7F">
        <w:tab/>
        <w:t xml:space="preserve">Ward RA, Greene T, Hartmann B, Samtleben W. Resistance to intercompartmental mass transfer limits beta2-microglobulin removal by post-dilution hemodiafiltration. </w:t>
      </w:r>
      <w:r w:rsidRPr="008C1B7F">
        <w:rPr>
          <w:i/>
        </w:rPr>
        <w:t>Kidney Int</w:t>
      </w:r>
      <w:r w:rsidRPr="008C1B7F">
        <w:t xml:space="preserve"> 2006; 69: 1431-7</w:t>
      </w:r>
    </w:p>
    <w:p w14:paraId="62F7622F" w14:textId="77777777" w:rsidR="008C1B7F" w:rsidRPr="008C1B7F" w:rsidRDefault="008C1B7F" w:rsidP="008C1B7F">
      <w:pPr>
        <w:pStyle w:val="EndNoteBibliography"/>
        <w:spacing w:after="0"/>
      </w:pPr>
      <w:r w:rsidRPr="008C1B7F">
        <w:t>3.</w:t>
      </w:r>
      <w:r w:rsidRPr="008C1B7F">
        <w:tab/>
        <w:t xml:space="preserve">Agar BU, Akonur A, Lo YC, Cheung AK, Leypoldt JK. Kinetic model of phosphorus mobilization during and after short and conventional hemodialysis. </w:t>
      </w:r>
      <w:r w:rsidRPr="008C1B7F">
        <w:rPr>
          <w:i/>
        </w:rPr>
        <w:t>Clin J Am Soc Nephrol</w:t>
      </w:r>
      <w:r w:rsidRPr="008C1B7F">
        <w:t xml:space="preserve"> 2011; 6: 2854-60</w:t>
      </w:r>
    </w:p>
    <w:p w14:paraId="602A2B61" w14:textId="77777777" w:rsidR="008C1B7F" w:rsidRPr="008C1B7F" w:rsidRDefault="008C1B7F" w:rsidP="008C1B7F">
      <w:pPr>
        <w:pStyle w:val="EndNoteBibliography"/>
        <w:spacing w:after="0"/>
      </w:pPr>
      <w:r w:rsidRPr="008C1B7F">
        <w:t>4.</w:t>
      </w:r>
      <w:r w:rsidRPr="008C1B7F">
        <w:tab/>
        <w:t xml:space="preserve">Granger A, Vantard G, Vantelon J, Perrone B. A mathematical approach of simulataneous dialysis and filtration (SDF). </w:t>
      </w:r>
      <w:r w:rsidRPr="008C1B7F">
        <w:rPr>
          <w:i/>
        </w:rPr>
        <w:t>Proc Eur Soc Artif Organs</w:t>
      </w:r>
      <w:r w:rsidRPr="008C1B7F">
        <w:t xml:space="preserve"> 1978: 174-7</w:t>
      </w:r>
    </w:p>
    <w:p w14:paraId="6BB8D6A3" w14:textId="77777777" w:rsidR="008C1B7F" w:rsidRPr="008C1B7F" w:rsidRDefault="008C1B7F" w:rsidP="008C1B7F">
      <w:pPr>
        <w:pStyle w:val="EndNoteBibliography"/>
      </w:pPr>
      <w:r w:rsidRPr="008C1B7F">
        <w:t>5.</w:t>
      </w:r>
      <w:r w:rsidRPr="008C1B7F">
        <w:tab/>
        <w:t xml:space="preserve">Leypoldt JK. Solute fluxes in different treatment modalities. </w:t>
      </w:r>
      <w:r w:rsidRPr="008C1B7F">
        <w:rPr>
          <w:i/>
        </w:rPr>
        <w:t>Nephrol Dial Transplant</w:t>
      </w:r>
      <w:r w:rsidRPr="008C1B7F">
        <w:t xml:space="preserve"> 2000; 15 Suppl 1: 3-9</w:t>
      </w:r>
    </w:p>
    <w:p w14:paraId="18234E56" w14:textId="1CBD091F" w:rsidR="00F658A9" w:rsidRDefault="001F4FB1">
      <w:r>
        <w:fldChar w:fldCharType="end"/>
      </w:r>
    </w:p>
    <w:sectPr w:rsidR="00F658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8E1C" w14:textId="77777777" w:rsidR="00C34B2A" w:rsidRDefault="00C34B2A" w:rsidP="001F64D4">
      <w:pPr>
        <w:spacing w:after="0" w:line="240" w:lineRule="auto"/>
      </w:pPr>
      <w:r>
        <w:separator/>
      </w:r>
    </w:p>
  </w:endnote>
  <w:endnote w:type="continuationSeparator" w:id="0">
    <w:p w14:paraId="7897B3E9" w14:textId="77777777" w:rsidR="00C34B2A" w:rsidRDefault="00C34B2A" w:rsidP="001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497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219AF" w14:textId="73CCB337" w:rsidR="001F64D4" w:rsidRDefault="001F64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EF727" w14:textId="77777777" w:rsidR="001F64D4" w:rsidRDefault="001F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E542" w14:textId="77777777" w:rsidR="00C34B2A" w:rsidRDefault="00C34B2A" w:rsidP="001F64D4">
      <w:pPr>
        <w:spacing w:after="0" w:line="240" w:lineRule="auto"/>
      </w:pPr>
      <w:r>
        <w:separator/>
      </w:r>
    </w:p>
  </w:footnote>
  <w:footnote w:type="continuationSeparator" w:id="0">
    <w:p w14:paraId="1F136F20" w14:textId="77777777" w:rsidR="00C34B2A" w:rsidRDefault="00C34B2A" w:rsidP="001F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5eerzp9prawzeadz952wtb0dxwszt5wxwd&quot;&gt;Outset_Blood Purif_2018&lt;record-ids&gt;&lt;item&gt;18&lt;/item&gt;&lt;item&gt;25&lt;/item&gt;&lt;item&gt;28&lt;/item&gt;&lt;item&gt;32&lt;/item&gt;&lt;item&gt;33&lt;/item&gt;&lt;/record-ids&gt;&lt;/item&gt;&lt;/Libraries&gt;"/>
  </w:docVars>
  <w:rsids>
    <w:rsidRoot w:val="00934155"/>
    <w:rsid w:val="00007BF2"/>
    <w:rsid w:val="000C4790"/>
    <w:rsid w:val="000D5AF1"/>
    <w:rsid w:val="000E01EF"/>
    <w:rsid w:val="00125B5F"/>
    <w:rsid w:val="0018238F"/>
    <w:rsid w:val="001A2069"/>
    <w:rsid w:val="001F4FB1"/>
    <w:rsid w:val="001F64D4"/>
    <w:rsid w:val="002374B1"/>
    <w:rsid w:val="002B1A48"/>
    <w:rsid w:val="002B1FC5"/>
    <w:rsid w:val="002B5D56"/>
    <w:rsid w:val="0032783D"/>
    <w:rsid w:val="00393607"/>
    <w:rsid w:val="003E3673"/>
    <w:rsid w:val="004023D9"/>
    <w:rsid w:val="00412287"/>
    <w:rsid w:val="00467224"/>
    <w:rsid w:val="004840FB"/>
    <w:rsid w:val="00492C26"/>
    <w:rsid w:val="004C317D"/>
    <w:rsid w:val="005317BB"/>
    <w:rsid w:val="00577140"/>
    <w:rsid w:val="005B3739"/>
    <w:rsid w:val="005C6077"/>
    <w:rsid w:val="005F6366"/>
    <w:rsid w:val="00614E6B"/>
    <w:rsid w:val="00632367"/>
    <w:rsid w:val="00662F42"/>
    <w:rsid w:val="006A5F7D"/>
    <w:rsid w:val="006A6A5C"/>
    <w:rsid w:val="007431BE"/>
    <w:rsid w:val="007D7C39"/>
    <w:rsid w:val="00814B21"/>
    <w:rsid w:val="00814E2A"/>
    <w:rsid w:val="008C1B7F"/>
    <w:rsid w:val="008C6347"/>
    <w:rsid w:val="00934155"/>
    <w:rsid w:val="00973C15"/>
    <w:rsid w:val="0098195C"/>
    <w:rsid w:val="009942F9"/>
    <w:rsid w:val="009A31EB"/>
    <w:rsid w:val="009A4C14"/>
    <w:rsid w:val="00A15ABF"/>
    <w:rsid w:val="00A2610B"/>
    <w:rsid w:val="00AF7606"/>
    <w:rsid w:val="00B06E6D"/>
    <w:rsid w:val="00B27EA1"/>
    <w:rsid w:val="00B472C6"/>
    <w:rsid w:val="00B54D1A"/>
    <w:rsid w:val="00BE381E"/>
    <w:rsid w:val="00C34B2A"/>
    <w:rsid w:val="00C4502C"/>
    <w:rsid w:val="00C65591"/>
    <w:rsid w:val="00C827BC"/>
    <w:rsid w:val="00CB0649"/>
    <w:rsid w:val="00DB001B"/>
    <w:rsid w:val="00DC2B57"/>
    <w:rsid w:val="00E047EE"/>
    <w:rsid w:val="00E122DF"/>
    <w:rsid w:val="00F206E5"/>
    <w:rsid w:val="00F61ADA"/>
    <w:rsid w:val="00F658A9"/>
    <w:rsid w:val="00F847AC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31E0"/>
  <w15:chartTrackingRefBased/>
  <w15:docId w15:val="{3ED68CF7-556A-48FF-A6B3-A91B32C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3739"/>
    <w:rPr>
      <w:color w:val="808080"/>
    </w:rPr>
  </w:style>
  <w:style w:type="paragraph" w:customStyle="1" w:styleId="Default">
    <w:name w:val="Default"/>
    <w:rsid w:val="00327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F4FB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4FB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F4FB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F4FB1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1F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D4"/>
  </w:style>
  <w:style w:type="paragraph" w:styleId="Footer">
    <w:name w:val="footer"/>
    <w:basedOn w:val="Normal"/>
    <w:link w:val="FooterChar"/>
    <w:uiPriority w:val="99"/>
    <w:unhideWhenUsed/>
    <w:rsid w:val="001F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Leypoldt</dc:creator>
  <cp:keywords/>
  <dc:description/>
  <cp:lastModifiedBy>Luis Alvarez</cp:lastModifiedBy>
  <cp:revision>2</cp:revision>
  <dcterms:created xsi:type="dcterms:W3CDTF">2018-08-31T16:48:00Z</dcterms:created>
  <dcterms:modified xsi:type="dcterms:W3CDTF">2018-08-31T16:48:00Z</dcterms:modified>
</cp:coreProperties>
</file>