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05" w:rsidRPr="00BC3EB4" w:rsidRDefault="004B1544" w:rsidP="00945D05">
      <w:pPr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C3EB4"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240ED0" w:rsidRPr="00BC3EB4" w:rsidRDefault="00BC3EB4" w:rsidP="00D52E71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Diagnoses with </w:t>
      </w:r>
      <w:r w:rsidR="00240ED0" w:rsidRPr="00BC3EB4">
        <w:rPr>
          <w:rFonts w:ascii="Times New Roman" w:hAnsi="Times New Roman"/>
          <w:b/>
          <w:sz w:val="24"/>
          <w:szCs w:val="24"/>
          <w:lang w:val="en-US"/>
        </w:rPr>
        <w:t xml:space="preserve">ICD-codes </w:t>
      </w:r>
    </w:p>
    <w:p w:rsidR="001D7999" w:rsidRPr="004A1A74" w:rsidRDefault="00240ED0" w:rsidP="00BC3EB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A2E71">
        <w:rPr>
          <w:rFonts w:ascii="Times New Roman" w:hAnsi="Times New Roman"/>
          <w:sz w:val="24"/>
          <w:szCs w:val="24"/>
        </w:rPr>
        <w:t xml:space="preserve">The outcome variable, </w:t>
      </w:r>
      <w:r>
        <w:rPr>
          <w:rFonts w:ascii="Times New Roman" w:hAnsi="Times New Roman"/>
          <w:sz w:val="24"/>
          <w:szCs w:val="24"/>
        </w:rPr>
        <w:t>ESKD</w:t>
      </w:r>
      <w:r w:rsidRPr="001A2E71">
        <w:rPr>
          <w:rFonts w:ascii="Times New Roman" w:hAnsi="Times New Roman"/>
          <w:sz w:val="24"/>
          <w:szCs w:val="24"/>
        </w:rPr>
        <w:t xml:space="preserve">, was based on the 10th revision of the International Classification of Diseases (ICD) or the Classification of Surgical Procedures. </w:t>
      </w:r>
      <w:r>
        <w:rPr>
          <w:rFonts w:ascii="Times New Roman" w:hAnsi="Times New Roman"/>
          <w:sz w:val="24"/>
          <w:szCs w:val="24"/>
        </w:rPr>
        <w:t>ESKD</w:t>
      </w:r>
      <w:r w:rsidRPr="001A2E71">
        <w:rPr>
          <w:rFonts w:ascii="Times New Roman" w:hAnsi="Times New Roman"/>
          <w:sz w:val="24"/>
          <w:szCs w:val="24"/>
        </w:rPr>
        <w:t xml:space="preserve"> was defined as N18.5 (i.e.</w:t>
      </w:r>
      <w:r>
        <w:rPr>
          <w:rFonts w:ascii="Times New Roman" w:hAnsi="Times New Roman"/>
          <w:sz w:val="24"/>
          <w:szCs w:val="24"/>
        </w:rPr>
        <w:t>,</w:t>
      </w:r>
      <w:r w:rsidRPr="001A2E71">
        <w:rPr>
          <w:rFonts w:ascii="Times New Roman" w:hAnsi="Times New Roman"/>
          <w:sz w:val="24"/>
          <w:szCs w:val="24"/>
        </w:rPr>
        <w:t xml:space="preserve"> CKD stage 5), T82.4, Y84.1, Z49, Z94.0, and Z99.2 (ICD-10 codes for </w:t>
      </w:r>
      <w:r>
        <w:rPr>
          <w:rFonts w:ascii="Times New Roman" w:hAnsi="Times New Roman"/>
          <w:sz w:val="24"/>
          <w:szCs w:val="24"/>
        </w:rPr>
        <w:t>ESKD</w:t>
      </w:r>
      <w:r w:rsidRPr="001A2E71">
        <w:rPr>
          <w:rFonts w:ascii="Times New Roman" w:hAnsi="Times New Roman"/>
          <w:sz w:val="24"/>
          <w:szCs w:val="24"/>
        </w:rPr>
        <w:t xml:space="preserve">, dialysis or transplantation), and V9211, V9212, V9200, V9531, V9532, V9507, KAS00, KAS10, KAS20, KAS40, KAS50, KAS60, KAS96, KAS97, JAK10, TJA33, TJA35, and TKA20 (surgical codes for transplantation or dialysis). </w:t>
      </w:r>
      <w:r>
        <w:rPr>
          <w:rFonts w:ascii="Times New Roman" w:hAnsi="Times New Roman"/>
          <w:sz w:val="24"/>
          <w:szCs w:val="24"/>
        </w:rPr>
        <w:t>Individuals with an ESKD</w:t>
      </w:r>
      <w:r w:rsidRPr="004A1A74">
        <w:rPr>
          <w:rFonts w:ascii="Times New Roman" w:hAnsi="Times New Roman"/>
          <w:sz w:val="24"/>
          <w:szCs w:val="24"/>
        </w:rPr>
        <w:t xml:space="preserve"> diagnosed before 1998, i.e. during the years 1987-1997 </w:t>
      </w:r>
      <w:r w:rsidRPr="00B43073">
        <w:rPr>
          <w:rFonts w:ascii="Times New Roman" w:hAnsi="Times New Roman"/>
          <w:sz w:val="24"/>
          <w:szCs w:val="24"/>
        </w:rPr>
        <w:t>(</w:t>
      </w:r>
      <w:r w:rsidRPr="00D177A4">
        <w:rPr>
          <w:rFonts w:ascii="Times New Roman" w:hAnsi="Times New Roman"/>
          <w:sz w:val="24"/>
          <w:szCs w:val="24"/>
        </w:rPr>
        <w:t>according to ICD-9 1987-1996 V56, 585G, V42A, V45B. 996B, and E879B, and ICD-10 diagnosed in 1997)</w:t>
      </w:r>
      <w:r w:rsidRPr="004A1A74">
        <w:rPr>
          <w:rFonts w:ascii="Times New Roman" w:hAnsi="Times New Roman"/>
          <w:sz w:val="24"/>
          <w:szCs w:val="24"/>
        </w:rPr>
        <w:t xml:space="preserve"> were excluded. We also identified co-morbidities according to ICD-10 for the following diagnoses: </w:t>
      </w:r>
      <w:r w:rsidR="001D7999">
        <w:rPr>
          <w:rFonts w:ascii="Times New Roman" w:hAnsi="Times New Roman"/>
          <w:sz w:val="24"/>
          <w:szCs w:val="24"/>
        </w:rPr>
        <w:t>COPD (</w:t>
      </w:r>
      <w:r w:rsidR="00BC3EB4" w:rsidRPr="00054C0F">
        <w:rPr>
          <w:rFonts w:ascii="Times New Roman" w:hAnsi="Times New Roman"/>
          <w:sz w:val="24"/>
          <w:szCs w:val="24"/>
          <w:lang w:val="en-US"/>
        </w:rPr>
        <w:t>J40-J47</w:t>
      </w:r>
      <w:r w:rsidR="001D7999">
        <w:rPr>
          <w:rFonts w:ascii="Times New Roman" w:hAnsi="Times New Roman"/>
          <w:sz w:val="24"/>
          <w:szCs w:val="24"/>
        </w:rPr>
        <w:t>), obesity (</w:t>
      </w:r>
      <w:r w:rsidR="00BC3EB4" w:rsidRPr="00054C0F">
        <w:rPr>
          <w:rFonts w:ascii="Times New Roman" w:hAnsi="Times New Roman"/>
          <w:sz w:val="24"/>
          <w:szCs w:val="24"/>
          <w:lang w:val="en-US"/>
        </w:rPr>
        <w:t>E65-E68</w:t>
      </w:r>
      <w:r w:rsidR="001D7999">
        <w:rPr>
          <w:rFonts w:ascii="Times New Roman" w:hAnsi="Times New Roman"/>
          <w:sz w:val="24"/>
          <w:szCs w:val="24"/>
        </w:rPr>
        <w:t xml:space="preserve">), </w:t>
      </w:r>
      <w:r w:rsidR="001D7999" w:rsidRPr="004A1A74">
        <w:rPr>
          <w:rFonts w:ascii="Times New Roman" w:hAnsi="Times New Roman"/>
          <w:sz w:val="24"/>
          <w:szCs w:val="24"/>
        </w:rPr>
        <w:t xml:space="preserve">CHD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I20-I25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>, diabetes</w:t>
      </w:r>
      <w:r w:rsidR="001D7999">
        <w:rPr>
          <w:rFonts w:ascii="Times New Roman" w:hAnsi="Times New Roman"/>
          <w:sz w:val="24"/>
          <w:szCs w:val="24"/>
        </w:rPr>
        <w:t xml:space="preserve"> mellitus</w:t>
      </w:r>
      <w:r w:rsidR="001D7999" w:rsidRPr="004A1A74">
        <w:rPr>
          <w:rFonts w:ascii="Times New Roman" w:hAnsi="Times New Roman"/>
          <w:sz w:val="24"/>
          <w:szCs w:val="24"/>
        </w:rPr>
        <w:t xml:space="preserve">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E10-E14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>,</w:t>
      </w:r>
      <w:r w:rsidR="001D7999">
        <w:rPr>
          <w:rFonts w:ascii="Times New Roman" w:hAnsi="Times New Roman"/>
          <w:sz w:val="24"/>
          <w:szCs w:val="24"/>
        </w:rPr>
        <w:t xml:space="preserve"> alcoholism</w:t>
      </w:r>
      <w:r w:rsidR="00BC3EB4">
        <w:rPr>
          <w:rFonts w:ascii="Times New Roman" w:hAnsi="Times New Roman"/>
          <w:sz w:val="24"/>
          <w:szCs w:val="24"/>
        </w:rPr>
        <w:t xml:space="preserve"> and related disorders</w:t>
      </w:r>
      <w:r w:rsidR="001D7999">
        <w:rPr>
          <w:rFonts w:ascii="Times New Roman" w:hAnsi="Times New Roman"/>
          <w:sz w:val="24"/>
          <w:szCs w:val="24"/>
        </w:rPr>
        <w:t xml:space="preserve"> (</w:t>
      </w:r>
      <w:r w:rsidR="00BC3EB4">
        <w:rPr>
          <w:rFonts w:ascii="Times New Roman" w:hAnsi="Times New Roman"/>
          <w:sz w:val="24"/>
          <w:szCs w:val="24"/>
        </w:rPr>
        <w:t>F10 and K70</w:t>
      </w:r>
      <w:r w:rsidR="001D7999">
        <w:rPr>
          <w:rFonts w:ascii="Times New Roman" w:hAnsi="Times New Roman"/>
          <w:sz w:val="24"/>
          <w:szCs w:val="24"/>
        </w:rPr>
        <w:t xml:space="preserve">), </w:t>
      </w:r>
      <w:r w:rsidR="001D7999" w:rsidRPr="004A1A74">
        <w:rPr>
          <w:rFonts w:ascii="Times New Roman" w:hAnsi="Times New Roman"/>
          <w:sz w:val="24"/>
          <w:szCs w:val="24"/>
        </w:rPr>
        <w:t xml:space="preserve">stroke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I60-I69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 xml:space="preserve">, hypertension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I10-I19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 xml:space="preserve">, </w:t>
      </w:r>
      <w:r w:rsidR="001D7999">
        <w:rPr>
          <w:rFonts w:ascii="Times New Roman" w:hAnsi="Times New Roman"/>
          <w:sz w:val="24"/>
          <w:szCs w:val="24"/>
        </w:rPr>
        <w:t xml:space="preserve">congestive </w:t>
      </w:r>
      <w:r w:rsidR="001D7999" w:rsidRPr="004A1A74">
        <w:rPr>
          <w:rFonts w:ascii="Times New Roman" w:hAnsi="Times New Roman"/>
          <w:sz w:val="24"/>
          <w:szCs w:val="24"/>
        </w:rPr>
        <w:t xml:space="preserve">heart failure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I50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 xml:space="preserve">, atrial fibrillation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4A1A74">
        <w:rPr>
          <w:rFonts w:ascii="Times New Roman" w:hAnsi="Times New Roman"/>
          <w:sz w:val="24"/>
          <w:szCs w:val="24"/>
        </w:rPr>
        <w:t>I48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 xml:space="preserve">, </w:t>
      </w:r>
      <w:r w:rsidR="001D7999">
        <w:rPr>
          <w:rFonts w:ascii="Times New Roman" w:hAnsi="Times New Roman"/>
          <w:sz w:val="24"/>
          <w:szCs w:val="24"/>
        </w:rPr>
        <w:t>gout (M10), acute kidney failure (N17), r</w:t>
      </w:r>
      <w:r w:rsidR="001D7999" w:rsidRPr="00B039B7">
        <w:rPr>
          <w:rFonts w:ascii="Times New Roman" w:hAnsi="Times New Roman"/>
          <w:sz w:val="24"/>
          <w:szCs w:val="24"/>
        </w:rPr>
        <w:t xml:space="preserve">enal </w:t>
      </w:r>
      <w:proofErr w:type="spellStart"/>
      <w:r w:rsidR="001D7999" w:rsidRPr="00B039B7">
        <w:rPr>
          <w:rFonts w:ascii="Times New Roman" w:hAnsi="Times New Roman"/>
          <w:sz w:val="24"/>
          <w:szCs w:val="24"/>
        </w:rPr>
        <w:t>tubulo</w:t>
      </w:r>
      <w:proofErr w:type="spellEnd"/>
      <w:r w:rsidR="001D7999" w:rsidRPr="00B039B7">
        <w:rPr>
          <w:rFonts w:ascii="Times New Roman" w:hAnsi="Times New Roman"/>
          <w:sz w:val="24"/>
          <w:szCs w:val="24"/>
        </w:rPr>
        <w:t xml:space="preserve">-interstitial diseases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B039B7">
        <w:rPr>
          <w:rFonts w:ascii="Times New Roman" w:hAnsi="Times New Roman"/>
          <w:sz w:val="24"/>
          <w:szCs w:val="24"/>
        </w:rPr>
        <w:t>N10-N16</w:t>
      </w:r>
      <w:r w:rsidR="001D7999">
        <w:rPr>
          <w:rFonts w:ascii="Times New Roman" w:hAnsi="Times New Roman"/>
          <w:sz w:val="24"/>
          <w:szCs w:val="24"/>
        </w:rPr>
        <w:t>), p</w:t>
      </w:r>
      <w:r w:rsidR="001D7999" w:rsidRPr="001629C9">
        <w:rPr>
          <w:rFonts w:ascii="Times New Roman" w:hAnsi="Times New Roman"/>
          <w:sz w:val="24"/>
          <w:szCs w:val="24"/>
        </w:rPr>
        <w:t>ost</w:t>
      </w:r>
      <w:r w:rsidR="001D7999">
        <w:rPr>
          <w:rFonts w:ascii="Times New Roman" w:hAnsi="Times New Roman"/>
          <w:sz w:val="24"/>
          <w:szCs w:val="24"/>
        </w:rPr>
        <w:t>-</w:t>
      </w:r>
      <w:r w:rsidR="001D7999" w:rsidRPr="001629C9">
        <w:rPr>
          <w:rFonts w:ascii="Times New Roman" w:hAnsi="Times New Roman"/>
          <w:sz w:val="24"/>
          <w:szCs w:val="24"/>
        </w:rPr>
        <w:t>procedural kidney failure</w:t>
      </w:r>
      <w:r w:rsidR="001D7999">
        <w:rPr>
          <w:rFonts w:ascii="Times New Roman" w:hAnsi="Times New Roman"/>
          <w:sz w:val="24"/>
          <w:szCs w:val="24"/>
        </w:rPr>
        <w:t xml:space="preserve"> (N99.0) and g</w:t>
      </w:r>
      <w:r w:rsidR="001D7999" w:rsidRPr="00B039B7">
        <w:rPr>
          <w:rFonts w:ascii="Times New Roman" w:hAnsi="Times New Roman"/>
          <w:sz w:val="24"/>
          <w:szCs w:val="24"/>
        </w:rPr>
        <w:t xml:space="preserve">lomerular diseases </w:t>
      </w:r>
      <w:r w:rsidR="001D7999">
        <w:rPr>
          <w:rFonts w:ascii="Times New Roman" w:hAnsi="Times New Roman"/>
          <w:sz w:val="24"/>
          <w:szCs w:val="24"/>
        </w:rPr>
        <w:t>(</w:t>
      </w:r>
      <w:r w:rsidR="001D7999" w:rsidRPr="00B039B7">
        <w:rPr>
          <w:rFonts w:ascii="Times New Roman" w:hAnsi="Times New Roman"/>
          <w:sz w:val="24"/>
          <w:szCs w:val="24"/>
        </w:rPr>
        <w:t>N00-N08</w:t>
      </w:r>
      <w:r w:rsidR="001D7999">
        <w:rPr>
          <w:rFonts w:ascii="Times New Roman" w:hAnsi="Times New Roman"/>
          <w:sz w:val="24"/>
          <w:szCs w:val="24"/>
        </w:rPr>
        <w:t>)</w:t>
      </w:r>
      <w:r w:rsidR="001D7999" w:rsidRPr="004A1A74">
        <w:rPr>
          <w:rFonts w:ascii="Times New Roman" w:hAnsi="Times New Roman"/>
          <w:sz w:val="24"/>
          <w:szCs w:val="24"/>
        </w:rPr>
        <w:t>.</w:t>
      </w:r>
    </w:p>
    <w:p w:rsidR="001D7999" w:rsidRPr="00240ED0" w:rsidRDefault="001D7999" w:rsidP="00D52E71">
      <w:pPr>
        <w:spacing w:after="160" w:line="259" w:lineRule="auto"/>
        <w:rPr>
          <w:rFonts w:ascii="Times New Roman" w:hAnsi="Times New Roman"/>
          <w:sz w:val="20"/>
          <w:szCs w:val="20"/>
        </w:rPr>
        <w:sectPr w:rsidR="001D7999" w:rsidRPr="00240ED0" w:rsidSect="00957371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4B1544" w:rsidRDefault="004B1544" w:rsidP="00D52E71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  <w:sectPr w:rsidR="004B1544" w:rsidSect="00957371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1003"/>
        <w:gridCol w:w="585"/>
        <w:gridCol w:w="174"/>
        <w:gridCol w:w="770"/>
        <w:gridCol w:w="698"/>
        <w:gridCol w:w="174"/>
        <w:gridCol w:w="883"/>
        <w:gridCol w:w="585"/>
        <w:gridCol w:w="174"/>
        <w:gridCol w:w="770"/>
        <w:gridCol w:w="698"/>
      </w:tblGrid>
      <w:tr w:rsidR="00A0237E" w:rsidRPr="004B1544" w:rsidTr="00473A6F">
        <w:trPr>
          <w:trHeight w:val="29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7E" w:rsidRPr="004B1544" w:rsidRDefault="00A0237E" w:rsidP="00280C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Supplementary Table 1a. Baseline characteristics and incident cases of ESKD the first-generation male population 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Born in Sweden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Foreign-born</w:t>
            </w:r>
          </w:p>
        </w:tc>
      </w:tr>
      <w:tr w:rsidR="00764FA5" w:rsidRPr="004B1544" w:rsidTr="00562C34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F41452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ESKD</w:t>
            </w:r>
            <w:r w:rsidR="00D52E71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="00D52E71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F41452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ESKD</w:t>
            </w:r>
            <w:r w:rsidR="00D52E71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="00D52E71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diagnosis</w:t>
            </w:r>
            <w:proofErr w:type="spellEnd"/>
          </w:p>
        </w:tc>
      </w:tr>
      <w:tr w:rsidR="00764FA5" w:rsidRPr="004B1544" w:rsidTr="00562C34">
        <w:trPr>
          <w:trHeight w:val="29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2500165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5A08F5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551228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5A08F5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0.27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Educational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≤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734725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656147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105704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22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&gt;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1109293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32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Region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of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residence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Large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cities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835191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Southern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1175766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96905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489208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316908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Marital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1233844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Not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1266321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22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Neighbourhood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deprivation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400838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1330069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55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High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71" w:rsidRPr="004B1544" w:rsidRDefault="00D52E71" w:rsidP="00280C6C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483399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764FA5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Hospital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764FA5" w:rsidP="00562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 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COPD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764FA5" w:rsidP="00562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 O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besity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71" w:rsidRPr="004B1544" w:rsidRDefault="00764FA5" w:rsidP="00562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 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CHD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272992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E71" w:rsidRPr="004B1544" w:rsidRDefault="00D52E71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</w:t>
            </w:r>
            <w:r w:rsidR="00C50CD0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.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562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  D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42.0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 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Alcoholism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76981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4.4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  S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17.3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  H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316184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57.6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 H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30.6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 A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16.8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C34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 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G</w:t>
            </w:r>
            <w:r w:rsidR="00562C34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C34" w:rsidRPr="004B1544" w:rsidRDefault="00562C34" w:rsidP="0056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8.0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A5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Acute kidney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20.5</w:t>
            </w:r>
          </w:p>
        </w:tc>
      </w:tr>
      <w:tr w:rsidR="00764FA5" w:rsidRPr="004B1544" w:rsidTr="00562C34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A5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Renal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tubulo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-interstitial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16.0</w:t>
            </w:r>
          </w:p>
        </w:tc>
      </w:tr>
      <w:tr w:rsidR="00764FA5" w:rsidRPr="004B1544" w:rsidTr="00957371">
        <w:trPr>
          <w:trHeight w:val="28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A5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Post-procedural kidney failure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0.5</w:t>
            </w:r>
          </w:p>
        </w:tc>
      </w:tr>
      <w:tr w:rsidR="00764FA5" w:rsidRPr="004B1544" w:rsidTr="00957371">
        <w:trPr>
          <w:trHeight w:val="28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A5" w:rsidRPr="004B1544" w:rsidRDefault="00764FA5" w:rsidP="00764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           Glomerular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FA5" w:rsidRPr="004B1544" w:rsidRDefault="00764FA5" w:rsidP="00764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29.0</w:t>
            </w:r>
          </w:p>
        </w:tc>
      </w:tr>
    </w:tbl>
    <w:p w:rsidR="00957371" w:rsidRDefault="00957371" w:rsidP="00280C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957371" w:rsidSect="00957371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994"/>
        <w:gridCol w:w="581"/>
        <w:gridCol w:w="226"/>
        <w:gridCol w:w="758"/>
        <w:gridCol w:w="688"/>
        <w:gridCol w:w="226"/>
        <w:gridCol w:w="875"/>
        <w:gridCol w:w="581"/>
        <w:gridCol w:w="226"/>
        <w:gridCol w:w="685"/>
        <w:gridCol w:w="761"/>
      </w:tblGrid>
      <w:tr w:rsidR="00A0237E" w:rsidRPr="004B1544" w:rsidTr="00256F70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37E" w:rsidRPr="004B1544" w:rsidRDefault="00A0237E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bookmarkStart w:id="0" w:name="_GoBack" w:colFirst="0" w:colLast="0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sv-SE"/>
              </w:rPr>
              <w:lastRenderedPageBreak/>
              <w:t xml:space="preserve">Supplementary Table 1b. Baseline characteristics and incident cases of ESKD the first-generation female population </w:t>
            </w:r>
          </w:p>
        </w:tc>
      </w:tr>
      <w:bookmarkEnd w:id="0"/>
      <w:tr w:rsidR="00957371" w:rsidRPr="004B1544" w:rsidTr="00DB1989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Born in Sweden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Foreign-born</w:t>
            </w:r>
          </w:p>
        </w:tc>
      </w:tr>
      <w:tr w:rsidR="00957371" w:rsidRPr="004B1544" w:rsidTr="00DB19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ESKD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ESKD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diagnosis</w:t>
            </w:r>
            <w:proofErr w:type="spellEnd"/>
          </w:p>
        </w:tc>
      </w:tr>
      <w:tr w:rsidR="00957371" w:rsidRPr="004B1544" w:rsidTr="00DB19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%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2806546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591710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0.15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Educational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≤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832415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235440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51.5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756431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23.4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&gt;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1217700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25.0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Region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of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residence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Large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cities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951077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42.7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Southern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1317847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105810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28.4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537622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340815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28.9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Marital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2536237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560436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88.3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Not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270309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11.7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Neighbourhood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deprivation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438034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7.9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1504588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32.6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High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329362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16.5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534562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399098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42.9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Hospital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diagnoses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10.8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Obesity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4.5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CHD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28.8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35.4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Alcoholism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1.5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167564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15.7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353439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47283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59.7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27.6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15.3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Gout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4.8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Acute kidney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16.3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 xml:space="preserve">Renal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tubulo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-interstitial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54164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22.9</w:t>
            </w:r>
          </w:p>
        </w:tc>
      </w:tr>
      <w:tr w:rsidR="00957371" w:rsidRPr="004B1544" w:rsidTr="00DB198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Post-procedural kidney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0.9</w:t>
            </w:r>
          </w:p>
        </w:tc>
      </w:tr>
      <w:tr w:rsidR="00957371" w:rsidRPr="004B1544" w:rsidTr="00DB19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sv-SE"/>
              </w:rPr>
              <w:t>Glomerular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sv-SE"/>
              </w:rPr>
              <w:t>28.8</w:t>
            </w:r>
          </w:p>
        </w:tc>
      </w:tr>
    </w:tbl>
    <w:p w:rsidR="00957371" w:rsidRPr="004B1544" w:rsidRDefault="00957371" w:rsidP="0095737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57371" w:rsidRPr="004B1544" w:rsidRDefault="00957371" w:rsidP="00957371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 w:eastAsia="zh-CN"/>
        </w:rPr>
        <w:sectPr w:rsidR="00957371" w:rsidRPr="004B1544" w:rsidSect="00957371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957371" w:rsidRPr="004B1544" w:rsidRDefault="00957371" w:rsidP="0095737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957371" w:rsidRPr="004B1544" w:rsidSect="00957371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955"/>
        <w:gridCol w:w="587"/>
        <w:gridCol w:w="273"/>
        <w:gridCol w:w="841"/>
        <w:gridCol w:w="660"/>
        <w:gridCol w:w="273"/>
        <w:gridCol w:w="954"/>
        <w:gridCol w:w="587"/>
        <w:gridCol w:w="273"/>
        <w:gridCol w:w="784"/>
        <w:gridCol w:w="717"/>
      </w:tblGrid>
      <w:tr w:rsidR="00957371" w:rsidRPr="004B1544" w:rsidTr="00957371">
        <w:trPr>
          <w:trHeight w:val="270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957371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lastRenderedPageBreak/>
              <w:t xml:space="preserve">Supplementary Table 1c. Baseline characteristics and incident cases of ESKD in the second-generation population 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Swedish-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parents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parents</w:t>
            </w:r>
            <w:proofErr w:type="spellEnd"/>
          </w:p>
        </w:tc>
      </w:tr>
      <w:tr w:rsidR="00441D87" w:rsidRPr="004B1544" w:rsidTr="00957371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ESKD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diagnosis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Total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ESKD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diagnosis</w:t>
            </w:r>
            <w:proofErr w:type="spellEnd"/>
          </w:p>
        </w:tc>
      </w:tr>
      <w:tr w:rsidR="00957371" w:rsidRPr="004B1544" w:rsidTr="00957371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%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6706240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1690137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Males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3423929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866983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63.8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Females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3282311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823154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36.2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Educational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≤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2369656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926248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32.8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1280865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30.6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&gt;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3055719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568593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36.6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Region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of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residence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Large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1672298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373620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42.0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Southern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2358198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294048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31.5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2675744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1022469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26.5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Marital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4885665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1356423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60.6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Not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married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1820575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39.4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Neighbourhood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deprivation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849888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9.8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Middle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2660123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316479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39.6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High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556381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127452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14.1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2639848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1157112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36.5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Hospital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diagnoses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341966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7.8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Obesity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4.5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202376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16.7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201085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31.4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Alcoholism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152288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6.3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123272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12.0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415568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47.2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Heart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72001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14.0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Atrial fibrillation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8.6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Gout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5.1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Acute kidney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19.9</w:t>
            </w:r>
          </w:p>
        </w:tc>
      </w:tr>
      <w:tr w:rsidR="00957371" w:rsidRPr="004B1544" w:rsidTr="00957371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Renal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tubulo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-interstitial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21.7</w:t>
            </w:r>
          </w:p>
        </w:tc>
      </w:tr>
      <w:tr w:rsidR="00957371" w:rsidRPr="004B1544" w:rsidTr="00441D87">
        <w:trPr>
          <w:trHeight w:val="1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Post-procedural kidney failure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</w:t>
            </w:r>
          </w:p>
        </w:tc>
      </w:tr>
      <w:tr w:rsidR="00957371" w:rsidRPr="004B1544" w:rsidTr="00441D87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ind w:firstLineChars="300" w:firstLine="600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Glomerular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34.6</w:t>
            </w:r>
          </w:p>
        </w:tc>
      </w:tr>
      <w:tr w:rsidR="00441D87" w:rsidRPr="004B1544" w:rsidTr="00DB1989">
        <w:trPr>
          <w:trHeight w:val="197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41D87" w:rsidRPr="00957371" w:rsidRDefault="00441D87" w:rsidP="00441D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Model 1: adjusted for birth year, gender and region of residence in Sweden; Model 2: adjusted for birth year, gender, region of residence in Sweden, educational level, marital status, and neighborhood deprivation. </w:t>
            </w:r>
            <w:r w:rsidRPr="00957371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Model 3: Model 2 + comorbidities.</w:t>
            </w:r>
          </w:p>
          <w:p w:rsidR="00441D87" w:rsidRPr="00957371" w:rsidRDefault="00441D87" w:rsidP="00441D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957371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Bold values are significant</w:t>
            </w:r>
          </w:p>
          <w:p w:rsidR="00441D87" w:rsidRPr="004B1544" w:rsidRDefault="00441D87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</w:tbl>
    <w:p w:rsidR="00957371" w:rsidRDefault="00957371" w:rsidP="004B1544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  <w:sectPr w:rsidR="00957371" w:rsidSect="00441D87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128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73"/>
        <w:gridCol w:w="1070"/>
        <w:gridCol w:w="693"/>
        <w:gridCol w:w="244"/>
        <w:gridCol w:w="681"/>
        <w:gridCol w:w="1035"/>
        <w:gridCol w:w="696"/>
        <w:gridCol w:w="558"/>
        <w:gridCol w:w="715"/>
        <w:gridCol w:w="693"/>
        <w:gridCol w:w="630"/>
      </w:tblGrid>
      <w:tr w:rsidR="00441D87" w:rsidRPr="004B1544" w:rsidTr="00DB1989">
        <w:trPr>
          <w:trHeight w:val="248"/>
        </w:trPr>
        <w:tc>
          <w:tcPr>
            <w:tcW w:w="128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br w:type="page"/>
            </w:r>
            <w:r w:rsidR="00441D87"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Supplementary Table 2a. Incidence of end stage kidney disease in male immigrants and Swedish-born men expressed as hazard ratios (HR) with 95% confidence intervals (95% CI)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 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 xml:space="preserve">All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men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Nordic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Denmark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1.29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Finland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Iceland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Norway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Southern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France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1.62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Greece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1.54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Italy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1.41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Spain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2.40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Western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The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Netherlands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1.51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UK and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Ireland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1.70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Germany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Austria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2.19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Western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Eastern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Bosnia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2.51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Yugoslavia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Croatia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2.26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Romania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Bulgaria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6.03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Eastern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4.99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4.86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4.09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Baltic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Estonia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Latvia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2.41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Central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1.27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Poland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Central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Hungary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1.68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Africa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2.47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2.62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Latin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1.65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Chile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2.04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American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Asia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Turkey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1.88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lastRenderedPageBreak/>
              <w:t>Lebanon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2.58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Iran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Iraq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2.60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2.73</w:t>
            </w:r>
          </w:p>
        </w:tc>
      </w:tr>
      <w:tr w:rsidR="00441D87" w:rsidRPr="004B1544" w:rsidTr="00DB1989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Asian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</w:tr>
      <w:tr w:rsidR="00441D87" w:rsidRPr="004B1544" w:rsidTr="00DB1989">
        <w:trPr>
          <w:trHeight w:val="248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Russia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1.90</w:t>
            </w:r>
          </w:p>
        </w:tc>
      </w:tr>
      <w:tr w:rsidR="00441D87" w:rsidRPr="004B1544" w:rsidTr="00DB1989">
        <w:trPr>
          <w:trHeight w:val="236"/>
        </w:trPr>
        <w:tc>
          <w:tcPr>
            <w:tcW w:w="12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Model 1: adjusted for birth year, gender and region of residence in Sweden; Model 2: adjusted for birth year, gender, region of residence in Sweden, educational level, marital status, and neighborhood deprivation. Model 3: Model 2 + comorbidities.</w:t>
            </w:r>
          </w:p>
          <w:p w:rsidR="00441D87" w:rsidRPr="004B1544" w:rsidRDefault="00441D87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Bold values are significant</w:t>
            </w:r>
          </w:p>
        </w:tc>
      </w:tr>
    </w:tbl>
    <w:p w:rsidR="00957371" w:rsidRPr="004B1544" w:rsidRDefault="00957371" w:rsidP="00957371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p w:rsidR="00957371" w:rsidRDefault="00957371" w:rsidP="004B1544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  <w:sectPr w:rsidR="00957371" w:rsidSect="00957371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4B1544" w:rsidRPr="004B1544" w:rsidRDefault="004B1544" w:rsidP="004B1544">
      <w:pPr>
        <w:spacing w:after="160" w:line="259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28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73"/>
        <w:gridCol w:w="1070"/>
        <w:gridCol w:w="693"/>
        <w:gridCol w:w="244"/>
        <w:gridCol w:w="681"/>
        <w:gridCol w:w="1035"/>
        <w:gridCol w:w="696"/>
        <w:gridCol w:w="700"/>
        <w:gridCol w:w="573"/>
        <w:gridCol w:w="693"/>
        <w:gridCol w:w="630"/>
      </w:tblGrid>
      <w:tr w:rsidR="004B1544" w:rsidRPr="004B1544" w:rsidTr="004B1544">
        <w:trPr>
          <w:trHeight w:val="248"/>
        </w:trPr>
        <w:tc>
          <w:tcPr>
            <w:tcW w:w="128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Supplementary Table 2b. Incidence of end stage kidney disease in female immigrants and Swedish-born women expressed as hazard ratios (HR) with 95% confidence intervals (95% CI)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 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3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 xml:space="preserve">All </w:t>
            </w:r>
            <w:proofErr w:type="spellStart"/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women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Nordic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Denmark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1.94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Finland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Iceland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3.92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Norway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Southern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1.83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France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2.80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4.53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Greece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2.23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Italy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3.26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Spain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3.33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3.46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44" w:rsidRPr="004B1544" w:rsidRDefault="004B1544" w:rsidP="004B1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Western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1.06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The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Netherlands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2.72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4.44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UK and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Ireland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2.20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Germany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1.06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Austria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Western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6.05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Eastern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Bosnia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2.02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Yugoslavia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Croatia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4.37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4.16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Romania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3.00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Bulgaria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4.45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5.35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6.94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Eastern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7.55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7.10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5.82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Baltic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Estonia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Latvia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4.43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Central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Poland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Central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3.07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Hungary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1.69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Africa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2.61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2.48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Latin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2.27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Chile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American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2.63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3.37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lastRenderedPageBreak/>
              <w:t>Asia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1.77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Turkey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1.97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Lebanon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2.11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Iran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2.05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Iraq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3.38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4.11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3.68</w:t>
            </w:r>
          </w:p>
        </w:tc>
      </w:tr>
      <w:tr w:rsidR="004B1544" w:rsidRPr="004B1544" w:rsidTr="004B1544">
        <w:trPr>
          <w:trHeight w:val="23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Asian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1.75</w:t>
            </w:r>
          </w:p>
        </w:tc>
      </w:tr>
      <w:tr w:rsidR="004B1544" w:rsidRPr="004B1544" w:rsidTr="004B1544">
        <w:trPr>
          <w:trHeight w:val="248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Russia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1.87</w:t>
            </w:r>
          </w:p>
        </w:tc>
      </w:tr>
      <w:tr w:rsidR="004B1544" w:rsidRPr="004B1544" w:rsidTr="004B1544">
        <w:trPr>
          <w:trHeight w:val="236"/>
        </w:trPr>
        <w:tc>
          <w:tcPr>
            <w:tcW w:w="12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Model 1: adjusted for birth year, gender and region of residence in Sweden; Model 2: adjusted for birth year, gender, region of residence in Sweden, educational level, marital status, and neighborhood deprivation. Model 3: Model 2 + comorbidities.</w:t>
            </w:r>
          </w:p>
          <w:p w:rsidR="004B1544" w:rsidRPr="004B1544" w:rsidRDefault="004B1544" w:rsidP="004B1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Bold values are significant</w:t>
            </w:r>
          </w:p>
        </w:tc>
      </w:tr>
    </w:tbl>
    <w:p w:rsidR="004B1544" w:rsidRPr="004B1544" w:rsidRDefault="004B1544" w:rsidP="00280C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4B1544" w:rsidRPr="004B1544" w:rsidSect="00957371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957371" w:rsidRDefault="00957371" w:rsidP="00280C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957371" w:rsidSect="00957371">
          <w:type w:val="continuous"/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5"/>
        <w:gridCol w:w="988"/>
        <w:gridCol w:w="988"/>
        <w:gridCol w:w="988"/>
        <w:gridCol w:w="320"/>
        <w:gridCol w:w="989"/>
        <w:gridCol w:w="989"/>
        <w:gridCol w:w="989"/>
        <w:gridCol w:w="320"/>
        <w:gridCol w:w="989"/>
        <w:gridCol w:w="989"/>
        <w:gridCol w:w="989"/>
      </w:tblGrid>
      <w:tr w:rsidR="00957371" w:rsidRPr="004B1544" w:rsidTr="00DB1989">
        <w:trPr>
          <w:trHeight w:val="232"/>
        </w:trPr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lastRenderedPageBreak/>
              <w:t xml:space="preserve">Supplementary </w:t>
            </w: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2c</w:t>
            </w: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. Incidence of end stage kidney disease in second-generation immigrants and Swedish-born persons with Swedish-born parents expressed as hazard ratios (HR) with 95% confidence intervals (95% CI)  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Model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3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All with foreign-born parents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0.93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zh-CN"/>
              </w:rPr>
              <w:t>0.99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1.04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Nordic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Denmark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Iceland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1.91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Southern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France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Greece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3.65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Western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1.21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The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Netherlands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3.65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UK and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1.61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Germany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Austria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1.90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Western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2.37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Eastern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Bosnia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2.88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Yugoslavia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1.01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4.28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Roumania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Bulgaria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-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Eastern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6.80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Baltic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1.34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Latvia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3.19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Central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1.19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Central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European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1.60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Hungary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1.69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Northern</w:t>
            </w:r>
            <w:proofErr w:type="spellEnd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 xml:space="preserve">Latin </w:t>
            </w: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America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0.98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1.33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South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American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Turkey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1.57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Lebanon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b/>
                <w:color w:val="000000"/>
                <w:sz w:val="20"/>
                <w:szCs w:val="20"/>
                <w:lang w:val="sv-SE" w:eastAsia="zh-CN"/>
              </w:rPr>
              <w:t>3.12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lastRenderedPageBreak/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1.95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Other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Asian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1.74</w:t>
            </w:r>
          </w:p>
        </w:tc>
      </w:tr>
      <w:tr w:rsidR="00957371" w:rsidRPr="004B1544" w:rsidTr="00DB1989">
        <w:trPr>
          <w:trHeight w:val="23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v-SE" w:eastAsia="zh-CN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957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2.20</w:t>
            </w:r>
          </w:p>
        </w:tc>
      </w:tr>
      <w:tr w:rsidR="00957371" w:rsidRPr="004B1544" w:rsidTr="00DB1989">
        <w:trPr>
          <w:trHeight w:val="221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Model 1: adjusted for birth year, gender and region of residence in Sweden; Model 2: adjusted for birth year, gender, region of residence in Sweden, educational level, marital status, and neighborhood deprivation. Model 3: Model 2 + comorbidities.</w:t>
            </w:r>
          </w:p>
          <w:p w:rsidR="00957371" w:rsidRPr="004B1544" w:rsidRDefault="00957371" w:rsidP="00DB19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Bold values are significant</w:t>
            </w:r>
          </w:p>
        </w:tc>
      </w:tr>
    </w:tbl>
    <w:p w:rsidR="00280C6C" w:rsidRPr="004B1544" w:rsidRDefault="00280C6C" w:rsidP="00280C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B1544">
        <w:rPr>
          <w:rFonts w:ascii="Times New Roman" w:hAnsi="Times New Roman"/>
          <w:sz w:val="20"/>
          <w:szCs w:val="20"/>
          <w:lang w:val="en-US"/>
        </w:rPr>
        <w:br w:type="page"/>
      </w:r>
    </w:p>
    <w:p w:rsidR="00F967A1" w:rsidRPr="004B1544" w:rsidRDefault="00F967A1" w:rsidP="00280C6C">
      <w:pPr>
        <w:pStyle w:val="Brdtext"/>
        <w:widowControl w:val="0"/>
        <w:ind w:left="1304" w:hanging="1304"/>
        <w:jc w:val="left"/>
        <w:rPr>
          <w:sz w:val="20"/>
          <w:szCs w:val="20"/>
          <w:lang w:val="en-US"/>
        </w:rPr>
        <w:sectPr w:rsidR="00F967A1" w:rsidRPr="004B1544" w:rsidSect="00957371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628"/>
        <w:gridCol w:w="628"/>
        <w:gridCol w:w="552"/>
        <w:gridCol w:w="146"/>
        <w:gridCol w:w="585"/>
        <w:gridCol w:w="557"/>
        <w:gridCol w:w="490"/>
        <w:gridCol w:w="146"/>
        <w:gridCol w:w="617"/>
        <w:gridCol w:w="677"/>
        <w:gridCol w:w="596"/>
        <w:gridCol w:w="146"/>
        <w:gridCol w:w="632"/>
        <w:gridCol w:w="602"/>
        <w:gridCol w:w="602"/>
        <w:gridCol w:w="146"/>
        <w:gridCol w:w="607"/>
        <w:gridCol w:w="666"/>
        <w:gridCol w:w="606"/>
        <w:gridCol w:w="146"/>
        <w:gridCol w:w="628"/>
        <w:gridCol w:w="651"/>
        <w:gridCol w:w="544"/>
      </w:tblGrid>
      <w:tr w:rsidR="003D5902" w:rsidRPr="004B1544" w:rsidTr="004B1544">
        <w:trPr>
          <w:trHeight w:val="273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3D5902" w:rsidP="00894F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lastRenderedPageBreak/>
              <w:t xml:space="preserve">Supplementary Table 3. </w:t>
            </w:r>
            <w:r w:rsidR="00894F04"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Population attributable fractions (PAF)</w:t>
            </w: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of CKD in the first-generation male and female individuals</w:t>
            </w:r>
            <w:r w:rsidR="00894F04"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, and second-generation </w:t>
            </w:r>
          </w:p>
          <w:p w:rsidR="003D5902" w:rsidRPr="004B1544" w:rsidRDefault="00894F04" w:rsidP="00894F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immigrants with men and women combined</w:t>
            </w:r>
            <w:r w:rsidR="003D5902" w:rsidRPr="004B15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</w:tr>
      <w:tr w:rsidR="00894F04" w:rsidRPr="004B1544" w:rsidTr="004B154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5902" w:rsidRPr="004B1544" w:rsidRDefault="003D5902" w:rsidP="00BC6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First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-generation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study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Second-generation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study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population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5902" w:rsidRPr="004B1544" w:rsidRDefault="003D5902" w:rsidP="00BC6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Swedish-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Swedish-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women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women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Swedish-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parents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BC6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Foreign-born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parents</w:t>
            </w:r>
            <w:proofErr w:type="spellEnd"/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PAFs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95%</w:t>
            </w:r>
            <w:proofErr w:type="gram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CI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5770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Gender, males </w:t>
            </w:r>
          </w:p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(ref. Females)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Region of residence </w:t>
            </w:r>
          </w:p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(ref. Large cities)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Southern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Northern 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-2.0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Educational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level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</w:t>
            </w:r>
          </w:p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(ref. ≤ 9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years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&gt;12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Marital status </w:t>
            </w:r>
          </w:p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(ref.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Married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-11. 8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Neighbourhood deprivation </w:t>
            </w:r>
          </w:p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(ref.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Low</w:t>
            </w:r>
            <w:proofErr w:type="spellEnd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-3. 2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 xml:space="preserve">Hospital </w:t>
            </w:r>
            <w:proofErr w:type="spellStart"/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sv-SE" w:eastAsia="zh-CN"/>
              </w:rPr>
              <w:t>diagnoses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COPD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Obesity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-1.1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CHD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Diabetes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Alcoholism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Stroke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Hypertension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39.3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Heart failure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Atrial fibrillation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Gout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Acute kidney failure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Renal </w:t>
            </w:r>
            <w:proofErr w:type="spellStart"/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tubulo</w:t>
            </w:r>
            <w:proofErr w:type="spellEnd"/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-</w:t>
            </w:r>
          </w:p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interstitial disease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  <w:tr w:rsidR="00035770" w:rsidRPr="004B1544" w:rsidTr="003D5902">
        <w:trPr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770" w:rsidRPr="004B1544" w:rsidRDefault="00035770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Post-procedual </w:t>
            </w:r>
          </w:p>
          <w:p w:rsidR="003D5902" w:rsidRPr="004B1544" w:rsidRDefault="00035770" w:rsidP="000357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k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idney</w:t>
            </w: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3D5902"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failure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035770" w:rsidRPr="004B1544" w:rsidTr="003D5902">
        <w:trPr>
          <w:trHeight w:val="286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           Glomerular disease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544">
              <w:rPr>
                <w:rFonts w:ascii="Times New Roman" w:hAnsi="Times New Roman"/>
                <w:b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5902" w:rsidRPr="004B1544" w:rsidRDefault="003D5902" w:rsidP="003D5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4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</w:tr>
      <w:tr w:rsidR="00035770" w:rsidRPr="004B1544" w:rsidTr="004B1544">
        <w:trPr>
          <w:trHeight w:val="27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4F04" w:rsidRPr="00DB1989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DB1989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*</w:t>
            </w:r>
            <w:proofErr w:type="gramStart"/>
            <w:r w:rsidRPr="00DB1989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>:Full</w:t>
            </w:r>
            <w:proofErr w:type="gramEnd"/>
            <w:r w:rsidRPr="00DB1989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t xml:space="preserve"> adjusted model. </w:t>
            </w:r>
          </w:p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  <w:r w:rsidRPr="004B1544"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  <w:lastRenderedPageBreak/>
              <w:t>The five diagnoses with highest PAFs shown in Bold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94F04" w:rsidRPr="004B1544" w:rsidRDefault="00894F04" w:rsidP="0028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994E16" w:rsidRPr="004B1544" w:rsidRDefault="00994E16" w:rsidP="00994E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4E16" w:rsidRPr="004B1544" w:rsidRDefault="00994E16" w:rsidP="00994E16">
      <w:pPr>
        <w:rPr>
          <w:rFonts w:ascii="Times New Roman" w:hAnsi="Times New Roman"/>
          <w:sz w:val="20"/>
          <w:szCs w:val="20"/>
        </w:rPr>
      </w:pPr>
    </w:p>
    <w:p w:rsidR="00D52E71" w:rsidRPr="004B1544" w:rsidRDefault="00D52E71" w:rsidP="00D52E71">
      <w:pPr>
        <w:pStyle w:val="Brdtext"/>
        <w:widowControl w:val="0"/>
        <w:spacing w:line="480" w:lineRule="auto"/>
        <w:ind w:left="1304" w:hanging="1304"/>
        <w:jc w:val="left"/>
        <w:rPr>
          <w:sz w:val="20"/>
          <w:szCs w:val="20"/>
          <w:lang w:val="en-US"/>
        </w:rPr>
      </w:pPr>
    </w:p>
    <w:sectPr w:rsidR="00D52E71" w:rsidRPr="004B1544" w:rsidSect="009573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22F5"/>
    <w:multiLevelType w:val="hybridMultilevel"/>
    <w:tmpl w:val="5E7C4FA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1"/>
    <w:rsid w:val="00022114"/>
    <w:rsid w:val="00035770"/>
    <w:rsid w:val="001269FD"/>
    <w:rsid w:val="001562F9"/>
    <w:rsid w:val="001D7999"/>
    <w:rsid w:val="00240ED0"/>
    <w:rsid w:val="00280C6C"/>
    <w:rsid w:val="0030276E"/>
    <w:rsid w:val="00334A81"/>
    <w:rsid w:val="003D5902"/>
    <w:rsid w:val="00441D87"/>
    <w:rsid w:val="00480E1F"/>
    <w:rsid w:val="00484072"/>
    <w:rsid w:val="004B1544"/>
    <w:rsid w:val="00562C34"/>
    <w:rsid w:val="00596BF6"/>
    <w:rsid w:val="005A08F5"/>
    <w:rsid w:val="00764FA5"/>
    <w:rsid w:val="00894F04"/>
    <w:rsid w:val="008C2653"/>
    <w:rsid w:val="00945D05"/>
    <w:rsid w:val="00957371"/>
    <w:rsid w:val="00994E16"/>
    <w:rsid w:val="009D0540"/>
    <w:rsid w:val="00A0237E"/>
    <w:rsid w:val="00A4236C"/>
    <w:rsid w:val="00BC3EB4"/>
    <w:rsid w:val="00BC690D"/>
    <w:rsid w:val="00C50CD0"/>
    <w:rsid w:val="00D52E71"/>
    <w:rsid w:val="00DB1989"/>
    <w:rsid w:val="00EC00F9"/>
    <w:rsid w:val="00EE0F6F"/>
    <w:rsid w:val="00F21D2E"/>
    <w:rsid w:val="00F41452"/>
    <w:rsid w:val="00F967A1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34FE-DFC3-4068-B7FD-F15331A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71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paragraph" w:styleId="Rubrik1">
    <w:name w:val="heading 1"/>
    <w:basedOn w:val="Normal"/>
    <w:next w:val="Normal"/>
    <w:link w:val="Rubrik1Char"/>
    <w:uiPriority w:val="99"/>
    <w:qFormat/>
    <w:rsid w:val="00D52E71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D52E7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rdtext">
    <w:name w:val="Body Text"/>
    <w:basedOn w:val="Normal"/>
    <w:link w:val="BrdtextChar"/>
    <w:rsid w:val="00D52E71"/>
    <w:pPr>
      <w:spacing w:after="0" w:line="240" w:lineRule="auto"/>
      <w:jc w:val="both"/>
    </w:pPr>
    <w:rPr>
      <w:rFonts w:ascii="Times New Roman" w:hAnsi="Times New Roman"/>
      <w:sz w:val="24"/>
      <w:szCs w:val="24"/>
      <w:lang w:val="sv-SE"/>
    </w:rPr>
  </w:style>
  <w:style w:type="character" w:customStyle="1" w:styleId="BrdtextChar">
    <w:name w:val="Brödtext Char"/>
    <w:basedOn w:val="Standardstycketeckensnitt"/>
    <w:link w:val="Brdtext"/>
    <w:rsid w:val="00D52E71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52E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2E71"/>
    <w:rPr>
      <w:rFonts w:ascii="Calibri" w:eastAsia="Times New Roman" w:hAnsi="Calibri" w:cs="Times New Roman"/>
      <w:lang w:val="en-GB"/>
    </w:rPr>
  </w:style>
  <w:style w:type="character" w:styleId="Sidnummer">
    <w:name w:val="page number"/>
    <w:basedOn w:val="Standardstycketeckensnitt"/>
    <w:semiHidden/>
    <w:rsid w:val="00D52E71"/>
  </w:style>
  <w:style w:type="paragraph" w:styleId="Kommentarer">
    <w:name w:val="annotation text"/>
    <w:basedOn w:val="Normal"/>
    <w:link w:val="KommentarerChar"/>
    <w:uiPriority w:val="99"/>
    <w:semiHidden/>
    <w:rsid w:val="00D52E71"/>
    <w:pPr>
      <w:spacing w:after="0" w:line="240" w:lineRule="auto"/>
    </w:pPr>
    <w:rPr>
      <w:rFonts w:ascii="Times New Roman" w:hAnsi="Times New Roman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2E71"/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cke1">
    <w:name w:val="Liststycke1"/>
    <w:basedOn w:val="Normal"/>
    <w:rsid w:val="00D52E71"/>
    <w:pPr>
      <w:spacing w:after="0" w:line="240" w:lineRule="auto"/>
      <w:ind w:left="720"/>
    </w:pPr>
    <w:rPr>
      <w:rFonts w:ascii="Times New Roman" w:hAnsi="Times New Roman"/>
      <w:szCs w:val="20"/>
      <w:lang w:val="sv-SE"/>
    </w:rPr>
  </w:style>
  <w:style w:type="character" w:styleId="Hyperlnk">
    <w:name w:val="Hyperlink"/>
    <w:uiPriority w:val="99"/>
    <w:rsid w:val="00D52E71"/>
    <w:rPr>
      <w:color w:val="0033CC"/>
      <w:u w:val="single"/>
    </w:rPr>
  </w:style>
  <w:style w:type="paragraph" w:styleId="Sidhuvud">
    <w:name w:val="header"/>
    <w:aliases w:val="Sidhuvud Char Char"/>
    <w:basedOn w:val="Normal"/>
    <w:link w:val="SidhuvudChar"/>
    <w:uiPriority w:val="99"/>
    <w:rsid w:val="00D52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sv-SE"/>
    </w:rPr>
  </w:style>
  <w:style w:type="character" w:customStyle="1" w:styleId="SidhuvudChar">
    <w:name w:val="Sidhuvud Char"/>
    <w:aliases w:val="Sidhuvud Char Char Char"/>
    <w:basedOn w:val="Standardstycketeckensnitt"/>
    <w:link w:val="Sidhuvud"/>
    <w:uiPriority w:val="99"/>
    <w:rsid w:val="00D52E71"/>
    <w:rPr>
      <w:rFonts w:ascii="Times New Roman" w:eastAsia="SimSu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52E71"/>
    <w:pPr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2E7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2E71"/>
    <w:pPr>
      <w:spacing w:after="200"/>
    </w:pPr>
    <w:rPr>
      <w:rFonts w:ascii="Calibri" w:hAnsi="Calibri"/>
      <w:b/>
      <w:bCs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2E71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E7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Rubrik10">
    <w:name w:val="Rubrik1"/>
    <w:basedOn w:val="Normal"/>
    <w:rsid w:val="00D52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desc">
    <w:name w:val="desc"/>
    <w:basedOn w:val="Normal"/>
    <w:rsid w:val="00D52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customStyle="1" w:styleId="jrnl">
    <w:name w:val="jrnl"/>
    <w:basedOn w:val="Standardstycketeckensnitt"/>
    <w:rsid w:val="00D52E71"/>
  </w:style>
  <w:style w:type="paragraph" w:styleId="Normalwebb">
    <w:name w:val="Normal (Web)"/>
    <w:basedOn w:val="Normal"/>
    <w:uiPriority w:val="99"/>
    <w:semiHidden/>
    <w:unhideWhenUsed/>
    <w:rsid w:val="00D52E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sv-SE" w:eastAsia="zh-C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52E7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52E71"/>
    <w:rPr>
      <w:rFonts w:ascii="Calibri" w:eastAsia="Times New Roman" w:hAnsi="Calibri" w:cs="Times New Roman"/>
      <w:lang w:val="en-GB"/>
    </w:rPr>
  </w:style>
  <w:style w:type="character" w:customStyle="1" w:styleId="highlight">
    <w:name w:val="highlight"/>
    <w:basedOn w:val="Standardstycketeckensnitt"/>
    <w:rsid w:val="00D52E71"/>
  </w:style>
  <w:style w:type="character" w:styleId="AnvndHyperlnk">
    <w:name w:val="FollowedHyperlink"/>
    <w:basedOn w:val="Standardstycketeckensnitt"/>
    <w:uiPriority w:val="99"/>
    <w:semiHidden/>
    <w:unhideWhenUsed/>
    <w:rsid w:val="00D52E71"/>
    <w:rPr>
      <w:color w:val="800080"/>
      <w:u w:val="single"/>
    </w:rPr>
  </w:style>
  <w:style w:type="paragraph" w:customStyle="1" w:styleId="xl63">
    <w:name w:val="xl63"/>
    <w:basedOn w:val="Normal"/>
    <w:rsid w:val="00D52E7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sv-SE" w:eastAsia="zh-CN"/>
    </w:rPr>
  </w:style>
  <w:style w:type="paragraph" w:customStyle="1" w:styleId="xl64">
    <w:name w:val="xl64"/>
    <w:basedOn w:val="Normal"/>
    <w:rsid w:val="00D52E7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65">
    <w:name w:val="xl65"/>
    <w:basedOn w:val="Normal"/>
    <w:rsid w:val="00D52E7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66">
    <w:name w:val="xl66"/>
    <w:basedOn w:val="Normal"/>
    <w:rsid w:val="00D52E7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67">
    <w:name w:val="xl67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68">
    <w:name w:val="xl68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69">
    <w:name w:val="xl69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70">
    <w:name w:val="xl70"/>
    <w:basedOn w:val="Normal"/>
    <w:rsid w:val="00D52E71"/>
    <w:pP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72">
    <w:name w:val="xl72"/>
    <w:basedOn w:val="Normal"/>
    <w:rsid w:val="00D52E71"/>
    <w:pPr>
      <w:spacing w:before="100" w:beforeAutospacing="1" w:after="100" w:afterAutospacing="1" w:line="240" w:lineRule="auto"/>
      <w:ind w:firstLineChars="300" w:firstLine="300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73">
    <w:name w:val="xl73"/>
    <w:basedOn w:val="Normal"/>
    <w:rsid w:val="00D52E7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74">
    <w:name w:val="xl74"/>
    <w:basedOn w:val="Normal"/>
    <w:rsid w:val="00D52E71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75">
    <w:name w:val="xl75"/>
    <w:basedOn w:val="Normal"/>
    <w:rsid w:val="00D52E71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76">
    <w:name w:val="xl76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77">
    <w:name w:val="xl77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78">
    <w:name w:val="xl78"/>
    <w:basedOn w:val="Normal"/>
    <w:rsid w:val="00D52E7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71">
    <w:name w:val="xl71"/>
    <w:basedOn w:val="Normal"/>
    <w:rsid w:val="00D52E71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/>
      <w:color w:val="000000"/>
      <w:sz w:val="20"/>
      <w:szCs w:val="20"/>
      <w:lang w:val="sv-SE" w:eastAsia="zh-CN"/>
    </w:rPr>
  </w:style>
  <w:style w:type="paragraph" w:customStyle="1" w:styleId="xl79">
    <w:name w:val="xl79"/>
    <w:basedOn w:val="Normal"/>
    <w:rsid w:val="00D52E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zh-CN"/>
    </w:rPr>
  </w:style>
  <w:style w:type="paragraph" w:customStyle="1" w:styleId="xl80">
    <w:name w:val="xl80"/>
    <w:basedOn w:val="Normal"/>
    <w:rsid w:val="00D52E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sv-SE" w:eastAsia="zh-CN"/>
    </w:rPr>
  </w:style>
  <w:style w:type="paragraph" w:customStyle="1" w:styleId="xl81">
    <w:name w:val="xl81"/>
    <w:basedOn w:val="Normal"/>
    <w:rsid w:val="00D52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zh-CN"/>
    </w:rPr>
  </w:style>
  <w:style w:type="character" w:styleId="Betoning">
    <w:name w:val="Emphasis"/>
    <w:basedOn w:val="Standardstycketeckensnitt"/>
    <w:uiPriority w:val="20"/>
    <w:qFormat/>
    <w:rsid w:val="004B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3251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Wändell</dc:creator>
  <cp:keywords/>
  <dc:description/>
  <cp:lastModifiedBy>Per Wändell</cp:lastModifiedBy>
  <cp:revision>3</cp:revision>
  <dcterms:created xsi:type="dcterms:W3CDTF">2019-01-02T10:12:00Z</dcterms:created>
  <dcterms:modified xsi:type="dcterms:W3CDTF">2019-01-02T10:14:00Z</dcterms:modified>
</cp:coreProperties>
</file>