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E70" w:rsidRPr="009D1E70" w:rsidRDefault="009D1E70" w:rsidP="009D1E70">
      <w:pPr>
        <w:rPr>
          <w:rFonts w:ascii="Times New Roman" w:hAnsi="Times New Roman"/>
          <w:sz w:val="24"/>
          <w:szCs w:val="24"/>
          <w:lang w:val="en-US"/>
        </w:rPr>
      </w:pPr>
      <w:bookmarkStart w:id="0" w:name="_GoBack"/>
      <w:bookmarkEnd w:id="0"/>
      <w:r w:rsidRPr="009D1E70">
        <w:rPr>
          <w:rFonts w:ascii="Times New Roman" w:hAnsi="Times New Roman"/>
          <w:sz w:val="24"/>
          <w:szCs w:val="24"/>
          <w:lang w:val="en-US"/>
        </w:rPr>
        <w:t xml:space="preserve">Supplemetary Table 1: Molecular HPV Tests: Target, Detection Method, and HPV Genotypes </w:t>
      </w:r>
    </w:p>
    <w:tbl>
      <w:tblPr>
        <w:tblW w:w="1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995"/>
        <w:gridCol w:w="1072"/>
        <w:gridCol w:w="1511"/>
        <w:gridCol w:w="1469"/>
        <w:gridCol w:w="4112"/>
        <w:gridCol w:w="1917"/>
        <w:gridCol w:w="1488"/>
        <w:gridCol w:w="1416"/>
      </w:tblGrid>
      <w:tr w:rsidR="009D1E70" w:rsidRPr="00F00891" w:rsidTr="001204CF">
        <w:trPr>
          <w:jc w:val="center"/>
        </w:trPr>
        <w:tc>
          <w:tcPr>
            <w:tcW w:w="1236" w:type="dxa"/>
            <w:shd w:val="clear" w:color="auto" w:fill="auto"/>
            <w:vAlign w:val="center"/>
          </w:tcPr>
          <w:p w:rsidR="009D1E70" w:rsidRPr="00F00891" w:rsidRDefault="009D1E70" w:rsidP="001204CF">
            <w:pPr>
              <w:spacing w:line="240" w:lineRule="auto"/>
              <w:jc w:val="center"/>
              <w:rPr>
                <w:rFonts w:ascii="Times New Roman" w:hAnsi="Times New Roman"/>
                <w:b/>
                <w:bCs/>
                <w:sz w:val="16"/>
                <w:szCs w:val="16"/>
              </w:rPr>
            </w:pPr>
            <w:r w:rsidRPr="00F00891">
              <w:rPr>
                <w:rFonts w:ascii="Times New Roman" w:hAnsi="Times New Roman"/>
                <w:b/>
                <w:bCs/>
                <w:sz w:val="16"/>
                <w:szCs w:val="16"/>
              </w:rPr>
              <w:t>Test</w:t>
            </w:r>
          </w:p>
        </w:tc>
        <w:tc>
          <w:tcPr>
            <w:tcW w:w="2006" w:type="dxa"/>
            <w:shd w:val="clear" w:color="auto" w:fill="auto"/>
            <w:vAlign w:val="center"/>
          </w:tcPr>
          <w:p w:rsidR="009D1E70" w:rsidRPr="00F00891" w:rsidRDefault="009D1E70" w:rsidP="001204CF">
            <w:pPr>
              <w:pStyle w:val="StandardWeb"/>
              <w:jc w:val="center"/>
              <w:rPr>
                <w:b/>
                <w:bCs/>
                <w:color w:val="000000"/>
                <w:sz w:val="16"/>
                <w:szCs w:val="16"/>
              </w:rPr>
            </w:pPr>
            <w:r w:rsidRPr="00F00891">
              <w:rPr>
                <w:b/>
                <w:bCs/>
                <w:color w:val="000000"/>
                <w:sz w:val="16"/>
                <w:szCs w:val="16"/>
              </w:rPr>
              <w:t>Manufacturer / Technology</w:t>
            </w:r>
          </w:p>
        </w:tc>
        <w:tc>
          <w:tcPr>
            <w:tcW w:w="1078" w:type="dxa"/>
            <w:shd w:val="clear" w:color="auto" w:fill="auto"/>
            <w:vAlign w:val="center"/>
          </w:tcPr>
          <w:p w:rsidR="009D1E70" w:rsidRPr="00F00891" w:rsidRDefault="009D1E70" w:rsidP="001204CF">
            <w:pPr>
              <w:pStyle w:val="StandardWeb"/>
              <w:jc w:val="center"/>
              <w:rPr>
                <w:b/>
                <w:bCs/>
                <w:color w:val="000000"/>
                <w:sz w:val="16"/>
                <w:szCs w:val="16"/>
              </w:rPr>
            </w:pPr>
            <w:r w:rsidRPr="00F00891">
              <w:rPr>
                <w:b/>
                <w:bCs/>
                <w:color w:val="000000"/>
                <w:sz w:val="16"/>
                <w:szCs w:val="16"/>
              </w:rPr>
              <w:t xml:space="preserve">Target </w:t>
            </w:r>
          </w:p>
        </w:tc>
        <w:tc>
          <w:tcPr>
            <w:tcW w:w="1532" w:type="dxa"/>
            <w:shd w:val="clear" w:color="auto" w:fill="auto"/>
            <w:vAlign w:val="center"/>
          </w:tcPr>
          <w:p w:rsidR="009D1E70" w:rsidRPr="00F00891" w:rsidRDefault="009D1E70" w:rsidP="001204CF">
            <w:pPr>
              <w:pStyle w:val="StandardWeb"/>
              <w:jc w:val="center"/>
              <w:rPr>
                <w:b/>
                <w:bCs/>
                <w:color w:val="000000"/>
                <w:sz w:val="16"/>
                <w:szCs w:val="16"/>
              </w:rPr>
            </w:pPr>
            <w:r w:rsidRPr="00F00891">
              <w:rPr>
                <w:b/>
                <w:bCs/>
                <w:color w:val="000000"/>
                <w:sz w:val="16"/>
                <w:szCs w:val="16"/>
              </w:rPr>
              <w:t>Amplification</w:t>
            </w:r>
          </w:p>
        </w:tc>
        <w:tc>
          <w:tcPr>
            <w:tcW w:w="1124" w:type="dxa"/>
            <w:shd w:val="clear" w:color="auto" w:fill="auto"/>
            <w:vAlign w:val="center"/>
          </w:tcPr>
          <w:p w:rsidR="009D1E70" w:rsidRPr="00F00891" w:rsidRDefault="009D1E70" w:rsidP="001204CF">
            <w:pPr>
              <w:pStyle w:val="StandardWeb"/>
              <w:jc w:val="center"/>
              <w:rPr>
                <w:b/>
                <w:bCs/>
                <w:color w:val="000000"/>
                <w:sz w:val="16"/>
                <w:szCs w:val="16"/>
              </w:rPr>
            </w:pPr>
            <w:r w:rsidRPr="00F00891">
              <w:rPr>
                <w:b/>
                <w:bCs/>
                <w:color w:val="000000"/>
                <w:sz w:val="16"/>
                <w:szCs w:val="16"/>
              </w:rPr>
              <w:t>Detection</w:t>
            </w:r>
          </w:p>
        </w:tc>
        <w:tc>
          <w:tcPr>
            <w:tcW w:w="4274" w:type="dxa"/>
            <w:shd w:val="clear" w:color="auto" w:fill="auto"/>
            <w:vAlign w:val="center"/>
          </w:tcPr>
          <w:p w:rsidR="009D1E70" w:rsidRPr="00F00891" w:rsidRDefault="009D1E70" w:rsidP="001204CF">
            <w:pPr>
              <w:pStyle w:val="StandardWeb"/>
              <w:jc w:val="center"/>
              <w:rPr>
                <w:b/>
                <w:bCs/>
                <w:color w:val="000000"/>
                <w:sz w:val="16"/>
                <w:szCs w:val="16"/>
              </w:rPr>
            </w:pPr>
            <w:r w:rsidRPr="00F00891">
              <w:rPr>
                <w:b/>
                <w:bCs/>
                <w:color w:val="000000"/>
                <w:sz w:val="16"/>
                <w:szCs w:val="16"/>
              </w:rPr>
              <w:t>Description of method</w:t>
            </w:r>
          </w:p>
        </w:tc>
        <w:tc>
          <w:tcPr>
            <w:tcW w:w="1980" w:type="dxa"/>
            <w:shd w:val="clear" w:color="auto" w:fill="auto"/>
            <w:vAlign w:val="center"/>
          </w:tcPr>
          <w:p w:rsidR="009D1E70" w:rsidRPr="00F00891" w:rsidRDefault="009D1E70" w:rsidP="001204CF">
            <w:pPr>
              <w:pStyle w:val="StandardWeb"/>
              <w:jc w:val="center"/>
              <w:rPr>
                <w:b/>
                <w:bCs/>
                <w:color w:val="000000"/>
                <w:sz w:val="16"/>
                <w:szCs w:val="16"/>
              </w:rPr>
            </w:pPr>
            <w:r w:rsidRPr="00F00891">
              <w:rPr>
                <w:b/>
                <w:bCs/>
                <w:color w:val="000000"/>
                <w:sz w:val="16"/>
                <w:szCs w:val="16"/>
              </w:rPr>
              <w:t>high-risk HPV detected</w:t>
            </w:r>
          </w:p>
        </w:tc>
        <w:tc>
          <w:tcPr>
            <w:tcW w:w="1530" w:type="dxa"/>
            <w:shd w:val="clear" w:color="auto" w:fill="auto"/>
            <w:vAlign w:val="center"/>
          </w:tcPr>
          <w:p w:rsidR="009D1E70" w:rsidRPr="00F00891" w:rsidRDefault="009D1E70" w:rsidP="001204CF">
            <w:pPr>
              <w:pStyle w:val="StandardWeb"/>
              <w:jc w:val="center"/>
              <w:rPr>
                <w:b/>
                <w:bCs/>
                <w:color w:val="000000"/>
                <w:sz w:val="16"/>
                <w:szCs w:val="16"/>
              </w:rPr>
            </w:pPr>
            <w:r w:rsidRPr="00F00891">
              <w:rPr>
                <w:b/>
                <w:bCs/>
                <w:color w:val="000000"/>
                <w:sz w:val="16"/>
                <w:szCs w:val="16"/>
              </w:rPr>
              <w:t>Number of types detected</w:t>
            </w:r>
          </w:p>
        </w:tc>
        <w:tc>
          <w:tcPr>
            <w:tcW w:w="1440" w:type="dxa"/>
            <w:shd w:val="clear" w:color="auto" w:fill="auto"/>
            <w:vAlign w:val="center"/>
          </w:tcPr>
          <w:p w:rsidR="009D1E70" w:rsidRPr="00F00891" w:rsidRDefault="009D1E70" w:rsidP="001204CF">
            <w:pPr>
              <w:pStyle w:val="StandardWeb"/>
              <w:jc w:val="center"/>
              <w:rPr>
                <w:b/>
                <w:bCs/>
                <w:color w:val="000000"/>
                <w:sz w:val="16"/>
                <w:szCs w:val="16"/>
              </w:rPr>
            </w:pPr>
            <w:r w:rsidRPr="00F00891">
              <w:rPr>
                <w:b/>
                <w:bCs/>
                <w:color w:val="000000"/>
                <w:sz w:val="16"/>
                <w:szCs w:val="16"/>
              </w:rPr>
              <w:t>Genotyping</w:t>
            </w:r>
          </w:p>
        </w:tc>
      </w:tr>
      <w:tr w:rsidR="009D1E70" w:rsidRPr="00F00891" w:rsidTr="001204CF">
        <w:trPr>
          <w:jc w:val="center"/>
        </w:trPr>
        <w:tc>
          <w:tcPr>
            <w:tcW w:w="1236"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xml:space="preserve">digene HC2 </w:t>
            </w:r>
          </w:p>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xml:space="preserve">High-Risk </w:t>
            </w:r>
          </w:p>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xml:space="preserve">HPV DNA </w:t>
            </w:r>
          </w:p>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Test</w:t>
            </w:r>
          </w:p>
        </w:tc>
        <w:tc>
          <w:tcPr>
            <w:tcW w:w="2006"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Qiagen / Hybrid Capture 2</w:t>
            </w:r>
          </w:p>
        </w:tc>
        <w:tc>
          <w:tcPr>
            <w:tcW w:w="1078"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HPV DNA</w:t>
            </w:r>
          </w:p>
        </w:tc>
        <w:tc>
          <w:tcPr>
            <w:tcW w:w="1532"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Several alkaline phosphatase is conjugated to each antibody. Multiple conjugated antibodies bind to each captured RNA-DNA hybrid</w:t>
            </w:r>
          </w:p>
        </w:tc>
        <w:tc>
          <w:tcPr>
            <w:tcW w:w="1124"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microplate chemiluminescense</w:t>
            </w:r>
          </w:p>
        </w:tc>
        <w:tc>
          <w:tcPr>
            <w:tcW w:w="4274" w:type="dxa"/>
            <w:shd w:val="clear" w:color="auto" w:fill="auto"/>
            <w:vAlign w:val="center"/>
          </w:tcPr>
          <w:p w:rsidR="009D1E70" w:rsidRPr="00F00891" w:rsidRDefault="009D1E70" w:rsidP="001204CF">
            <w:pPr>
              <w:pStyle w:val="StandardWeb"/>
              <w:spacing w:line="240" w:lineRule="exact"/>
              <w:jc w:val="center"/>
              <w:rPr>
                <w:color w:val="000000"/>
                <w:sz w:val="16"/>
                <w:szCs w:val="16"/>
              </w:rPr>
            </w:pPr>
            <w:r w:rsidRPr="00F00891">
              <w:rPr>
                <w:color w:val="000000"/>
                <w:sz w:val="16"/>
                <w:szCs w:val="16"/>
              </w:rPr>
              <w:t xml:space="preserve">- RNA probes hybridize to taget DNA. </w:t>
            </w:r>
          </w:p>
          <w:p w:rsidR="009D1E70" w:rsidRPr="00F00891" w:rsidRDefault="009D1E70" w:rsidP="001204CF">
            <w:pPr>
              <w:pStyle w:val="StandardWeb"/>
              <w:spacing w:line="240" w:lineRule="exact"/>
              <w:jc w:val="center"/>
              <w:rPr>
                <w:color w:val="000000"/>
                <w:sz w:val="16"/>
                <w:szCs w:val="16"/>
              </w:rPr>
            </w:pPr>
            <w:r w:rsidRPr="00F00891">
              <w:rPr>
                <w:color w:val="000000"/>
                <w:sz w:val="16"/>
                <w:szCs w:val="16"/>
              </w:rPr>
              <w:t>- Antibodies specific to RNA-DNA hybrids capture them to surface of microplate.</w:t>
            </w:r>
          </w:p>
          <w:p w:rsidR="009D1E70" w:rsidRPr="00F00891" w:rsidRDefault="009D1E70" w:rsidP="001204CF">
            <w:pPr>
              <w:pStyle w:val="StandardWeb"/>
              <w:spacing w:line="240" w:lineRule="exact"/>
              <w:jc w:val="center"/>
              <w:rPr>
                <w:color w:val="000000"/>
                <w:sz w:val="16"/>
                <w:szCs w:val="16"/>
              </w:rPr>
            </w:pPr>
            <w:r w:rsidRPr="00F00891">
              <w:rPr>
                <w:color w:val="000000"/>
                <w:sz w:val="16"/>
                <w:szCs w:val="16"/>
              </w:rPr>
              <w:t xml:space="preserve"> - Alkaline phosphatase conjugated Antibodies specific to RNA-DNA hybrid react to immobilized hybrids.</w:t>
            </w:r>
          </w:p>
          <w:p w:rsidR="009D1E70" w:rsidRPr="00F00891" w:rsidRDefault="009D1E70" w:rsidP="001204CF">
            <w:pPr>
              <w:pStyle w:val="StandardWeb"/>
              <w:spacing w:line="240" w:lineRule="exact"/>
              <w:jc w:val="center"/>
              <w:rPr>
                <w:color w:val="000000"/>
                <w:sz w:val="16"/>
                <w:szCs w:val="16"/>
              </w:rPr>
            </w:pPr>
            <w:r w:rsidRPr="00F00891">
              <w:rPr>
                <w:color w:val="000000"/>
                <w:sz w:val="16"/>
                <w:szCs w:val="16"/>
              </w:rPr>
              <w:t xml:space="preserve"> - Cleavage of chemilluminiscent substrate emits light to be measured. </w:t>
            </w:r>
          </w:p>
          <w:p w:rsidR="009D1E70" w:rsidRPr="00F00891" w:rsidRDefault="009D1E70" w:rsidP="001204CF">
            <w:pPr>
              <w:spacing w:line="240" w:lineRule="auto"/>
              <w:jc w:val="center"/>
              <w:rPr>
                <w:rFonts w:ascii="Times New Roman" w:hAnsi="Times New Roman"/>
                <w:sz w:val="16"/>
                <w:szCs w:val="16"/>
                <w:lang w:val="en-US"/>
              </w:rPr>
            </w:pPr>
          </w:p>
        </w:tc>
        <w:tc>
          <w:tcPr>
            <w:tcW w:w="198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16, 18, 31, 33, 35, 39, 45, 51, 52, 56, 58, 59, and 68</w:t>
            </w:r>
          </w:p>
        </w:tc>
        <w:tc>
          <w:tcPr>
            <w:tcW w:w="153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13</w:t>
            </w:r>
          </w:p>
        </w:tc>
        <w:tc>
          <w:tcPr>
            <w:tcW w:w="144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No</w:t>
            </w:r>
          </w:p>
        </w:tc>
      </w:tr>
      <w:tr w:rsidR="009D1E70" w:rsidRPr="00F00891" w:rsidTr="001204CF">
        <w:trPr>
          <w:jc w:val="center"/>
        </w:trPr>
        <w:tc>
          <w:tcPr>
            <w:tcW w:w="1236"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xml:space="preserve">cobas HPV </w:t>
            </w:r>
          </w:p>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Test</w:t>
            </w:r>
          </w:p>
        </w:tc>
        <w:tc>
          <w:tcPr>
            <w:tcW w:w="2006"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Roche / real-time multiplex PCR</w:t>
            </w:r>
          </w:p>
        </w:tc>
        <w:tc>
          <w:tcPr>
            <w:tcW w:w="1078"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HPV DNA</w:t>
            </w:r>
          </w:p>
        </w:tc>
        <w:tc>
          <w:tcPr>
            <w:tcW w:w="1532"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Multiplex PCR</w:t>
            </w:r>
          </w:p>
        </w:tc>
        <w:tc>
          <w:tcPr>
            <w:tcW w:w="1124"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fluorescent probe (quencher-reporter</w:t>
            </w:r>
          </w:p>
        </w:tc>
        <w:tc>
          <w:tcPr>
            <w:tcW w:w="4274"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Multiplex real-time PCR with a pool of HPV primers for different types. Human β-globin as the reference amplicon.</w:t>
            </w:r>
          </w:p>
        </w:tc>
        <w:tc>
          <w:tcPr>
            <w:tcW w:w="198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16, 18, 31, 33, 35, 39, 45, 51, 52, 56, 58, 59, 66, and 68</w:t>
            </w:r>
          </w:p>
        </w:tc>
        <w:tc>
          <w:tcPr>
            <w:tcW w:w="153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14</w:t>
            </w:r>
          </w:p>
        </w:tc>
        <w:tc>
          <w:tcPr>
            <w:tcW w:w="144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16, 18</w:t>
            </w:r>
          </w:p>
        </w:tc>
      </w:tr>
      <w:tr w:rsidR="009D1E70" w:rsidRPr="00F00891" w:rsidTr="001204CF">
        <w:trPr>
          <w:jc w:val="center"/>
        </w:trPr>
        <w:tc>
          <w:tcPr>
            <w:tcW w:w="1236"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xml:space="preserve">Cervista HPV </w:t>
            </w:r>
          </w:p>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HR assay</w:t>
            </w:r>
          </w:p>
        </w:tc>
        <w:tc>
          <w:tcPr>
            <w:tcW w:w="2006"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Hologic / Invader Chemistry</w:t>
            </w:r>
          </w:p>
        </w:tc>
        <w:tc>
          <w:tcPr>
            <w:tcW w:w="1078"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HPV DNA</w:t>
            </w:r>
          </w:p>
        </w:tc>
        <w:tc>
          <w:tcPr>
            <w:tcW w:w="1532"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106-107 signal amplification per hour in two isothermal reactions</w:t>
            </w:r>
          </w:p>
        </w:tc>
        <w:tc>
          <w:tcPr>
            <w:tcW w:w="1124"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cleavage of FRET oligonucleotides</w:t>
            </w:r>
          </w:p>
        </w:tc>
        <w:tc>
          <w:tcPr>
            <w:tcW w:w="4274"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xml:space="preserve">- Two sequence specific oligos bind to target DNA with an overlap </w:t>
            </w:r>
          </w:p>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xml:space="preserve"> - 5' portion (flap) of overlaping oligos cleaved by Cleavase </w:t>
            </w:r>
          </w:p>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xml:space="preserve">- Cleaved flaps bind to a hairpin FRET oligo </w:t>
            </w:r>
          </w:p>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xml:space="preserve">- The new structure cleaved by Cleavase producing a fluorescence signal </w:t>
            </w:r>
          </w:p>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Oligos specific to human histone 2 gene as internal control</w:t>
            </w:r>
          </w:p>
        </w:tc>
        <w:tc>
          <w:tcPr>
            <w:tcW w:w="198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16, 18, 31, 33, 35, 39, 45, 51, 52, 56, 58, 59, 66, and 68</w:t>
            </w:r>
          </w:p>
        </w:tc>
        <w:tc>
          <w:tcPr>
            <w:tcW w:w="153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14</w:t>
            </w:r>
          </w:p>
        </w:tc>
        <w:tc>
          <w:tcPr>
            <w:tcW w:w="144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No</w:t>
            </w:r>
          </w:p>
        </w:tc>
      </w:tr>
      <w:tr w:rsidR="009D1E70" w:rsidRPr="00F00891" w:rsidTr="001204CF">
        <w:trPr>
          <w:jc w:val="center"/>
        </w:trPr>
        <w:tc>
          <w:tcPr>
            <w:tcW w:w="1236"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xml:space="preserve">Aptima HPV </w:t>
            </w:r>
          </w:p>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assay</w:t>
            </w:r>
          </w:p>
        </w:tc>
        <w:tc>
          <w:tcPr>
            <w:tcW w:w="2006"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Hologic / TMA &amp; HPA</w:t>
            </w:r>
          </w:p>
        </w:tc>
        <w:tc>
          <w:tcPr>
            <w:tcW w:w="1078"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HPV E6/E7 mRNA</w:t>
            </w:r>
          </w:p>
        </w:tc>
        <w:tc>
          <w:tcPr>
            <w:tcW w:w="1532"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Transcription-Mediated Amplification (TMA)</w:t>
            </w:r>
          </w:p>
        </w:tc>
        <w:tc>
          <w:tcPr>
            <w:tcW w:w="1124"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Hybridization Protection Assay (HPA)</w:t>
            </w:r>
          </w:p>
        </w:tc>
        <w:tc>
          <w:tcPr>
            <w:tcW w:w="4274"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xml:space="preserve">- Capture oligomers specific to HPV mRNA target and linked to magnetic microparticles pull HPV mRNA down </w:t>
            </w:r>
          </w:p>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xml:space="preserve">- HPV mRNA is amplified using TMA (MMLV reverse transcriptase and T7 RNA polymerase) to create multiple copies of RNA amplicon </w:t>
            </w:r>
          </w:p>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lastRenderedPageBreak/>
              <w:t xml:space="preserve">- Chemiluminescent labeled probes hybridize to RNA amplicon </w:t>
            </w:r>
          </w:p>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DNA:RNA hybrid produces a light signal to be measured</w:t>
            </w:r>
          </w:p>
        </w:tc>
        <w:tc>
          <w:tcPr>
            <w:tcW w:w="198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lastRenderedPageBreak/>
              <w:t>16, 18, 31, 33, 35, 39, 45, 51, 52, 56, 58, 59, 66, and 68</w:t>
            </w:r>
          </w:p>
        </w:tc>
        <w:tc>
          <w:tcPr>
            <w:tcW w:w="153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14</w:t>
            </w:r>
          </w:p>
        </w:tc>
        <w:tc>
          <w:tcPr>
            <w:tcW w:w="144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No</w:t>
            </w:r>
          </w:p>
        </w:tc>
      </w:tr>
      <w:tr w:rsidR="009D1E70" w:rsidRPr="00F00891" w:rsidTr="001204CF">
        <w:trPr>
          <w:jc w:val="center"/>
        </w:trPr>
        <w:tc>
          <w:tcPr>
            <w:tcW w:w="1236"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xml:space="preserve">OncoE6 </w:t>
            </w:r>
          </w:p>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Cervical Test</w:t>
            </w:r>
          </w:p>
        </w:tc>
        <w:tc>
          <w:tcPr>
            <w:tcW w:w="2006"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Arbor Vita / Immunochromatography</w:t>
            </w:r>
          </w:p>
        </w:tc>
        <w:tc>
          <w:tcPr>
            <w:tcW w:w="1078"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E6 oncoprotein</w:t>
            </w:r>
          </w:p>
        </w:tc>
        <w:tc>
          <w:tcPr>
            <w:tcW w:w="1532"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None</w:t>
            </w:r>
          </w:p>
        </w:tc>
        <w:tc>
          <w:tcPr>
            <w:tcW w:w="1124"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anti E6 dectector monoclonal antibody conjugated to alkaline phosphatase</w:t>
            </w:r>
          </w:p>
        </w:tc>
        <w:tc>
          <w:tcPr>
            <w:tcW w:w="4274"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Lysate migrates up the nitrocellulose membrane strip by capillary forces. Capture monoclonal antibodies fixed to strip at specific lines, bind to oncoprotein. Detector monoclonal antibodies conjugated to alkaline phosphatase allow to visualization of positive bands through a colorimetric reaction.</w:t>
            </w:r>
          </w:p>
        </w:tc>
        <w:tc>
          <w:tcPr>
            <w:tcW w:w="198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16 and 18</w:t>
            </w:r>
          </w:p>
        </w:tc>
        <w:tc>
          <w:tcPr>
            <w:tcW w:w="153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2</w:t>
            </w:r>
          </w:p>
        </w:tc>
        <w:tc>
          <w:tcPr>
            <w:tcW w:w="144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16, 18</w:t>
            </w:r>
          </w:p>
        </w:tc>
      </w:tr>
      <w:tr w:rsidR="009D1E70" w:rsidRPr="00F00891" w:rsidTr="001204CF">
        <w:trPr>
          <w:jc w:val="center"/>
        </w:trPr>
        <w:tc>
          <w:tcPr>
            <w:tcW w:w="1236"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HR/LR PCR</w:t>
            </w:r>
          </w:p>
        </w:tc>
        <w:tc>
          <w:tcPr>
            <w:tcW w:w="2006"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Various / PCR and enzyme immunoassay (EIA)</w:t>
            </w:r>
          </w:p>
        </w:tc>
        <w:tc>
          <w:tcPr>
            <w:tcW w:w="1078"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HPV DNA L1 region</w:t>
            </w:r>
          </w:p>
        </w:tc>
        <w:tc>
          <w:tcPr>
            <w:tcW w:w="1532"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PCR (GP5+/GP6+) primers are non-specific and would amplify both HR and LR HPV.</w:t>
            </w:r>
          </w:p>
        </w:tc>
        <w:tc>
          <w:tcPr>
            <w:tcW w:w="1124"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enzyme immunoassay</w:t>
            </w:r>
          </w:p>
        </w:tc>
        <w:tc>
          <w:tcPr>
            <w:tcW w:w="4274"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Two universal primers (GP5 and GP6-biotin) amplify a 150 bp of HPV genome. Biotinylated PCR products are captured on a streptavidin-coated microplate well. Incubation with denaturation solution separates the non-biotinylated strand. Hybridization takes place with a labeled HPV-specific probe cocktail. The label is detected with a conjugate, which is visualized by a substrate. Optical density is measured.</w:t>
            </w:r>
          </w:p>
        </w:tc>
        <w:tc>
          <w:tcPr>
            <w:tcW w:w="198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16, 18, 31, 33, 35, 39, 45, 51, 52, 56, 58, 59, 66, and 68 plus LR HPV</w:t>
            </w:r>
          </w:p>
        </w:tc>
        <w:tc>
          <w:tcPr>
            <w:tcW w:w="153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&gt; 14 (non-specific)</w:t>
            </w:r>
          </w:p>
        </w:tc>
        <w:tc>
          <w:tcPr>
            <w:tcW w:w="144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No</w:t>
            </w:r>
          </w:p>
        </w:tc>
      </w:tr>
      <w:tr w:rsidR="009D1E70" w:rsidRPr="00F00891" w:rsidTr="001204CF">
        <w:trPr>
          <w:jc w:val="center"/>
        </w:trPr>
        <w:tc>
          <w:tcPr>
            <w:tcW w:w="1236"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xml:space="preserve">Linear Array </w:t>
            </w:r>
          </w:p>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xml:space="preserve">HPV </w:t>
            </w:r>
          </w:p>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Genotyping</w:t>
            </w:r>
          </w:p>
        </w:tc>
        <w:tc>
          <w:tcPr>
            <w:tcW w:w="2006"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Roche / Line Blot Assay</w:t>
            </w:r>
          </w:p>
        </w:tc>
        <w:tc>
          <w:tcPr>
            <w:tcW w:w="1078"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HPV DNA</w:t>
            </w:r>
          </w:p>
        </w:tc>
        <w:tc>
          <w:tcPr>
            <w:tcW w:w="1532"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PCR</w:t>
            </w:r>
          </w:p>
        </w:tc>
        <w:tc>
          <w:tcPr>
            <w:tcW w:w="1124"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line blot assay</w:t>
            </w:r>
          </w:p>
        </w:tc>
        <w:tc>
          <w:tcPr>
            <w:tcW w:w="4274"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Multiplex PCR to amplify the polymorphic L1 region of the HPV genome biotinylated PGMY primers and a human β-globin amplicon as reference. The biotin-labeled PCR products hybridize to an array of immobilized oligonucleotide probes specific to different HPV types</w:t>
            </w:r>
          </w:p>
        </w:tc>
        <w:tc>
          <w:tcPr>
            <w:tcW w:w="1980" w:type="dxa"/>
            <w:shd w:val="clear" w:color="auto" w:fill="auto"/>
            <w:vAlign w:val="center"/>
          </w:tcPr>
          <w:p w:rsidR="009D1E70" w:rsidRPr="00F00891" w:rsidRDefault="009D1E70" w:rsidP="001204CF">
            <w:pPr>
              <w:pStyle w:val="StandardWeb"/>
              <w:jc w:val="center"/>
              <w:rPr>
                <w:sz w:val="16"/>
                <w:szCs w:val="16"/>
              </w:rPr>
            </w:pPr>
            <w:r w:rsidRPr="00F00891">
              <w:rPr>
                <w:color w:val="000000"/>
                <w:sz w:val="16"/>
                <w:szCs w:val="16"/>
              </w:rPr>
              <w:t>6, 11, 16 18, 26, 31, 33, 35, 39, 40, 42, 45, 51, 52, 53, 54, 55, 56, 58, 59, 61, 62, 64, 66, 67, 68, 69, 70, 71, 72, 73 (MM9), 81, 82 (MM4), 83 (MM7), 84 (MM8), IS39, and CP6108</w:t>
            </w:r>
          </w:p>
        </w:tc>
        <w:tc>
          <w:tcPr>
            <w:tcW w:w="153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37 (13 high-risk)</w:t>
            </w:r>
          </w:p>
        </w:tc>
        <w:tc>
          <w:tcPr>
            <w:tcW w:w="144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Yes</w:t>
            </w:r>
          </w:p>
        </w:tc>
      </w:tr>
      <w:tr w:rsidR="009D1E70" w:rsidRPr="00F00891" w:rsidTr="001204CF">
        <w:trPr>
          <w:jc w:val="center"/>
        </w:trPr>
        <w:tc>
          <w:tcPr>
            <w:tcW w:w="1236"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xml:space="preserve">INNO-LiPA </w:t>
            </w:r>
          </w:p>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xml:space="preserve">HPV </w:t>
            </w:r>
          </w:p>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xml:space="preserve">Genotyping </w:t>
            </w:r>
          </w:p>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Extra II</w:t>
            </w:r>
          </w:p>
        </w:tc>
        <w:tc>
          <w:tcPr>
            <w:tcW w:w="2006"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Fujirebio / Line Probe Assay (LiPA)</w:t>
            </w:r>
          </w:p>
        </w:tc>
        <w:tc>
          <w:tcPr>
            <w:tcW w:w="1078"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HPV DNA</w:t>
            </w:r>
          </w:p>
        </w:tc>
        <w:tc>
          <w:tcPr>
            <w:tcW w:w="1532"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PCR</w:t>
            </w:r>
          </w:p>
        </w:tc>
        <w:tc>
          <w:tcPr>
            <w:tcW w:w="1124"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line probe assay</w:t>
            </w:r>
          </w:p>
        </w:tc>
        <w:tc>
          <w:tcPr>
            <w:tcW w:w="4274"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Similar to linear array genotyping. SPF10+ primers are used to amplify a 65 bp amplicon of L1.</w:t>
            </w:r>
          </w:p>
        </w:tc>
        <w:tc>
          <w:tcPr>
            <w:tcW w:w="198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 HPV HR: 16, 18, 31,33, 35, 39, 45, 51, 52, 56, 58, 59, 68 - HPV possibly HR: 26, 53, 66, 70, 73, 82 - HPV LR or not classified: 6, 11, 40, 42, 43, 44, 54, 61, 62, 67, 81, 83, 89</w:t>
            </w:r>
          </w:p>
        </w:tc>
        <w:tc>
          <w:tcPr>
            <w:tcW w:w="153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32</w:t>
            </w:r>
          </w:p>
        </w:tc>
        <w:tc>
          <w:tcPr>
            <w:tcW w:w="1440" w:type="dxa"/>
            <w:shd w:val="clear" w:color="auto" w:fill="auto"/>
            <w:vAlign w:val="center"/>
          </w:tcPr>
          <w:p w:rsidR="009D1E70" w:rsidRPr="00F00891" w:rsidRDefault="009D1E70" w:rsidP="001204CF">
            <w:pPr>
              <w:spacing w:line="240" w:lineRule="auto"/>
              <w:jc w:val="center"/>
              <w:rPr>
                <w:rFonts w:ascii="Times New Roman" w:hAnsi="Times New Roman"/>
                <w:sz w:val="16"/>
                <w:szCs w:val="16"/>
                <w:lang w:val="en-US"/>
              </w:rPr>
            </w:pPr>
            <w:r w:rsidRPr="00F00891">
              <w:rPr>
                <w:rFonts w:ascii="Times New Roman" w:hAnsi="Times New Roman"/>
                <w:sz w:val="16"/>
                <w:szCs w:val="16"/>
                <w:lang w:val="en-US"/>
              </w:rPr>
              <w:t>Yes</w:t>
            </w:r>
          </w:p>
        </w:tc>
      </w:tr>
    </w:tbl>
    <w:p w:rsidR="009D1E70" w:rsidRDefault="009D1E70" w:rsidP="009D1E70">
      <w:pPr>
        <w:shd w:val="clear" w:color="auto" w:fill="FCFCFC"/>
        <w:spacing w:after="120" w:line="240" w:lineRule="auto"/>
        <w:jc w:val="center"/>
        <w:rPr>
          <w:rFonts w:ascii="Cambria" w:eastAsia="Times New Roman" w:hAnsi="Cambria"/>
          <w:b/>
          <w:bCs/>
          <w:color w:val="39A956"/>
          <w:sz w:val="24"/>
          <w:szCs w:val="28"/>
          <w:lang w:val="en-US" w:eastAsia="de-CH"/>
        </w:rPr>
      </w:pPr>
      <w:r>
        <w:rPr>
          <w:rFonts w:ascii="Cambria" w:eastAsia="Times New Roman" w:hAnsi="Cambria"/>
          <w:b/>
          <w:bCs/>
          <w:color w:val="39A956"/>
          <w:sz w:val="24"/>
          <w:szCs w:val="28"/>
          <w:lang w:val="en-US" w:eastAsia="de-CH"/>
        </w:rPr>
        <w:t xml:space="preserve"> </w:t>
      </w:r>
    </w:p>
    <w:p w:rsidR="009D1E70" w:rsidRDefault="009D1E70" w:rsidP="009D1E70">
      <w:pPr>
        <w:keepNext/>
        <w:spacing w:after="120" w:line="240" w:lineRule="auto"/>
        <w:outlineLvl w:val="2"/>
        <w:rPr>
          <w:rFonts w:ascii="Cambria" w:eastAsia="Times New Roman" w:hAnsi="Cambria"/>
          <w:b/>
          <w:bCs/>
          <w:color w:val="39A956"/>
          <w:sz w:val="26"/>
          <w:szCs w:val="26"/>
          <w:lang w:val="en-US" w:eastAsia="de-CH"/>
        </w:rPr>
      </w:pPr>
    </w:p>
    <w:p w:rsidR="009D1E70" w:rsidRPr="00354DEB" w:rsidRDefault="009D1E70" w:rsidP="009D1E70">
      <w:pPr>
        <w:spacing w:after="120" w:line="240" w:lineRule="auto"/>
        <w:rPr>
          <w:lang w:val="en-GB"/>
        </w:rPr>
      </w:pPr>
    </w:p>
    <w:p w:rsidR="002C32FA" w:rsidRDefault="009D1E70"/>
    <w:sectPr w:rsidR="002C32FA" w:rsidSect="00A23F77">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70"/>
    <w:rsid w:val="00236D94"/>
    <w:rsid w:val="00582066"/>
    <w:rsid w:val="006F6D06"/>
    <w:rsid w:val="008E025B"/>
    <w:rsid w:val="009D1E70"/>
    <w:rsid w:val="00AE630D"/>
    <w:rsid w:val="00EC44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0E8BA-0C74-4972-A950-9569668B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1E70"/>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D1E70"/>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3687</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 Jappert</dc:creator>
  <cp:keywords/>
  <dc:description/>
  <cp:lastModifiedBy>Ruedi Jappert</cp:lastModifiedBy>
  <cp:revision>1</cp:revision>
  <dcterms:created xsi:type="dcterms:W3CDTF">2018-12-18T15:35:00Z</dcterms:created>
  <dcterms:modified xsi:type="dcterms:W3CDTF">2018-12-18T15:35:00Z</dcterms:modified>
</cp:coreProperties>
</file>