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9C" w:rsidRPr="00D909EC" w:rsidRDefault="00A9189C" w:rsidP="00A9189C">
      <w:pPr>
        <w:shd w:val="clear" w:color="auto" w:fill="FFFFFF"/>
        <w:spacing w:line="480" w:lineRule="auto"/>
        <w:jc w:val="both"/>
        <w:rPr>
          <w:bCs/>
        </w:rPr>
      </w:pPr>
      <w:r>
        <w:rPr>
          <w:rStyle w:val="src1"/>
          <w:b/>
          <w:specVanish w:val="0"/>
        </w:rPr>
        <w:t xml:space="preserve">Supplementary </w:t>
      </w:r>
      <w:r w:rsidRPr="00D13297">
        <w:rPr>
          <w:rStyle w:val="src1"/>
          <w:b/>
          <w:specVanish w:val="0"/>
        </w:rPr>
        <w:t xml:space="preserve">Fig. </w:t>
      </w:r>
      <w:r>
        <w:rPr>
          <w:rStyle w:val="src1"/>
          <w:b/>
          <w:specVanish w:val="0"/>
        </w:rPr>
        <w:t>S2</w:t>
      </w:r>
      <w:r w:rsidRPr="00D13297">
        <w:rPr>
          <w:rStyle w:val="src1"/>
          <w:b/>
          <w:specVanish w:val="0"/>
        </w:rPr>
        <w:t>.</w:t>
      </w:r>
      <w:r w:rsidRPr="00151CAD">
        <w:rPr>
          <w:rStyle w:val="src1"/>
          <w:specVanish w:val="0"/>
        </w:rPr>
        <w:t xml:space="preserve"> </w:t>
      </w:r>
      <w:r w:rsidRPr="00D909EC">
        <w:rPr>
          <w:bCs/>
        </w:rPr>
        <w:t xml:space="preserve">Representative </w:t>
      </w:r>
      <w:r w:rsidR="005B3DD4">
        <w:rPr>
          <w:bCs/>
        </w:rPr>
        <w:t>INNO LiPA Mycobacteria v</w:t>
      </w:r>
      <w:r>
        <w:rPr>
          <w:bCs/>
        </w:rPr>
        <w:t>2 line probe assay (</w:t>
      </w:r>
      <w:r w:rsidRPr="00D909EC">
        <w:rPr>
          <w:bCs/>
        </w:rPr>
        <w:t>LiPA</w:t>
      </w:r>
      <w:r>
        <w:rPr>
          <w:bCs/>
        </w:rPr>
        <w:t>)</w:t>
      </w:r>
      <w:r w:rsidRPr="00D909EC">
        <w:rPr>
          <w:bCs/>
        </w:rPr>
        <w:t xml:space="preserve"> patterns obtained with </w:t>
      </w:r>
      <w:r w:rsidRPr="00D13297">
        <w:rPr>
          <w:bCs/>
        </w:rPr>
        <w:t xml:space="preserve">DNA extracted from </w:t>
      </w:r>
      <w:r>
        <w:rPr>
          <w:bCs/>
        </w:rPr>
        <w:t>mycobacterial growth indicator tube 960 system (MGIT)</w:t>
      </w:r>
      <w:r w:rsidRPr="00D13297">
        <w:rPr>
          <w:bCs/>
        </w:rPr>
        <w:t xml:space="preserve"> cultures </w:t>
      </w:r>
      <w:r w:rsidRPr="00D909EC">
        <w:rPr>
          <w:bCs/>
        </w:rPr>
        <w:t xml:space="preserve">identified as </w:t>
      </w:r>
      <w:r w:rsidRPr="00D909EC">
        <w:rPr>
          <w:bCs/>
          <w:i/>
          <w:iCs/>
        </w:rPr>
        <w:t>M. tuberculosis</w:t>
      </w:r>
      <w:r>
        <w:rPr>
          <w:bCs/>
        </w:rPr>
        <w:t>, (l</w:t>
      </w:r>
      <w:r w:rsidRPr="00D909EC">
        <w:rPr>
          <w:bCs/>
        </w:rPr>
        <w:t>anes MT</w:t>
      </w:r>
      <w:r>
        <w:rPr>
          <w:bCs/>
        </w:rPr>
        <w:t>B</w:t>
      </w:r>
      <w:r w:rsidRPr="00D909EC">
        <w:rPr>
          <w:bCs/>
        </w:rPr>
        <w:t xml:space="preserve">), </w:t>
      </w:r>
      <w:r w:rsidRPr="00D909EC">
        <w:rPr>
          <w:bCs/>
          <w:i/>
          <w:iCs/>
        </w:rPr>
        <w:t>M. kansasii</w:t>
      </w:r>
      <w:r>
        <w:rPr>
          <w:bCs/>
        </w:rPr>
        <w:t xml:space="preserve"> (l</w:t>
      </w:r>
      <w:r w:rsidRPr="00D909EC">
        <w:rPr>
          <w:bCs/>
        </w:rPr>
        <w:t>ane MKA)</w:t>
      </w:r>
      <w:r>
        <w:rPr>
          <w:bCs/>
        </w:rPr>
        <w:t xml:space="preserve">, </w:t>
      </w:r>
      <w:r w:rsidRPr="00D909EC">
        <w:rPr>
          <w:bCs/>
          <w:i/>
          <w:iCs/>
        </w:rPr>
        <w:t>M. avium</w:t>
      </w:r>
      <w:r>
        <w:rPr>
          <w:bCs/>
        </w:rPr>
        <w:t xml:space="preserve"> (l</w:t>
      </w:r>
      <w:r w:rsidRPr="00D909EC">
        <w:rPr>
          <w:bCs/>
        </w:rPr>
        <w:t xml:space="preserve">ane MAV), </w:t>
      </w:r>
      <w:r w:rsidRPr="00D909EC">
        <w:rPr>
          <w:bCs/>
          <w:i/>
          <w:iCs/>
        </w:rPr>
        <w:t>M. intracellulare</w:t>
      </w:r>
      <w:r>
        <w:rPr>
          <w:bCs/>
        </w:rPr>
        <w:t xml:space="preserve"> (l</w:t>
      </w:r>
      <w:r w:rsidRPr="00D909EC">
        <w:rPr>
          <w:bCs/>
        </w:rPr>
        <w:t xml:space="preserve">anes MIN), </w:t>
      </w:r>
      <w:r w:rsidRPr="00D909EC">
        <w:rPr>
          <w:bCs/>
          <w:i/>
          <w:iCs/>
        </w:rPr>
        <w:t>M. fortuitum</w:t>
      </w:r>
      <w:r>
        <w:rPr>
          <w:bCs/>
        </w:rPr>
        <w:t>, (l</w:t>
      </w:r>
      <w:r w:rsidRPr="00D909EC">
        <w:rPr>
          <w:bCs/>
        </w:rPr>
        <w:t xml:space="preserve">ane MFO), </w:t>
      </w:r>
      <w:r w:rsidRPr="00D909EC">
        <w:rPr>
          <w:bCs/>
          <w:i/>
          <w:iCs/>
        </w:rPr>
        <w:t>M. abscessus</w:t>
      </w:r>
      <w:r w:rsidRPr="00D909EC">
        <w:rPr>
          <w:bCs/>
        </w:rPr>
        <w:t xml:space="preserve"> (</w:t>
      </w:r>
      <w:r>
        <w:rPr>
          <w:bCs/>
        </w:rPr>
        <w:t>l</w:t>
      </w:r>
      <w:r w:rsidRPr="00D909EC">
        <w:rPr>
          <w:bCs/>
        </w:rPr>
        <w:t>ane MAB),</w:t>
      </w:r>
      <w:r>
        <w:rPr>
          <w:bCs/>
        </w:rPr>
        <w:t xml:space="preserve"> </w:t>
      </w:r>
      <w:r w:rsidRPr="00D909EC">
        <w:rPr>
          <w:bCs/>
          <w:i/>
          <w:iCs/>
        </w:rPr>
        <w:t xml:space="preserve">M. </w:t>
      </w:r>
      <w:r>
        <w:rPr>
          <w:bCs/>
          <w:i/>
          <w:iCs/>
        </w:rPr>
        <w:t>chelo</w:t>
      </w:r>
      <w:r w:rsidRPr="00D909EC">
        <w:rPr>
          <w:bCs/>
          <w:i/>
          <w:iCs/>
        </w:rPr>
        <w:t>nae</w:t>
      </w:r>
      <w:r>
        <w:rPr>
          <w:bCs/>
        </w:rPr>
        <w:t xml:space="preserve"> (lane MCH</w:t>
      </w:r>
      <w:r w:rsidRPr="00D909EC">
        <w:rPr>
          <w:bCs/>
        </w:rPr>
        <w:t>)</w:t>
      </w:r>
      <w:r>
        <w:rPr>
          <w:bCs/>
        </w:rPr>
        <w:t>,</w:t>
      </w:r>
      <w:r w:rsidRPr="00D909EC">
        <w:rPr>
          <w:bCs/>
        </w:rPr>
        <w:t xml:space="preserve"> </w:t>
      </w:r>
      <w:r w:rsidRPr="00D909EC">
        <w:rPr>
          <w:bCs/>
          <w:i/>
          <w:iCs/>
        </w:rPr>
        <w:t>M. gordonae</w:t>
      </w:r>
      <w:r>
        <w:rPr>
          <w:bCs/>
        </w:rPr>
        <w:t xml:space="preserve"> (l</w:t>
      </w:r>
      <w:r w:rsidRPr="00D909EC">
        <w:rPr>
          <w:bCs/>
        </w:rPr>
        <w:t xml:space="preserve">ane MGO), </w:t>
      </w:r>
      <w:r w:rsidRPr="00D909EC">
        <w:rPr>
          <w:bCs/>
          <w:i/>
          <w:iCs/>
        </w:rPr>
        <w:t>M. lentiflavum</w:t>
      </w:r>
      <w:r w:rsidRPr="00D909EC">
        <w:rPr>
          <w:bCs/>
        </w:rPr>
        <w:t xml:space="preserve"> (</w:t>
      </w:r>
      <w:r>
        <w:rPr>
          <w:bCs/>
        </w:rPr>
        <w:t>l</w:t>
      </w:r>
      <w:r w:rsidRPr="00D909EC">
        <w:rPr>
          <w:bCs/>
        </w:rPr>
        <w:t xml:space="preserve">ane MLE), </w:t>
      </w:r>
      <w:r w:rsidRPr="00D909EC">
        <w:rPr>
          <w:bCs/>
          <w:i/>
          <w:iCs/>
        </w:rPr>
        <w:t>M. immunogenum</w:t>
      </w:r>
      <w:r w:rsidRPr="00D909EC">
        <w:rPr>
          <w:bCs/>
        </w:rPr>
        <w:t xml:space="preserve"> (</w:t>
      </w:r>
      <w:r>
        <w:rPr>
          <w:bCs/>
        </w:rPr>
        <w:t>lane MIM)</w:t>
      </w:r>
      <w:r w:rsidRPr="00D909EC">
        <w:rPr>
          <w:bCs/>
        </w:rPr>
        <w:t xml:space="preserve"> and</w:t>
      </w:r>
      <w:r>
        <w:rPr>
          <w:bCs/>
        </w:rPr>
        <w:t xml:space="preserve"> mixed culture containing </w:t>
      </w:r>
      <w:r w:rsidRPr="00275083">
        <w:rPr>
          <w:bCs/>
          <w:i/>
        </w:rPr>
        <w:t>M. tuberculosis</w:t>
      </w:r>
      <w:r>
        <w:rPr>
          <w:bCs/>
        </w:rPr>
        <w:t xml:space="preserve"> and </w:t>
      </w:r>
      <w:r w:rsidRPr="00275083">
        <w:rPr>
          <w:bCs/>
          <w:i/>
        </w:rPr>
        <w:t>M. fortuitum</w:t>
      </w:r>
      <w:r>
        <w:rPr>
          <w:bCs/>
        </w:rPr>
        <w:t xml:space="preserve"> (lane MTB + MFO)</w:t>
      </w:r>
      <w:r w:rsidRPr="00D909EC">
        <w:rPr>
          <w:bCs/>
        </w:rPr>
        <w:t xml:space="preserve">. </w:t>
      </w:r>
      <w:r w:rsidR="00AC0E0B">
        <w:rPr>
          <w:bCs/>
        </w:rPr>
        <w:t xml:space="preserve">The pattern obtained from control (no DNA) is also shown (lane Blank). </w:t>
      </w:r>
      <w:bookmarkStart w:id="0" w:name="_GoBack"/>
      <w:bookmarkEnd w:id="0"/>
      <w:r w:rsidRPr="00D909EC">
        <w:rPr>
          <w:bCs/>
        </w:rPr>
        <w:t xml:space="preserve">Arrows 1 and 2 mark the marker line and the conjugate control, respectively. Arrow 3 </w:t>
      </w:r>
      <w:r>
        <w:rPr>
          <w:bCs/>
        </w:rPr>
        <w:t>indicates p</w:t>
      </w:r>
      <w:r w:rsidRPr="00D909EC">
        <w:rPr>
          <w:bCs/>
        </w:rPr>
        <w:t>robe</w:t>
      </w:r>
      <w:r>
        <w:rPr>
          <w:bCs/>
        </w:rPr>
        <w:t xml:space="preserve"> 1 which</w:t>
      </w:r>
      <w:r w:rsidRPr="00D909EC">
        <w:rPr>
          <w:bCs/>
        </w:rPr>
        <w:t xml:space="preserve"> reacts with all </w:t>
      </w:r>
      <w:r w:rsidRPr="00D909EC">
        <w:rPr>
          <w:bCs/>
          <w:i/>
          <w:iCs/>
        </w:rPr>
        <w:t>Mycobacterium</w:t>
      </w:r>
      <w:r w:rsidRPr="00D909EC">
        <w:rPr>
          <w:bCs/>
        </w:rPr>
        <w:t xml:space="preserve"> species. </w:t>
      </w:r>
      <w:r>
        <w:rPr>
          <w:bCs/>
        </w:rPr>
        <w:t xml:space="preserve">Other probes (not marked) react with different </w:t>
      </w:r>
      <w:r w:rsidRPr="00275083">
        <w:rPr>
          <w:bCs/>
          <w:i/>
        </w:rPr>
        <w:t>Mycobacterium</w:t>
      </w:r>
      <w:r>
        <w:rPr>
          <w:bCs/>
        </w:rPr>
        <w:t xml:space="preserve"> species/species complex</w:t>
      </w:r>
      <w:r w:rsidR="005B3DD4">
        <w:rPr>
          <w:bCs/>
        </w:rPr>
        <w:t xml:space="preserve"> isolates</w:t>
      </w:r>
      <w:r w:rsidRPr="00D909EC">
        <w:rPr>
          <w:bCs/>
        </w:rPr>
        <w:t>.</w:t>
      </w:r>
    </w:p>
    <w:p w:rsidR="00042173" w:rsidRDefault="00042173">
      <w:pPr>
        <w:spacing w:after="200" w:line="276" w:lineRule="auto"/>
      </w:pPr>
      <w:r>
        <w:br w:type="page"/>
      </w:r>
    </w:p>
    <w:p w:rsidR="00B0426C" w:rsidRDefault="00042173">
      <w:r>
        <w:rPr>
          <w:noProof/>
          <w:lang w:eastAsia="en-US"/>
        </w:rPr>
        <w:lastRenderedPageBreak/>
        <w:drawing>
          <wp:inline distT="0" distB="0" distL="0" distR="0">
            <wp:extent cx="54864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S2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26C" w:rsidSect="00842FE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1F" w:rsidRDefault="000A1E1F">
      <w:r>
        <w:separator/>
      </w:r>
    </w:p>
  </w:endnote>
  <w:endnote w:type="continuationSeparator" w:id="0">
    <w:p w:rsidR="000A1E1F" w:rsidRDefault="000A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611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16C" w:rsidRDefault="00A918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E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16C" w:rsidRDefault="000A1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1F" w:rsidRDefault="000A1E1F">
      <w:r>
        <w:separator/>
      </w:r>
    </w:p>
  </w:footnote>
  <w:footnote w:type="continuationSeparator" w:id="0">
    <w:p w:rsidR="000A1E1F" w:rsidRDefault="000A1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9C"/>
    <w:rsid w:val="00042173"/>
    <w:rsid w:val="000A1E1F"/>
    <w:rsid w:val="005B3DD4"/>
    <w:rsid w:val="007E6E82"/>
    <w:rsid w:val="009F2B77"/>
    <w:rsid w:val="00A9189C"/>
    <w:rsid w:val="00AC0E0B"/>
    <w:rsid w:val="00B0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1CAF"/>
  <w15:docId w15:val="{0598D713-0DEC-4AE3-84BE-53CF9E8D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9C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rc1">
    <w:name w:val="src1"/>
    <w:rsid w:val="00A9189C"/>
    <w:rPr>
      <w:vanish w:val="0"/>
      <w:webHidden w:val="0"/>
      <w:specVanish w:val="0"/>
    </w:rPr>
  </w:style>
  <w:style w:type="character" w:styleId="LineNumber">
    <w:name w:val="line number"/>
    <w:basedOn w:val="DefaultParagraphFont"/>
    <w:uiPriority w:val="99"/>
    <w:semiHidden/>
    <w:unhideWhenUsed/>
    <w:rsid w:val="00A9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Renu</dc:creator>
  <cp:lastModifiedBy>Suhail Ahmad</cp:lastModifiedBy>
  <cp:revision>5</cp:revision>
  <dcterms:created xsi:type="dcterms:W3CDTF">2018-11-13T16:33:00Z</dcterms:created>
  <dcterms:modified xsi:type="dcterms:W3CDTF">2018-11-20T05:22:00Z</dcterms:modified>
</cp:coreProperties>
</file>