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CF5D4" w14:textId="0F61B5AB" w:rsidR="00975F09" w:rsidRPr="00810932" w:rsidRDefault="00975F09" w:rsidP="007E54B8">
      <w:pPr>
        <w:spacing w:after="0" w:line="480" w:lineRule="auto"/>
        <w:jc w:val="center"/>
        <w:rPr>
          <w:rStyle w:val="SchwacheHervorhebung"/>
          <w:rFonts w:cs="Times New Roman"/>
          <w:b/>
          <w:i w:val="0"/>
          <w:iCs w:val="0"/>
          <w:color w:val="auto"/>
          <w:sz w:val="28"/>
          <w:szCs w:val="28"/>
          <w:lang w:val="en-US"/>
        </w:rPr>
      </w:pPr>
      <w:r w:rsidRPr="00810932">
        <w:rPr>
          <w:rStyle w:val="SchwacheHervorhebung"/>
          <w:rFonts w:cs="Times New Roman"/>
          <w:b/>
          <w:i w:val="0"/>
          <w:iCs w:val="0"/>
          <w:color w:val="auto"/>
          <w:sz w:val="28"/>
          <w:szCs w:val="28"/>
          <w:lang w:val="en-US"/>
        </w:rPr>
        <w:t xml:space="preserve">Comparison of 24-hour and office pulse wave velocity for prediction of mortality in </w:t>
      </w:r>
      <w:r w:rsidR="00B234DB" w:rsidRPr="00810932">
        <w:rPr>
          <w:rStyle w:val="SchwacheHervorhebung"/>
          <w:rFonts w:cs="Times New Roman"/>
          <w:b/>
          <w:i w:val="0"/>
          <w:iCs w:val="0"/>
          <w:color w:val="auto"/>
          <w:sz w:val="28"/>
          <w:szCs w:val="28"/>
          <w:lang w:val="en-US"/>
        </w:rPr>
        <w:t>hemodialysis</w:t>
      </w:r>
      <w:r w:rsidRPr="00810932">
        <w:rPr>
          <w:rStyle w:val="SchwacheHervorhebung"/>
          <w:rFonts w:cs="Times New Roman"/>
          <w:b/>
          <w:i w:val="0"/>
          <w:iCs w:val="0"/>
          <w:color w:val="auto"/>
          <w:sz w:val="28"/>
          <w:szCs w:val="28"/>
          <w:lang w:val="en-US"/>
        </w:rPr>
        <w:t xml:space="preserve"> patients</w:t>
      </w:r>
    </w:p>
    <w:p w14:paraId="3F501C39" w14:textId="5D790163" w:rsidR="00975F09" w:rsidRPr="00810932" w:rsidRDefault="00265183" w:rsidP="00975F09">
      <w:pPr>
        <w:spacing w:after="0" w:line="480" w:lineRule="auto"/>
        <w:jc w:val="center"/>
        <w:rPr>
          <w:rStyle w:val="SchwacheHervorhebung"/>
          <w:rFonts w:cs="Times New Roman"/>
          <w:b/>
          <w:i w:val="0"/>
          <w:iCs w:val="0"/>
          <w:color w:val="auto"/>
          <w:sz w:val="28"/>
          <w:szCs w:val="28"/>
          <w:lang w:val="en-US"/>
        </w:rPr>
      </w:pPr>
      <w:r w:rsidRPr="00810932">
        <w:rPr>
          <w:rStyle w:val="SchwacheHervorhebung"/>
          <w:rFonts w:cs="Times New Roman"/>
          <w:b/>
          <w:i w:val="0"/>
          <w:iCs w:val="0"/>
          <w:color w:val="auto"/>
          <w:sz w:val="28"/>
          <w:szCs w:val="28"/>
          <w:lang w:val="en-US"/>
        </w:rPr>
        <w:t>Supplementary</w:t>
      </w:r>
      <w:r w:rsidR="00975F09" w:rsidRPr="00810932">
        <w:rPr>
          <w:rStyle w:val="SchwacheHervorhebung"/>
          <w:rFonts w:cs="Times New Roman"/>
          <w:b/>
          <w:i w:val="0"/>
          <w:iCs w:val="0"/>
          <w:color w:val="auto"/>
          <w:sz w:val="28"/>
          <w:szCs w:val="28"/>
          <w:lang w:val="en-US"/>
        </w:rPr>
        <w:t xml:space="preserve"> Material</w:t>
      </w:r>
    </w:p>
    <w:p w14:paraId="693F7837" w14:textId="77777777" w:rsidR="00975F09" w:rsidRPr="00810932" w:rsidRDefault="00975F09" w:rsidP="00975F09">
      <w:pPr>
        <w:spacing w:after="0" w:line="480" w:lineRule="auto"/>
        <w:jc w:val="both"/>
        <w:rPr>
          <w:rStyle w:val="SchwacheHervorhebung"/>
          <w:rFonts w:cs="Times New Roman"/>
          <w:i w:val="0"/>
          <w:color w:val="auto"/>
          <w:lang w:val="en-US"/>
        </w:rPr>
      </w:pPr>
    </w:p>
    <w:p w14:paraId="4190D08C" w14:textId="77777777" w:rsidR="00BE5AFF" w:rsidRPr="00810932" w:rsidRDefault="00BE5AFF" w:rsidP="00BE5AFF">
      <w:pPr>
        <w:spacing w:after="0" w:line="480" w:lineRule="auto"/>
        <w:jc w:val="both"/>
        <w:rPr>
          <w:rStyle w:val="SchwacheHervorhebung"/>
          <w:rFonts w:cs="Times New Roman"/>
          <w:i w:val="0"/>
          <w:color w:val="auto"/>
          <w:lang w:val="en-US"/>
        </w:rPr>
      </w:pPr>
      <w:r w:rsidRPr="00810932">
        <w:rPr>
          <w:rStyle w:val="SchwacheHervorhebung"/>
          <w:rFonts w:cs="Times New Roman"/>
          <w:i w:val="0"/>
          <w:color w:val="auto"/>
          <w:lang w:val="en-US"/>
        </w:rPr>
        <w:t>Julia Matschkal</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Christopher C. Mayer</w:t>
      </w:r>
      <w:r w:rsidRPr="00810932">
        <w:rPr>
          <w:rStyle w:val="SchwacheHervorhebung"/>
          <w:rFonts w:cs="Times New Roman"/>
          <w:i w:val="0"/>
          <w:color w:val="auto"/>
          <w:vertAlign w:val="superscript"/>
          <w:lang w:val="en-US"/>
        </w:rPr>
        <w:t>2,3*</w:t>
      </w:r>
      <w:r w:rsidRPr="00810932">
        <w:rPr>
          <w:rStyle w:val="SchwacheHervorhebung"/>
          <w:rFonts w:cs="Times New Roman"/>
          <w:i w:val="0"/>
          <w:color w:val="auto"/>
          <w:lang w:val="en-US"/>
        </w:rPr>
        <w:t xml:space="preserve">, </w:t>
      </w:r>
      <w:proofErr w:type="spellStart"/>
      <w:r w:rsidRPr="00810932">
        <w:rPr>
          <w:rStyle w:val="SchwacheHervorhebung"/>
          <w:rFonts w:cs="Times New Roman"/>
          <w:i w:val="0"/>
          <w:color w:val="auto"/>
          <w:lang w:val="en-US"/>
        </w:rPr>
        <w:t>Pantelis</w:t>
      </w:r>
      <w:proofErr w:type="spellEnd"/>
      <w:r w:rsidRPr="00810932">
        <w:rPr>
          <w:rStyle w:val="SchwacheHervorhebung"/>
          <w:rFonts w:cs="Times New Roman"/>
          <w:i w:val="0"/>
          <w:color w:val="auto"/>
          <w:lang w:val="en-US"/>
        </w:rPr>
        <w:t xml:space="preserve"> A. Sarafidis</w:t>
      </w:r>
      <w:r w:rsidRPr="00810932">
        <w:rPr>
          <w:rStyle w:val="SchwacheHervorhebung"/>
          <w:rFonts w:cs="Times New Roman"/>
          <w:i w:val="0"/>
          <w:color w:val="auto"/>
          <w:vertAlign w:val="superscript"/>
          <w:lang w:val="en-US"/>
        </w:rPr>
        <w:t>4</w:t>
      </w:r>
      <w:r w:rsidRPr="00810932">
        <w:rPr>
          <w:rStyle w:val="SchwacheHervorhebung"/>
          <w:rFonts w:cs="Times New Roman"/>
          <w:i w:val="0"/>
          <w:color w:val="auto"/>
          <w:lang w:val="en-US"/>
        </w:rPr>
        <w:t>, Georg Lorenz</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Matthias C. Braunisch</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Roman Günthner</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Susanne Angermann</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Dominik Steubl</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Stephan Kemmner</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xml:space="preserve">, </w:t>
      </w:r>
      <w:proofErr w:type="spellStart"/>
      <w:r w:rsidRPr="00810932">
        <w:rPr>
          <w:rStyle w:val="SchwacheHervorhebung"/>
          <w:rFonts w:cs="Times New Roman"/>
          <w:i w:val="0"/>
          <w:color w:val="auto"/>
          <w:lang w:val="en-US"/>
        </w:rPr>
        <w:t>Quirin</w:t>
      </w:r>
      <w:proofErr w:type="spellEnd"/>
      <w:r w:rsidRPr="00810932">
        <w:rPr>
          <w:rStyle w:val="SchwacheHervorhebung"/>
          <w:rFonts w:cs="Times New Roman"/>
          <w:i w:val="0"/>
          <w:color w:val="auto"/>
          <w:lang w:val="en-US"/>
        </w:rPr>
        <w:t xml:space="preserve"> Bachmann</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Christine Hauser</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Louisa Nerl</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Marcus Baumann</w:t>
      </w:r>
      <w:r w:rsidRPr="00810932">
        <w:rPr>
          <w:rStyle w:val="SchwacheHervorhebung"/>
          <w:rFonts w:cs="Times New Roman"/>
          <w:i w:val="0"/>
          <w:color w:val="auto"/>
          <w:vertAlign w:val="superscript"/>
          <w:lang w:val="en-US"/>
        </w:rPr>
        <w:t>5</w:t>
      </w:r>
      <w:r w:rsidRPr="00810932">
        <w:rPr>
          <w:rStyle w:val="SchwacheHervorhebung"/>
          <w:rFonts w:cs="Times New Roman"/>
          <w:i w:val="0"/>
          <w:color w:val="auto"/>
          <w:lang w:val="en-US"/>
        </w:rPr>
        <w:t>, Johannes F. Mann</w:t>
      </w:r>
      <w:r w:rsidRPr="00810932">
        <w:rPr>
          <w:rStyle w:val="SchwacheHervorhebung"/>
          <w:rFonts w:cs="Times New Roman"/>
          <w:i w:val="0"/>
          <w:color w:val="auto"/>
          <w:vertAlign w:val="superscript"/>
          <w:lang w:val="en-US"/>
        </w:rPr>
        <w:t>6</w:t>
      </w:r>
      <w:r w:rsidRPr="00810932">
        <w:rPr>
          <w:rStyle w:val="SchwacheHervorhebung"/>
          <w:rFonts w:cs="Times New Roman"/>
          <w:i w:val="0"/>
          <w:color w:val="auto"/>
          <w:lang w:val="en-US"/>
        </w:rPr>
        <w:t>, Philipp Moog</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Claudius Küchle</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Lutz Renders</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Uwe Heemann</w:t>
      </w:r>
      <w:r w:rsidRPr="00810932">
        <w:rPr>
          <w:rStyle w:val="SchwacheHervorhebung"/>
          <w:rFonts w:cs="Times New Roman"/>
          <w:i w:val="0"/>
          <w:color w:val="auto"/>
          <w:vertAlign w:val="superscript"/>
          <w:lang w:val="en-US"/>
        </w:rPr>
        <w:t xml:space="preserve">1, </w:t>
      </w:r>
      <w:r w:rsidRPr="00810932">
        <w:rPr>
          <w:rStyle w:val="SchwacheHervorhebung"/>
          <w:rFonts w:cs="Times New Roman"/>
          <w:i w:val="0"/>
          <w:color w:val="auto"/>
          <w:lang w:val="en-US"/>
        </w:rPr>
        <w:t>Siegfried Wassertheurer</w:t>
      </w:r>
      <w:r w:rsidRPr="00810932">
        <w:rPr>
          <w:rStyle w:val="SchwacheHervorhebung"/>
          <w:rFonts w:cs="Times New Roman"/>
          <w:i w:val="0"/>
          <w:color w:val="auto"/>
          <w:vertAlign w:val="superscript"/>
          <w:lang w:val="en-US"/>
        </w:rPr>
        <w:t>2,3</w:t>
      </w:r>
      <w:r w:rsidRPr="00810932">
        <w:rPr>
          <w:rStyle w:val="SchwacheHervorhebung"/>
          <w:rFonts w:cs="Times New Roman"/>
          <w:i w:val="0"/>
          <w:color w:val="auto"/>
          <w:lang w:val="en-US"/>
        </w:rPr>
        <w:t xml:space="preserve"> and Christoph Schmaderer</w:t>
      </w:r>
      <w:r w:rsidRPr="00810932">
        <w:rPr>
          <w:rStyle w:val="SchwacheHervorhebung"/>
          <w:rFonts w:cs="Times New Roman"/>
          <w:i w:val="0"/>
          <w:color w:val="auto"/>
          <w:vertAlign w:val="superscript"/>
          <w:lang w:val="en-US"/>
        </w:rPr>
        <w:t>1</w:t>
      </w:r>
      <w:r w:rsidRPr="00810932">
        <w:rPr>
          <w:rStyle w:val="SchwacheHervorhebung"/>
          <w:rFonts w:cs="Times New Roman"/>
          <w:i w:val="0"/>
          <w:color w:val="auto"/>
          <w:lang w:val="en-US"/>
        </w:rPr>
        <w:t xml:space="preserve"> </w:t>
      </w:r>
    </w:p>
    <w:p w14:paraId="6B9D5AA8" w14:textId="77777777" w:rsidR="00BE5AFF" w:rsidRPr="00810932" w:rsidRDefault="00BE5AFF" w:rsidP="00BE5AFF">
      <w:pPr>
        <w:spacing w:after="0" w:line="480" w:lineRule="auto"/>
        <w:jc w:val="both"/>
        <w:rPr>
          <w:rStyle w:val="SchwacheHervorhebung"/>
          <w:rFonts w:cs="Times New Roman"/>
          <w:i w:val="0"/>
          <w:color w:val="auto"/>
          <w:lang w:val="en-US"/>
        </w:rPr>
      </w:pPr>
    </w:p>
    <w:p w14:paraId="0EABCA08" w14:textId="77777777" w:rsidR="00BE5AFF" w:rsidRPr="00810932" w:rsidRDefault="00BE5AFF" w:rsidP="00BE5AFF">
      <w:pPr>
        <w:spacing w:after="0" w:line="480" w:lineRule="auto"/>
        <w:jc w:val="both"/>
        <w:rPr>
          <w:rStyle w:val="SchwacheHervorhebung"/>
          <w:rFonts w:cs="Times New Roman"/>
          <w:i w:val="0"/>
          <w:color w:val="auto"/>
          <w:lang w:val="en-US"/>
        </w:rPr>
      </w:pPr>
      <w:r w:rsidRPr="00810932">
        <w:rPr>
          <w:rStyle w:val="SchwacheHervorhebung"/>
          <w:rFonts w:cs="Times New Roman"/>
          <w:i w:val="0"/>
          <w:color w:val="auto"/>
          <w:vertAlign w:val="superscript"/>
          <w:lang w:val="en-US"/>
        </w:rPr>
        <w:t xml:space="preserve">1 </w:t>
      </w:r>
      <w:r w:rsidRPr="00810932">
        <w:rPr>
          <w:rStyle w:val="SchwacheHervorhebung"/>
          <w:rFonts w:cs="Times New Roman"/>
          <w:i w:val="0"/>
          <w:color w:val="auto"/>
          <w:lang w:val="en-US"/>
        </w:rPr>
        <w:t xml:space="preserve">Department of Nephrology, </w:t>
      </w:r>
      <w:proofErr w:type="spellStart"/>
      <w:r w:rsidRPr="00810932">
        <w:rPr>
          <w:rStyle w:val="SchwacheHervorhebung"/>
          <w:rFonts w:cs="Times New Roman"/>
          <w:i w:val="0"/>
          <w:color w:val="auto"/>
          <w:lang w:val="en-US"/>
        </w:rPr>
        <w:t>Klinikum</w:t>
      </w:r>
      <w:proofErr w:type="spellEnd"/>
      <w:r w:rsidRPr="00810932">
        <w:rPr>
          <w:rStyle w:val="SchwacheHervorhebung"/>
          <w:rFonts w:cs="Times New Roman"/>
          <w:i w:val="0"/>
          <w:color w:val="auto"/>
          <w:lang w:val="en-US"/>
        </w:rPr>
        <w:t xml:space="preserve"> </w:t>
      </w:r>
      <w:proofErr w:type="spellStart"/>
      <w:r w:rsidRPr="00810932">
        <w:rPr>
          <w:rStyle w:val="SchwacheHervorhebung"/>
          <w:rFonts w:cs="Times New Roman"/>
          <w:i w:val="0"/>
          <w:color w:val="auto"/>
          <w:lang w:val="en-US"/>
        </w:rPr>
        <w:t>rechts</w:t>
      </w:r>
      <w:proofErr w:type="spellEnd"/>
      <w:r w:rsidRPr="00810932">
        <w:rPr>
          <w:rStyle w:val="SchwacheHervorhebung"/>
          <w:rFonts w:cs="Times New Roman"/>
          <w:i w:val="0"/>
          <w:color w:val="auto"/>
          <w:lang w:val="en-US"/>
        </w:rPr>
        <w:t xml:space="preserve"> der </w:t>
      </w:r>
      <w:proofErr w:type="spellStart"/>
      <w:r w:rsidRPr="00810932">
        <w:rPr>
          <w:rStyle w:val="SchwacheHervorhebung"/>
          <w:rFonts w:cs="Times New Roman"/>
          <w:i w:val="0"/>
          <w:color w:val="auto"/>
          <w:lang w:val="en-US"/>
        </w:rPr>
        <w:t>Isar</w:t>
      </w:r>
      <w:proofErr w:type="spellEnd"/>
      <w:r w:rsidRPr="00810932">
        <w:rPr>
          <w:rStyle w:val="SchwacheHervorhebung"/>
          <w:rFonts w:cs="Times New Roman"/>
          <w:i w:val="0"/>
          <w:color w:val="auto"/>
          <w:lang w:val="en-US"/>
        </w:rPr>
        <w:t>, Technical University Munich, Munich, Germany</w:t>
      </w:r>
    </w:p>
    <w:p w14:paraId="6F725711" w14:textId="77777777" w:rsidR="00BE5AFF" w:rsidRPr="00810932" w:rsidRDefault="00BE5AFF" w:rsidP="00BE5AFF">
      <w:pPr>
        <w:spacing w:after="0" w:line="480" w:lineRule="auto"/>
        <w:ind w:left="142" w:hanging="142"/>
        <w:jc w:val="both"/>
        <w:rPr>
          <w:rStyle w:val="SchwacheHervorhebung"/>
          <w:rFonts w:cs="Times New Roman"/>
          <w:i w:val="0"/>
          <w:color w:val="auto"/>
          <w:lang w:val="en-US"/>
        </w:rPr>
      </w:pPr>
      <w:r w:rsidRPr="00810932">
        <w:rPr>
          <w:rStyle w:val="SchwacheHervorhebung"/>
          <w:rFonts w:cs="Times New Roman"/>
          <w:i w:val="0"/>
          <w:color w:val="auto"/>
          <w:vertAlign w:val="superscript"/>
          <w:lang w:val="en-US"/>
        </w:rPr>
        <w:t xml:space="preserve">2 </w:t>
      </w:r>
      <w:r w:rsidRPr="00810932">
        <w:rPr>
          <w:rStyle w:val="SchwacheHervorhebung"/>
          <w:rFonts w:cs="Times New Roman"/>
          <w:i w:val="0"/>
          <w:color w:val="auto"/>
          <w:lang w:val="en-US"/>
        </w:rPr>
        <w:t xml:space="preserve">Center for Health &amp; </w:t>
      </w:r>
      <w:proofErr w:type="spellStart"/>
      <w:r w:rsidRPr="00810932">
        <w:rPr>
          <w:rStyle w:val="SchwacheHervorhebung"/>
          <w:rFonts w:cs="Times New Roman"/>
          <w:i w:val="0"/>
          <w:color w:val="auto"/>
          <w:lang w:val="en-US"/>
        </w:rPr>
        <w:t>Bioresources</w:t>
      </w:r>
      <w:proofErr w:type="spellEnd"/>
      <w:r w:rsidRPr="00810932">
        <w:rPr>
          <w:rStyle w:val="SchwacheHervorhebung"/>
          <w:rFonts w:cs="Times New Roman"/>
          <w:i w:val="0"/>
          <w:color w:val="auto"/>
          <w:lang w:val="en-US"/>
        </w:rPr>
        <w:t>, Biomedical Systems, AIT Austrian Institute of Technology, Vienna, Austria</w:t>
      </w:r>
    </w:p>
    <w:p w14:paraId="10830FEE" w14:textId="77777777" w:rsidR="00BE5AFF" w:rsidRPr="00810932" w:rsidRDefault="00BE5AFF" w:rsidP="00BE5AFF">
      <w:pPr>
        <w:spacing w:after="0" w:line="480" w:lineRule="auto"/>
        <w:ind w:left="142" w:hanging="142"/>
        <w:jc w:val="both"/>
        <w:rPr>
          <w:rStyle w:val="SchwacheHervorhebung"/>
          <w:rFonts w:cs="Times New Roman"/>
          <w:i w:val="0"/>
          <w:color w:val="auto"/>
          <w:lang w:val="en-US"/>
        </w:rPr>
      </w:pPr>
      <w:r w:rsidRPr="00810932">
        <w:rPr>
          <w:rStyle w:val="SchwacheHervorhebung"/>
          <w:rFonts w:cs="Times New Roman"/>
          <w:i w:val="0"/>
          <w:color w:val="auto"/>
          <w:vertAlign w:val="superscript"/>
          <w:lang w:val="en-US"/>
        </w:rPr>
        <w:t xml:space="preserve">3 </w:t>
      </w:r>
      <w:r w:rsidRPr="00810932">
        <w:rPr>
          <w:rStyle w:val="SchwacheHervorhebung"/>
          <w:rFonts w:cs="Times New Roman"/>
          <w:i w:val="0"/>
          <w:color w:val="auto"/>
          <w:lang w:val="en-US"/>
        </w:rPr>
        <w:t>Institute for Analysis and Scientific Computing, Vienna University of Technology, Vienna, Austria</w:t>
      </w:r>
    </w:p>
    <w:p w14:paraId="0F06CE8B" w14:textId="77777777" w:rsidR="00BE5AFF" w:rsidRPr="00810932" w:rsidRDefault="00BE5AFF" w:rsidP="00BE5AFF">
      <w:pPr>
        <w:spacing w:after="0" w:line="480" w:lineRule="auto"/>
        <w:ind w:left="142" w:hanging="142"/>
        <w:jc w:val="both"/>
        <w:rPr>
          <w:rStyle w:val="SchwacheHervorhebung"/>
          <w:rFonts w:cs="Times New Roman"/>
          <w:i w:val="0"/>
          <w:color w:val="auto"/>
          <w:lang w:val="en-US"/>
        </w:rPr>
      </w:pPr>
      <w:r w:rsidRPr="00810932">
        <w:rPr>
          <w:rStyle w:val="SchwacheHervorhebung"/>
          <w:rFonts w:cs="Times New Roman"/>
          <w:i w:val="0"/>
          <w:color w:val="auto"/>
          <w:vertAlign w:val="superscript"/>
          <w:lang w:val="en-US"/>
        </w:rPr>
        <w:t xml:space="preserve">4 </w:t>
      </w:r>
      <w:r w:rsidRPr="00810932">
        <w:rPr>
          <w:rStyle w:val="SchwacheHervorhebung"/>
          <w:rFonts w:cs="Times New Roman"/>
          <w:i w:val="0"/>
          <w:color w:val="auto"/>
          <w:lang w:val="en-US"/>
        </w:rPr>
        <w:t xml:space="preserve">Department of Nephrology, </w:t>
      </w:r>
      <w:proofErr w:type="spellStart"/>
      <w:r w:rsidRPr="00810932">
        <w:rPr>
          <w:rStyle w:val="SchwacheHervorhebung"/>
          <w:rFonts w:cs="Times New Roman"/>
          <w:i w:val="0"/>
          <w:color w:val="auto"/>
          <w:lang w:val="en-US"/>
        </w:rPr>
        <w:t>Hippokration</w:t>
      </w:r>
      <w:proofErr w:type="spellEnd"/>
      <w:r w:rsidRPr="00810932">
        <w:rPr>
          <w:rStyle w:val="SchwacheHervorhebung"/>
          <w:rFonts w:cs="Times New Roman"/>
          <w:i w:val="0"/>
          <w:color w:val="auto"/>
          <w:lang w:val="en-US"/>
        </w:rPr>
        <w:t xml:space="preserve"> Hospital, Aristotle University of Thessaloniki, Thessaloniki, Greece</w:t>
      </w:r>
    </w:p>
    <w:p w14:paraId="132E5D00" w14:textId="77777777" w:rsidR="00BE5AFF" w:rsidRPr="00810932" w:rsidRDefault="00BE5AFF" w:rsidP="00BE5AFF">
      <w:pPr>
        <w:spacing w:after="0" w:line="480" w:lineRule="auto"/>
        <w:jc w:val="both"/>
        <w:rPr>
          <w:rStyle w:val="SchwacheHervorhebung"/>
          <w:rFonts w:cs="Times New Roman"/>
          <w:i w:val="0"/>
          <w:color w:val="auto"/>
          <w:lang w:val="en-US"/>
        </w:rPr>
      </w:pPr>
      <w:r w:rsidRPr="00810932">
        <w:rPr>
          <w:rStyle w:val="SchwacheHervorhebung"/>
          <w:rFonts w:cs="Times New Roman"/>
          <w:i w:val="0"/>
          <w:color w:val="auto"/>
          <w:vertAlign w:val="superscript"/>
          <w:lang w:val="en-US"/>
        </w:rPr>
        <w:t xml:space="preserve">5 </w:t>
      </w:r>
      <w:r w:rsidRPr="00810932">
        <w:rPr>
          <w:rStyle w:val="SchwacheHervorhebung"/>
          <w:rFonts w:cs="Times New Roman"/>
          <w:i w:val="0"/>
          <w:color w:val="auto"/>
          <w:lang w:val="en-US"/>
        </w:rPr>
        <w:t xml:space="preserve">Department of Nephrology, </w:t>
      </w:r>
      <w:proofErr w:type="spellStart"/>
      <w:r w:rsidRPr="00810932">
        <w:rPr>
          <w:rStyle w:val="SchwacheHervorhebung"/>
          <w:rFonts w:cs="Times New Roman"/>
          <w:i w:val="0"/>
          <w:color w:val="auto"/>
          <w:lang w:val="en-US"/>
        </w:rPr>
        <w:t>Internistische</w:t>
      </w:r>
      <w:proofErr w:type="spellEnd"/>
      <w:r w:rsidRPr="00810932">
        <w:rPr>
          <w:rStyle w:val="SchwacheHervorhebung"/>
          <w:rFonts w:cs="Times New Roman"/>
          <w:i w:val="0"/>
          <w:color w:val="auto"/>
          <w:lang w:val="en-US"/>
        </w:rPr>
        <w:t xml:space="preserve"> </w:t>
      </w:r>
      <w:proofErr w:type="spellStart"/>
      <w:r w:rsidRPr="00810932">
        <w:rPr>
          <w:rStyle w:val="SchwacheHervorhebung"/>
          <w:rFonts w:cs="Times New Roman"/>
          <w:i w:val="0"/>
          <w:color w:val="auto"/>
          <w:lang w:val="en-US"/>
        </w:rPr>
        <w:t>Fachklinik</w:t>
      </w:r>
      <w:proofErr w:type="spellEnd"/>
      <w:r w:rsidRPr="00810932">
        <w:rPr>
          <w:rStyle w:val="SchwacheHervorhebung"/>
          <w:rFonts w:cs="Times New Roman"/>
          <w:i w:val="0"/>
          <w:color w:val="auto"/>
          <w:lang w:val="en-US"/>
        </w:rPr>
        <w:t xml:space="preserve"> Dr. Steger, Nuremberg, Germany </w:t>
      </w:r>
    </w:p>
    <w:p w14:paraId="74B28CCF" w14:textId="77777777" w:rsidR="00BE5AFF" w:rsidRPr="00810932" w:rsidRDefault="00BE5AFF" w:rsidP="00BE5AFF">
      <w:pPr>
        <w:spacing w:after="0" w:line="480" w:lineRule="auto"/>
        <w:jc w:val="both"/>
        <w:rPr>
          <w:rStyle w:val="SchwacheHervorhebung"/>
          <w:rFonts w:cs="Times New Roman"/>
          <w:i w:val="0"/>
          <w:color w:val="auto"/>
          <w:lang w:val="en-US"/>
        </w:rPr>
      </w:pPr>
      <w:r w:rsidRPr="00810932">
        <w:rPr>
          <w:rStyle w:val="SchwacheHervorhebung"/>
          <w:rFonts w:cs="Times New Roman"/>
          <w:i w:val="0"/>
          <w:color w:val="auto"/>
          <w:vertAlign w:val="superscript"/>
          <w:lang w:val="en-US"/>
        </w:rPr>
        <w:t xml:space="preserve">6 </w:t>
      </w:r>
      <w:proofErr w:type="spellStart"/>
      <w:r w:rsidRPr="00810932">
        <w:rPr>
          <w:rStyle w:val="SchwacheHervorhebung"/>
          <w:rFonts w:cs="Times New Roman"/>
          <w:i w:val="0"/>
          <w:color w:val="auto"/>
          <w:lang w:val="en-US"/>
        </w:rPr>
        <w:t>KfH</w:t>
      </w:r>
      <w:proofErr w:type="spellEnd"/>
      <w:r w:rsidRPr="00810932">
        <w:rPr>
          <w:rStyle w:val="SchwacheHervorhebung"/>
          <w:rFonts w:cs="Times New Roman"/>
          <w:i w:val="0"/>
          <w:color w:val="auto"/>
          <w:lang w:val="en-US"/>
        </w:rPr>
        <w:t xml:space="preserve"> Dialysis Center </w:t>
      </w:r>
      <w:proofErr w:type="spellStart"/>
      <w:r w:rsidRPr="00810932">
        <w:rPr>
          <w:rStyle w:val="SchwacheHervorhebung"/>
          <w:rFonts w:cs="Times New Roman"/>
          <w:i w:val="0"/>
          <w:color w:val="auto"/>
          <w:lang w:val="en-US"/>
        </w:rPr>
        <w:t>Schwabing</w:t>
      </w:r>
      <w:proofErr w:type="spellEnd"/>
      <w:r w:rsidRPr="00810932">
        <w:rPr>
          <w:rStyle w:val="SchwacheHervorhebung"/>
          <w:rFonts w:cs="Times New Roman"/>
          <w:i w:val="0"/>
          <w:color w:val="auto"/>
          <w:lang w:val="en-US"/>
        </w:rPr>
        <w:t>, Munich, Germany</w:t>
      </w:r>
    </w:p>
    <w:p w14:paraId="00D0C9CE" w14:textId="77777777" w:rsidR="00BE5AFF" w:rsidRPr="00810932" w:rsidRDefault="00BE5AFF" w:rsidP="00BE5AFF">
      <w:pPr>
        <w:spacing w:after="0" w:line="480" w:lineRule="auto"/>
        <w:jc w:val="both"/>
        <w:rPr>
          <w:rStyle w:val="SchwacheHervorhebung"/>
          <w:rFonts w:cs="Times New Roman"/>
          <w:i w:val="0"/>
          <w:color w:val="auto"/>
          <w:lang w:val="en-US"/>
        </w:rPr>
      </w:pPr>
      <w:r w:rsidRPr="00810932">
        <w:rPr>
          <w:rStyle w:val="SchwacheHervorhebung"/>
          <w:rFonts w:cs="Times New Roman"/>
          <w:i w:val="0"/>
          <w:color w:val="auto"/>
          <w:lang w:val="en-US"/>
        </w:rPr>
        <w:t xml:space="preserve">* </w:t>
      </w:r>
      <w:proofErr w:type="gramStart"/>
      <w:r w:rsidRPr="00810932">
        <w:rPr>
          <w:rStyle w:val="SchwacheHervorhebung"/>
          <w:rFonts w:cs="Times New Roman"/>
          <w:i w:val="0"/>
          <w:color w:val="auto"/>
          <w:lang w:val="en-US"/>
        </w:rPr>
        <w:t>authors</w:t>
      </w:r>
      <w:proofErr w:type="gramEnd"/>
      <w:r w:rsidRPr="00810932">
        <w:rPr>
          <w:rStyle w:val="SchwacheHervorhebung"/>
          <w:rFonts w:cs="Times New Roman"/>
          <w:i w:val="0"/>
          <w:color w:val="auto"/>
          <w:lang w:val="en-US"/>
        </w:rPr>
        <w:t xml:space="preserve"> contributed equally to the work</w:t>
      </w:r>
    </w:p>
    <w:p w14:paraId="65566AE7" w14:textId="77777777" w:rsidR="00975F09" w:rsidRPr="00810932" w:rsidRDefault="00975F09">
      <w:pPr>
        <w:spacing w:after="160" w:line="259" w:lineRule="auto"/>
        <w:rPr>
          <w:rStyle w:val="SchwacheHervorhebung"/>
          <w:rFonts w:cs="Times New Roman"/>
          <w:b/>
          <w:i w:val="0"/>
          <w:color w:val="auto"/>
          <w:u w:val="single"/>
          <w:lang w:val="en-US"/>
        </w:rPr>
      </w:pPr>
      <w:r w:rsidRPr="00810932">
        <w:rPr>
          <w:rStyle w:val="SchwacheHervorhebung"/>
          <w:rFonts w:cs="Times New Roman"/>
          <w:b/>
          <w:i w:val="0"/>
          <w:color w:val="auto"/>
          <w:u w:val="single"/>
          <w:lang w:val="en-US"/>
        </w:rPr>
        <w:br w:type="page"/>
      </w:r>
    </w:p>
    <w:p w14:paraId="08B11864" w14:textId="46B64C30" w:rsidR="00951AE5" w:rsidRPr="00810932" w:rsidRDefault="00C1763F" w:rsidP="0033662D">
      <w:pPr>
        <w:spacing w:after="0" w:line="480" w:lineRule="auto"/>
        <w:rPr>
          <w:rStyle w:val="SchwacheHervorhebung"/>
          <w:rFonts w:cs="Times New Roman"/>
          <w:b/>
          <w:i w:val="0"/>
          <w:color w:val="auto"/>
          <w:lang w:val="en-US"/>
        </w:rPr>
      </w:pPr>
      <w:r w:rsidRPr="00810932">
        <w:rPr>
          <w:rStyle w:val="SchwacheHervorhebung"/>
          <w:rFonts w:cs="Times New Roman"/>
          <w:b/>
          <w:i w:val="0"/>
          <w:color w:val="auto"/>
          <w:lang w:val="en-US"/>
        </w:rPr>
        <w:lastRenderedPageBreak/>
        <w:t>Summary of S</w:t>
      </w:r>
      <w:r w:rsidR="00D56908" w:rsidRPr="00810932">
        <w:rPr>
          <w:rStyle w:val="SchwacheHervorhebung"/>
          <w:rFonts w:cs="Times New Roman"/>
          <w:b/>
          <w:i w:val="0"/>
          <w:color w:val="auto"/>
          <w:lang w:val="en-US"/>
        </w:rPr>
        <w:t>upplement</w:t>
      </w:r>
      <w:r w:rsidR="00954CB0" w:rsidRPr="00810932">
        <w:rPr>
          <w:rStyle w:val="SchwacheHervorhebung"/>
          <w:rFonts w:cs="Times New Roman"/>
          <w:b/>
          <w:i w:val="0"/>
          <w:color w:val="auto"/>
          <w:lang w:val="en-US"/>
        </w:rPr>
        <w:t>ary</w:t>
      </w:r>
      <w:r w:rsidR="00951AE5" w:rsidRPr="00810932">
        <w:rPr>
          <w:rStyle w:val="SchwacheHervorhebung"/>
          <w:rFonts w:cs="Times New Roman"/>
          <w:b/>
          <w:i w:val="0"/>
          <w:color w:val="auto"/>
          <w:lang w:val="en-US"/>
        </w:rPr>
        <w:t xml:space="preserve"> </w:t>
      </w:r>
      <w:r w:rsidRPr="00810932">
        <w:rPr>
          <w:rStyle w:val="SchwacheHervorhebung"/>
          <w:rFonts w:cs="Times New Roman"/>
          <w:b/>
          <w:i w:val="0"/>
          <w:color w:val="auto"/>
          <w:lang w:val="en-US"/>
        </w:rPr>
        <w:t>Material</w:t>
      </w:r>
      <w:r w:rsidR="00951AE5" w:rsidRPr="00810932">
        <w:rPr>
          <w:rStyle w:val="SchwacheHervorhebung"/>
          <w:rFonts w:cs="Times New Roman"/>
          <w:b/>
          <w:i w:val="0"/>
          <w:color w:val="auto"/>
          <w:lang w:val="en-US"/>
        </w:rPr>
        <w:t xml:space="preserve"> </w:t>
      </w:r>
    </w:p>
    <w:p w14:paraId="75F1E45F" w14:textId="77777777" w:rsidR="00C1763F" w:rsidRPr="00810932" w:rsidRDefault="00C1763F" w:rsidP="00CC2357">
      <w:pPr>
        <w:spacing w:after="0" w:line="480" w:lineRule="auto"/>
        <w:rPr>
          <w:rStyle w:val="SchwacheHervorhebung"/>
          <w:rFonts w:cs="Times New Roman"/>
          <w:b/>
          <w:i w:val="0"/>
          <w:color w:val="auto"/>
          <w:lang w:val="en-US"/>
        </w:rPr>
      </w:pPr>
    </w:p>
    <w:p w14:paraId="75726B2B" w14:textId="45D0D3B5" w:rsidR="00C1763F" w:rsidRPr="00810932" w:rsidRDefault="00085C14" w:rsidP="00CC2357">
      <w:pPr>
        <w:autoSpaceDE w:val="0"/>
        <w:autoSpaceDN w:val="0"/>
        <w:adjustRightInd w:val="0"/>
        <w:spacing w:line="480" w:lineRule="auto"/>
        <w:rPr>
          <w:rFonts w:cs="Times New Roman"/>
          <w:lang w:val="en-US"/>
        </w:rPr>
      </w:pPr>
      <w:r w:rsidRPr="00810932">
        <w:rPr>
          <w:rFonts w:cs="Times New Roman"/>
          <w:lang w:val="en-US"/>
        </w:rPr>
        <w:t>Supplementary</w:t>
      </w:r>
      <w:r w:rsidR="00C1763F" w:rsidRPr="00810932">
        <w:rPr>
          <w:rFonts w:cs="Times New Roman"/>
          <w:lang w:val="en-US"/>
        </w:rPr>
        <w:t xml:space="preserve"> Figure </w:t>
      </w:r>
      <w:r w:rsidR="00A27AC6" w:rsidRPr="00810932">
        <w:rPr>
          <w:rFonts w:cs="Times New Roman"/>
          <w:lang w:val="en-US"/>
        </w:rPr>
        <w:t>1</w:t>
      </w:r>
      <w:r w:rsidR="00C1763F" w:rsidRPr="00810932">
        <w:rPr>
          <w:rFonts w:cs="Times New Roman"/>
          <w:lang w:val="en-US"/>
        </w:rPr>
        <w:t>: Unadjusted Kaplan-Meier estimates for cardiovascular-mortality: (A) tertiles of 24h-PWV and (B) tertiles of Office-PWV.</w:t>
      </w:r>
      <w:r w:rsidR="00CC2357" w:rsidRPr="00810932">
        <w:rPr>
          <w:rFonts w:cs="Times New Roman"/>
          <w:lang w:val="en-US"/>
        </w:rPr>
        <w:t xml:space="preserve"> Log-rank-test was used to compare tertiles. T = tertile</w:t>
      </w:r>
    </w:p>
    <w:p w14:paraId="2A757F18" w14:textId="77777777" w:rsidR="009E70FE" w:rsidRPr="00810932" w:rsidRDefault="00085C14" w:rsidP="00CC2357">
      <w:pPr>
        <w:spacing w:line="480" w:lineRule="auto"/>
        <w:rPr>
          <w:rFonts w:cs="Times New Roman"/>
          <w:lang w:val="en-US"/>
        </w:rPr>
      </w:pPr>
      <w:r w:rsidRPr="00810932">
        <w:rPr>
          <w:rFonts w:cs="Times New Roman"/>
          <w:lang w:val="en-US"/>
        </w:rPr>
        <w:t>Supplementary</w:t>
      </w:r>
      <w:r w:rsidR="00C1763F" w:rsidRPr="00810932">
        <w:rPr>
          <w:rFonts w:cs="Times New Roman"/>
          <w:lang w:val="en-US"/>
        </w:rPr>
        <w:t xml:space="preserve"> Table 1: </w:t>
      </w:r>
      <w:r w:rsidR="009E70FE" w:rsidRPr="00810932">
        <w:rPr>
          <w:rFonts w:cs="Times New Roman"/>
          <w:lang w:val="en-US"/>
        </w:rPr>
        <w:t>Cox regression analysis for cardiovascular mortality (total cohort)</w:t>
      </w:r>
    </w:p>
    <w:p w14:paraId="08FAC187" w14:textId="789997E1" w:rsidR="00AB766F" w:rsidRPr="00810932" w:rsidRDefault="00085C14" w:rsidP="00CC2357">
      <w:pPr>
        <w:spacing w:line="480" w:lineRule="auto"/>
        <w:rPr>
          <w:rFonts w:cs="Times New Roman"/>
          <w:lang w:val="en-US"/>
        </w:rPr>
      </w:pPr>
      <w:r w:rsidRPr="00810932">
        <w:rPr>
          <w:rFonts w:cs="Times New Roman"/>
          <w:lang w:val="en-US"/>
        </w:rPr>
        <w:t>Supplementary</w:t>
      </w:r>
      <w:r w:rsidR="00C1763F" w:rsidRPr="00810932">
        <w:rPr>
          <w:rFonts w:cs="Times New Roman"/>
          <w:lang w:val="en-US"/>
        </w:rPr>
        <w:t xml:space="preserve"> Table 2: Cox regression analysis for cardiovascular mortality in patients without heart failure and atrial fibrillation. </w:t>
      </w:r>
    </w:p>
    <w:p w14:paraId="5BF38446" w14:textId="1F62E7E3" w:rsidR="00870EDE" w:rsidRPr="00810932" w:rsidRDefault="00870EDE" w:rsidP="00CC2357">
      <w:pPr>
        <w:spacing w:line="480" w:lineRule="auto"/>
        <w:rPr>
          <w:rFonts w:cs="Times New Roman"/>
          <w:lang w:val="en-US"/>
        </w:rPr>
      </w:pPr>
      <w:r w:rsidRPr="00810932">
        <w:rPr>
          <w:rFonts w:cs="Times New Roman"/>
          <w:lang w:val="en-US"/>
        </w:rPr>
        <w:t xml:space="preserve">Supplementary Table 3: Comparison of </w:t>
      </w:r>
      <w:r w:rsidR="002A47BB" w:rsidRPr="00810932">
        <w:rPr>
          <w:rFonts w:cs="Times New Roman"/>
          <w:lang w:val="en-US"/>
        </w:rPr>
        <w:t xml:space="preserve">the </w:t>
      </w:r>
      <w:r w:rsidRPr="00810932">
        <w:rPr>
          <w:rFonts w:cs="Times New Roman"/>
          <w:lang w:val="en-US"/>
        </w:rPr>
        <w:t>study population with excluded patients</w:t>
      </w:r>
    </w:p>
    <w:p w14:paraId="4FAD9279" w14:textId="00DB6A9B" w:rsidR="00C62483" w:rsidRPr="00810932" w:rsidRDefault="00C62483" w:rsidP="00CC2357">
      <w:pPr>
        <w:spacing w:line="480" w:lineRule="auto"/>
        <w:rPr>
          <w:rFonts w:cs="Times New Roman"/>
          <w:lang w:val="en-US"/>
        </w:rPr>
      </w:pPr>
      <w:r w:rsidRPr="00810932">
        <w:rPr>
          <w:rFonts w:cs="Times New Roman"/>
          <w:lang w:val="en-US"/>
        </w:rPr>
        <w:t xml:space="preserve">Supplementary Table 4: Analysis of ROC-curves and </w:t>
      </w:r>
      <w:r w:rsidR="00CA6A04">
        <w:rPr>
          <w:rFonts w:cs="Times New Roman"/>
          <w:lang w:val="en-US"/>
        </w:rPr>
        <w:t>calculation of t</w:t>
      </w:r>
      <w:r w:rsidRPr="00810932">
        <w:rPr>
          <w:rFonts w:cs="Times New Roman"/>
          <w:lang w:val="en-US"/>
        </w:rPr>
        <w:t>hreshold-values</w:t>
      </w:r>
      <w:r w:rsidR="00CA6A04">
        <w:rPr>
          <w:rFonts w:cs="Times New Roman"/>
          <w:lang w:val="en-US"/>
        </w:rPr>
        <w:t xml:space="preserve"> for 24h-PWV</w:t>
      </w:r>
    </w:p>
    <w:p w14:paraId="63F9D0B8" w14:textId="1C1015E8" w:rsidR="00605681" w:rsidRPr="00810932" w:rsidRDefault="00C1763F" w:rsidP="00AB766F">
      <w:pPr>
        <w:spacing w:after="160" w:line="259" w:lineRule="auto"/>
        <w:rPr>
          <w:rFonts w:cs="Times New Roman"/>
          <w:b/>
          <w:iCs/>
          <w:lang w:val="en-US"/>
        </w:rPr>
      </w:pPr>
      <w:r w:rsidRPr="00810932">
        <w:rPr>
          <w:rStyle w:val="SchwacheHervorhebung"/>
          <w:rFonts w:cs="Times New Roman"/>
          <w:b/>
          <w:i w:val="0"/>
          <w:color w:val="auto"/>
          <w:lang w:val="en-US"/>
        </w:rPr>
        <w:br w:type="page"/>
      </w:r>
    </w:p>
    <w:p w14:paraId="45B7164A" w14:textId="15996C4A" w:rsidR="00A86B4D" w:rsidRPr="00810932" w:rsidRDefault="00D5618C" w:rsidP="00AB766F">
      <w:pPr>
        <w:spacing w:after="160" w:line="259" w:lineRule="auto"/>
        <w:rPr>
          <w:rFonts w:cs="Times New Roman"/>
          <w:b/>
          <w:iCs/>
          <w:lang w:val="en-US"/>
        </w:rPr>
      </w:pPr>
      <w:r w:rsidRPr="00810932">
        <w:rPr>
          <w:rFonts w:cs="Times New Roman"/>
          <w:b/>
          <w:iCs/>
          <w:noProof/>
          <w:lang w:eastAsia="de-DE"/>
        </w:rPr>
        <w:lastRenderedPageBreak/>
        <w:drawing>
          <wp:inline distT="0" distB="0" distL="0" distR="0" wp14:anchorId="39DC06CF" wp14:editId="7E0F1C9C">
            <wp:extent cx="5727469" cy="1986742"/>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jpg"/>
                    <pic:cNvPicPr/>
                  </pic:nvPicPr>
                  <pic:blipFill>
                    <a:blip r:embed="rId8">
                      <a:extLst>
                        <a:ext uri="{28A0092B-C50C-407E-A947-70E740481C1C}">
                          <a14:useLocalDpi xmlns:a14="http://schemas.microsoft.com/office/drawing/2010/main" val="0"/>
                        </a:ext>
                      </a:extLst>
                    </a:blip>
                    <a:stretch>
                      <a:fillRect/>
                    </a:stretch>
                  </pic:blipFill>
                  <pic:spPr>
                    <a:xfrm>
                      <a:off x="0" y="0"/>
                      <a:ext cx="5727469" cy="1986742"/>
                    </a:xfrm>
                    <a:prstGeom prst="rect">
                      <a:avLst/>
                    </a:prstGeom>
                  </pic:spPr>
                </pic:pic>
              </a:graphicData>
            </a:graphic>
          </wp:inline>
        </w:drawing>
      </w:r>
    </w:p>
    <w:p w14:paraId="06E64694" w14:textId="77777777" w:rsidR="00D5618C" w:rsidRPr="00810932" w:rsidRDefault="00D5618C" w:rsidP="00D5618C">
      <w:pPr>
        <w:autoSpaceDE w:val="0"/>
        <w:autoSpaceDN w:val="0"/>
        <w:adjustRightInd w:val="0"/>
        <w:spacing w:line="360" w:lineRule="auto"/>
        <w:rPr>
          <w:rFonts w:cs="Times New Roman"/>
          <w:lang w:val="en-US"/>
        </w:rPr>
      </w:pPr>
      <w:r w:rsidRPr="00810932">
        <w:rPr>
          <w:rFonts w:cs="Times New Roman"/>
          <w:lang w:val="en-US"/>
        </w:rPr>
        <w:t>Supplementary Figure 1: Unadjusted Kaplan-Meier estimates for cardiovascular-mortality: (A) tertiles of 24h-PWV and (B) tertiles of Office-PWV. Log-rank-test was used to compare tertiles. T = tertile</w:t>
      </w:r>
    </w:p>
    <w:p w14:paraId="655BEA1A" w14:textId="4AEEE78B" w:rsidR="00D5618C" w:rsidRPr="00810932" w:rsidRDefault="00D5618C">
      <w:pPr>
        <w:spacing w:after="160" w:line="259" w:lineRule="auto"/>
        <w:rPr>
          <w:rFonts w:cs="Times New Roman"/>
          <w:b/>
          <w:iCs/>
          <w:lang w:val="en-US"/>
        </w:rPr>
      </w:pPr>
      <w:r w:rsidRPr="00810932">
        <w:rPr>
          <w:rFonts w:cs="Times New Roman"/>
          <w:b/>
          <w:iCs/>
          <w:lang w:val="en-US"/>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1"/>
      </w:tblPr>
      <w:tblGrid>
        <w:gridCol w:w="1920"/>
        <w:gridCol w:w="1859"/>
        <w:gridCol w:w="1441"/>
        <w:gridCol w:w="477"/>
        <w:gridCol w:w="2065"/>
        <w:gridCol w:w="1264"/>
      </w:tblGrid>
      <w:tr w:rsidR="00810932" w:rsidRPr="00CA6A04" w14:paraId="5E6D7A62" w14:textId="77777777" w:rsidTr="000C3F95">
        <w:trPr>
          <w:trHeight w:val="283"/>
        </w:trPr>
        <w:tc>
          <w:tcPr>
            <w:tcW w:w="5000" w:type="pct"/>
            <w:gridSpan w:val="6"/>
            <w:shd w:val="clear" w:color="auto" w:fill="auto"/>
          </w:tcPr>
          <w:p w14:paraId="7AA31BC6" w14:textId="77777777" w:rsidR="00D5618C" w:rsidRPr="00810932" w:rsidRDefault="00D5618C" w:rsidP="000C3F95">
            <w:pPr>
              <w:spacing w:after="0" w:line="360" w:lineRule="auto"/>
              <w:rPr>
                <w:rFonts w:cs="Times New Roman"/>
                <w:b/>
                <w:lang w:val="en-US"/>
              </w:rPr>
            </w:pPr>
            <w:r w:rsidRPr="00810932">
              <w:rPr>
                <w:rFonts w:cs="Times New Roman"/>
                <w:b/>
                <w:lang w:val="en-US"/>
              </w:rPr>
              <w:lastRenderedPageBreak/>
              <w:t>Supplementary Table 1: Cox regression analysis for cardiovascular mortality (total cohort)</w:t>
            </w:r>
          </w:p>
        </w:tc>
      </w:tr>
      <w:tr w:rsidR="00810932" w:rsidRPr="00810932" w14:paraId="7162C41E" w14:textId="77777777" w:rsidTr="000C3F95">
        <w:trPr>
          <w:trHeight w:val="283"/>
        </w:trPr>
        <w:tc>
          <w:tcPr>
            <w:tcW w:w="1064" w:type="pct"/>
            <w:tcBorders>
              <w:top w:val="single" w:sz="4" w:space="0" w:color="auto"/>
            </w:tcBorders>
            <w:shd w:val="clear" w:color="auto" w:fill="auto"/>
          </w:tcPr>
          <w:p w14:paraId="28FCDA65" w14:textId="77777777" w:rsidR="00D5618C" w:rsidRPr="00810932" w:rsidRDefault="00D5618C" w:rsidP="000C3F95">
            <w:pPr>
              <w:spacing w:after="0" w:line="360" w:lineRule="auto"/>
              <w:rPr>
                <w:rFonts w:cs="Times New Roman"/>
                <w:b/>
                <w:lang w:val="en-US"/>
              </w:rPr>
            </w:pPr>
          </w:p>
        </w:tc>
        <w:tc>
          <w:tcPr>
            <w:tcW w:w="1828" w:type="pct"/>
            <w:gridSpan w:val="2"/>
            <w:tcBorders>
              <w:top w:val="single" w:sz="4" w:space="0" w:color="auto"/>
              <w:bottom w:val="single" w:sz="4" w:space="0" w:color="auto"/>
            </w:tcBorders>
            <w:shd w:val="clear" w:color="auto" w:fill="auto"/>
          </w:tcPr>
          <w:p w14:paraId="07531189" w14:textId="77777777" w:rsidR="00D5618C" w:rsidRPr="00810932" w:rsidRDefault="00D5618C" w:rsidP="000C3F95">
            <w:pPr>
              <w:spacing w:after="0" w:line="360" w:lineRule="auto"/>
              <w:jc w:val="center"/>
              <w:rPr>
                <w:rFonts w:cs="Times New Roman"/>
                <w:b/>
                <w:lang w:val="en-US"/>
              </w:rPr>
            </w:pPr>
            <w:r w:rsidRPr="00810932">
              <w:rPr>
                <w:rFonts w:cs="Times New Roman"/>
                <w:b/>
                <w:lang w:val="en-US"/>
              </w:rPr>
              <w:t>24-hour values</w:t>
            </w:r>
          </w:p>
          <w:p w14:paraId="18D47B21" w14:textId="77777777" w:rsidR="00D5618C" w:rsidRPr="00810932" w:rsidRDefault="00D5618C" w:rsidP="000C3F95">
            <w:pPr>
              <w:spacing w:after="0" w:line="360" w:lineRule="auto"/>
              <w:jc w:val="center"/>
              <w:rPr>
                <w:rFonts w:cs="Times New Roman"/>
                <w:b/>
                <w:lang w:val="en-US"/>
              </w:rPr>
            </w:pPr>
            <w:r w:rsidRPr="00810932">
              <w:rPr>
                <w:rFonts w:cs="Times New Roman"/>
                <w:b/>
                <w:lang w:val="en-US"/>
              </w:rPr>
              <w:t>n = 344</w:t>
            </w:r>
          </w:p>
        </w:tc>
        <w:tc>
          <w:tcPr>
            <w:tcW w:w="264" w:type="pct"/>
            <w:tcBorders>
              <w:top w:val="single" w:sz="4" w:space="0" w:color="auto"/>
            </w:tcBorders>
          </w:tcPr>
          <w:p w14:paraId="2A8469F8" w14:textId="77777777" w:rsidR="00D5618C" w:rsidRPr="00810932" w:rsidRDefault="00D5618C" w:rsidP="000C3F95">
            <w:pPr>
              <w:spacing w:after="0" w:line="360" w:lineRule="auto"/>
              <w:jc w:val="center"/>
              <w:rPr>
                <w:rFonts w:cs="Times New Roman"/>
                <w:b/>
                <w:lang w:val="en-US"/>
              </w:rPr>
            </w:pPr>
          </w:p>
        </w:tc>
        <w:tc>
          <w:tcPr>
            <w:tcW w:w="1844" w:type="pct"/>
            <w:gridSpan w:val="2"/>
            <w:tcBorders>
              <w:top w:val="single" w:sz="4" w:space="0" w:color="auto"/>
              <w:bottom w:val="single" w:sz="4" w:space="0" w:color="auto"/>
            </w:tcBorders>
            <w:shd w:val="clear" w:color="auto" w:fill="auto"/>
          </w:tcPr>
          <w:p w14:paraId="34E225C9" w14:textId="77777777" w:rsidR="00D5618C" w:rsidRPr="00810932" w:rsidRDefault="00D5618C" w:rsidP="000C3F95">
            <w:pPr>
              <w:spacing w:after="0" w:line="360" w:lineRule="auto"/>
              <w:jc w:val="center"/>
              <w:rPr>
                <w:rFonts w:cs="Times New Roman"/>
                <w:b/>
                <w:lang w:val="en-US"/>
              </w:rPr>
            </w:pPr>
            <w:r w:rsidRPr="00810932">
              <w:rPr>
                <w:rFonts w:cs="Times New Roman"/>
                <w:b/>
                <w:lang w:val="en-US"/>
              </w:rPr>
              <w:t>Office-values</w:t>
            </w:r>
          </w:p>
          <w:p w14:paraId="62D06FED" w14:textId="77777777" w:rsidR="00D5618C" w:rsidRPr="00810932" w:rsidRDefault="00D5618C" w:rsidP="000C3F95">
            <w:pPr>
              <w:spacing w:after="0" w:line="360" w:lineRule="auto"/>
              <w:jc w:val="center"/>
              <w:rPr>
                <w:rFonts w:cs="Times New Roman"/>
                <w:b/>
                <w:lang w:val="en-US"/>
              </w:rPr>
            </w:pPr>
            <w:r w:rsidRPr="00810932">
              <w:rPr>
                <w:rFonts w:cs="Times New Roman"/>
                <w:b/>
                <w:lang w:val="en-US"/>
              </w:rPr>
              <w:t>n = 344</w:t>
            </w:r>
          </w:p>
        </w:tc>
      </w:tr>
      <w:tr w:rsidR="00810932" w:rsidRPr="00810932" w14:paraId="2ABFEA76" w14:textId="77777777" w:rsidTr="000C3F95">
        <w:trPr>
          <w:trHeight w:val="193"/>
        </w:trPr>
        <w:tc>
          <w:tcPr>
            <w:tcW w:w="1064" w:type="pct"/>
            <w:tcBorders>
              <w:bottom w:val="single" w:sz="4" w:space="0" w:color="auto"/>
            </w:tcBorders>
          </w:tcPr>
          <w:p w14:paraId="750A97C0" w14:textId="77777777" w:rsidR="00D5618C" w:rsidRPr="00810932" w:rsidRDefault="00D5618C" w:rsidP="000C3F95">
            <w:pPr>
              <w:spacing w:after="0" w:line="360" w:lineRule="auto"/>
              <w:rPr>
                <w:rFonts w:cs="Times New Roman"/>
                <w:b/>
                <w:lang w:val="en-US"/>
              </w:rPr>
            </w:pPr>
            <w:r w:rsidRPr="00810932">
              <w:rPr>
                <w:rFonts w:cs="Times New Roman"/>
                <w:b/>
                <w:lang w:val="en-US"/>
              </w:rPr>
              <w:t>PWV</w:t>
            </w:r>
          </w:p>
        </w:tc>
        <w:tc>
          <w:tcPr>
            <w:tcW w:w="1030" w:type="pct"/>
            <w:tcBorders>
              <w:top w:val="single" w:sz="4" w:space="0" w:color="auto"/>
              <w:bottom w:val="single" w:sz="4" w:space="0" w:color="auto"/>
            </w:tcBorders>
            <w:shd w:val="clear" w:color="auto" w:fill="auto"/>
          </w:tcPr>
          <w:p w14:paraId="326C8D79" w14:textId="77777777" w:rsidR="00D5618C" w:rsidRPr="00810932" w:rsidRDefault="00D5618C" w:rsidP="000C3F95">
            <w:pPr>
              <w:spacing w:after="0" w:line="360" w:lineRule="auto"/>
              <w:rPr>
                <w:rFonts w:cs="Times New Roman"/>
                <w:b/>
                <w:lang w:val="en-US"/>
              </w:rPr>
            </w:pPr>
            <w:r w:rsidRPr="00810932">
              <w:rPr>
                <w:rFonts w:cs="Times New Roman"/>
                <w:b/>
                <w:lang w:val="en-US"/>
              </w:rPr>
              <w:t>HR [95%-CI]</w:t>
            </w:r>
          </w:p>
        </w:tc>
        <w:tc>
          <w:tcPr>
            <w:tcW w:w="798" w:type="pct"/>
            <w:tcBorders>
              <w:top w:val="single" w:sz="4" w:space="0" w:color="auto"/>
              <w:bottom w:val="single" w:sz="4" w:space="0" w:color="auto"/>
            </w:tcBorders>
          </w:tcPr>
          <w:p w14:paraId="097C2404" w14:textId="77777777" w:rsidR="00D5618C" w:rsidRPr="00810932" w:rsidRDefault="00D5618C" w:rsidP="000C3F95">
            <w:pPr>
              <w:spacing w:after="0" w:line="360" w:lineRule="auto"/>
              <w:rPr>
                <w:rFonts w:cs="Times New Roman"/>
                <w:b/>
                <w:lang w:val="en-US"/>
              </w:rPr>
            </w:pPr>
            <w:r w:rsidRPr="00810932">
              <w:rPr>
                <w:rFonts w:cs="Times New Roman"/>
                <w:b/>
                <w:i/>
                <w:lang w:val="en-US"/>
              </w:rPr>
              <w:t>P</w:t>
            </w:r>
            <w:r w:rsidRPr="00810932">
              <w:rPr>
                <w:rFonts w:cs="Times New Roman"/>
                <w:b/>
                <w:lang w:val="en-US"/>
              </w:rPr>
              <w:t>-value</w:t>
            </w:r>
          </w:p>
        </w:tc>
        <w:tc>
          <w:tcPr>
            <w:tcW w:w="264" w:type="pct"/>
            <w:tcBorders>
              <w:bottom w:val="single" w:sz="4" w:space="0" w:color="auto"/>
            </w:tcBorders>
          </w:tcPr>
          <w:p w14:paraId="7A7E64BF" w14:textId="77777777" w:rsidR="00D5618C" w:rsidRPr="00810932" w:rsidRDefault="00D5618C" w:rsidP="000C3F95">
            <w:pPr>
              <w:spacing w:after="0" w:line="360" w:lineRule="auto"/>
              <w:rPr>
                <w:rFonts w:cs="Times New Roman"/>
                <w:b/>
                <w:lang w:val="en-US"/>
              </w:rPr>
            </w:pPr>
          </w:p>
        </w:tc>
        <w:tc>
          <w:tcPr>
            <w:tcW w:w="1144" w:type="pct"/>
            <w:tcBorders>
              <w:top w:val="single" w:sz="4" w:space="0" w:color="auto"/>
              <w:bottom w:val="single" w:sz="4" w:space="0" w:color="auto"/>
            </w:tcBorders>
          </w:tcPr>
          <w:p w14:paraId="5DEBF589" w14:textId="77777777" w:rsidR="00D5618C" w:rsidRPr="00810932" w:rsidRDefault="00D5618C" w:rsidP="000C3F95">
            <w:pPr>
              <w:spacing w:after="0" w:line="360" w:lineRule="auto"/>
              <w:rPr>
                <w:rFonts w:cs="Times New Roman"/>
                <w:b/>
                <w:lang w:val="en-US"/>
              </w:rPr>
            </w:pPr>
            <w:r w:rsidRPr="00810932">
              <w:rPr>
                <w:rFonts w:cs="Times New Roman"/>
                <w:b/>
                <w:lang w:val="en-US"/>
              </w:rPr>
              <w:t xml:space="preserve">  HR [95%-CI]</w:t>
            </w:r>
          </w:p>
        </w:tc>
        <w:tc>
          <w:tcPr>
            <w:tcW w:w="700" w:type="pct"/>
            <w:tcBorders>
              <w:top w:val="single" w:sz="4" w:space="0" w:color="auto"/>
              <w:bottom w:val="single" w:sz="4" w:space="0" w:color="auto"/>
            </w:tcBorders>
          </w:tcPr>
          <w:p w14:paraId="4037763D" w14:textId="77777777" w:rsidR="00D5618C" w:rsidRPr="00810932" w:rsidRDefault="00D5618C" w:rsidP="000C3F95">
            <w:pPr>
              <w:spacing w:after="0" w:line="360" w:lineRule="auto"/>
              <w:rPr>
                <w:rFonts w:cs="Times New Roman"/>
                <w:b/>
                <w:lang w:val="en-US"/>
              </w:rPr>
            </w:pPr>
            <w:r w:rsidRPr="00810932">
              <w:rPr>
                <w:rFonts w:cs="Times New Roman"/>
                <w:b/>
                <w:i/>
                <w:lang w:val="en-US"/>
              </w:rPr>
              <w:t>P</w:t>
            </w:r>
            <w:r w:rsidRPr="00810932">
              <w:rPr>
                <w:rFonts w:cs="Times New Roman"/>
                <w:b/>
                <w:lang w:val="en-US"/>
              </w:rPr>
              <w:t>-value</w:t>
            </w:r>
          </w:p>
        </w:tc>
      </w:tr>
      <w:tr w:rsidR="00810932" w:rsidRPr="00810932" w14:paraId="276297B7" w14:textId="77777777" w:rsidTr="000C3F95">
        <w:trPr>
          <w:trHeight w:val="193"/>
        </w:trPr>
        <w:tc>
          <w:tcPr>
            <w:tcW w:w="1064" w:type="pct"/>
            <w:tcBorders>
              <w:top w:val="single" w:sz="4" w:space="0" w:color="auto"/>
            </w:tcBorders>
            <w:vAlign w:val="center"/>
          </w:tcPr>
          <w:p w14:paraId="1F9284B7" w14:textId="77777777" w:rsidR="00D5618C" w:rsidRPr="00810932" w:rsidRDefault="00D5618C" w:rsidP="000C3F95">
            <w:pPr>
              <w:spacing w:after="0" w:line="360" w:lineRule="auto"/>
              <w:rPr>
                <w:rFonts w:cs="Times New Roman"/>
                <w:lang w:val="en-US"/>
              </w:rPr>
            </w:pPr>
            <w:r w:rsidRPr="00810932">
              <w:rPr>
                <w:rFonts w:cs="Times New Roman"/>
                <w:lang w:val="en-US"/>
              </w:rPr>
              <w:t>Unadjusted PWV</w:t>
            </w:r>
          </w:p>
        </w:tc>
        <w:tc>
          <w:tcPr>
            <w:tcW w:w="1030" w:type="pct"/>
            <w:tcBorders>
              <w:top w:val="single" w:sz="4" w:space="0" w:color="auto"/>
            </w:tcBorders>
            <w:shd w:val="clear" w:color="auto" w:fill="auto"/>
            <w:vAlign w:val="center"/>
          </w:tcPr>
          <w:p w14:paraId="52FA1DC5" w14:textId="77777777" w:rsidR="00D5618C" w:rsidRPr="00810932" w:rsidRDefault="00D5618C" w:rsidP="000C3F95">
            <w:pPr>
              <w:spacing w:after="0" w:line="360" w:lineRule="auto"/>
              <w:rPr>
                <w:rFonts w:cs="Times New Roman"/>
                <w:lang w:val="en-US"/>
              </w:rPr>
            </w:pPr>
            <w:r w:rsidRPr="00810932">
              <w:rPr>
                <w:rFonts w:cs="Times New Roman"/>
                <w:lang w:val="en-US"/>
              </w:rPr>
              <w:t>1.35 [1.13-1.61]</w:t>
            </w:r>
          </w:p>
        </w:tc>
        <w:tc>
          <w:tcPr>
            <w:tcW w:w="798" w:type="pct"/>
            <w:tcBorders>
              <w:top w:val="single" w:sz="4" w:space="0" w:color="auto"/>
            </w:tcBorders>
            <w:vAlign w:val="center"/>
          </w:tcPr>
          <w:p w14:paraId="6054FEBB"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0.001</w:t>
            </w:r>
          </w:p>
        </w:tc>
        <w:tc>
          <w:tcPr>
            <w:tcW w:w="264" w:type="pct"/>
            <w:tcBorders>
              <w:top w:val="single" w:sz="4" w:space="0" w:color="auto"/>
            </w:tcBorders>
            <w:vAlign w:val="center"/>
          </w:tcPr>
          <w:p w14:paraId="37BD48EA" w14:textId="77777777" w:rsidR="00D5618C" w:rsidRPr="00810932" w:rsidRDefault="00D5618C" w:rsidP="000C3F95">
            <w:pPr>
              <w:spacing w:after="0" w:line="360" w:lineRule="auto"/>
              <w:rPr>
                <w:rFonts w:cs="Times New Roman"/>
                <w:i/>
                <w:lang w:val="en-US"/>
              </w:rPr>
            </w:pPr>
          </w:p>
        </w:tc>
        <w:tc>
          <w:tcPr>
            <w:tcW w:w="1144" w:type="pct"/>
            <w:tcBorders>
              <w:top w:val="single" w:sz="4" w:space="0" w:color="auto"/>
            </w:tcBorders>
            <w:vAlign w:val="center"/>
          </w:tcPr>
          <w:p w14:paraId="73A311F2" w14:textId="77777777" w:rsidR="00D5618C" w:rsidRPr="00810932" w:rsidRDefault="00D5618C" w:rsidP="000C3F95">
            <w:pPr>
              <w:spacing w:after="0" w:line="360" w:lineRule="auto"/>
              <w:rPr>
                <w:rFonts w:cs="Times New Roman"/>
                <w:lang w:val="en-US"/>
              </w:rPr>
            </w:pPr>
            <w:r w:rsidRPr="00810932">
              <w:rPr>
                <w:rFonts w:cs="Times New Roman"/>
                <w:lang w:val="en-US"/>
              </w:rPr>
              <w:t>1.35 [1.13-1.61]</w:t>
            </w:r>
          </w:p>
        </w:tc>
        <w:tc>
          <w:tcPr>
            <w:tcW w:w="700" w:type="pct"/>
            <w:tcBorders>
              <w:top w:val="single" w:sz="4" w:space="0" w:color="auto"/>
            </w:tcBorders>
            <w:vAlign w:val="center"/>
          </w:tcPr>
          <w:p w14:paraId="51F4620E"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0.001</w:t>
            </w:r>
          </w:p>
        </w:tc>
      </w:tr>
      <w:tr w:rsidR="00810932" w:rsidRPr="00810932" w14:paraId="22D9E484" w14:textId="77777777" w:rsidTr="000C3F95">
        <w:trPr>
          <w:trHeight w:val="193"/>
        </w:trPr>
        <w:tc>
          <w:tcPr>
            <w:tcW w:w="1064" w:type="pct"/>
            <w:vAlign w:val="center"/>
          </w:tcPr>
          <w:p w14:paraId="0C631F26"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Adjusted PWV</w:t>
            </w:r>
          </w:p>
        </w:tc>
        <w:tc>
          <w:tcPr>
            <w:tcW w:w="1030" w:type="pct"/>
            <w:shd w:val="clear" w:color="auto" w:fill="auto"/>
            <w:vAlign w:val="center"/>
          </w:tcPr>
          <w:p w14:paraId="51AEBC36" w14:textId="77777777" w:rsidR="00D5618C" w:rsidRPr="00810932" w:rsidRDefault="00D5618C" w:rsidP="000C3F95">
            <w:pPr>
              <w:spacing w:after="0" w:line="360" w:lineRule="auto"/>
              <w:rPr>
                <w:rFonts w:cs="Times New Roman"/>
                <w:lang w:val="en-US"/>
              </w:rPr>
            </w:pPr>
          </w:p>
        </w:tc>
        <w:tc>
          <w:tcPr>
            <w:tcW w:w="798" w:type="pct"/>
            <w:vAlign w:val="center"/>
          </w:tcPr>
          <w:p w14:paraId="3777416E" w14:textId="77777777" w:rsidR="00D5618C" w:rsidRPr="00810932" w:rsidRDefault="00D5618C" w:rsidP="000C3F95">
            <w:pPr>
              <w:spacing w:after="0" w:line="360" w:lineRule="auto"/>
              <w:rPr>
                <w:rFonts w:cs="Times New Roman"/>
                <w:i/>
                <w:lang w:val="en-US"/>
              </w:rPr>
            </w:pPr>
          </w:p>
        </w:tc>
        <w:tc>
          <w:tcPr>
            <w:tcW w:w="264" w:type="pct"/>
            <w:vAlign w:val="center"/>
          </w:tcPr>
          <w:p w14:paraId="7515DC52" w14:textId="77777777" w:rsidR="00D5618C" w:rsidRPr="00810932" w:rsidRDefault="00D5618C" w:rsidP="000C3F95">
            <w:pPr>
              <w:spacing w:after="0" w:line="360" w:lineRule="auto"/>
              <w:rPr>
                <w:rFonts w:cs="Times New Roman"/>
                <w:i/>
                <w:lang w:val="en-US"/>
              </w:rPr>
            </w:pPr>
          </w:p>
        </w:tc>
        <w:tc>
          <w:tcPr>
            <w:tcW w:w="1144" w:type="pct"/>
            <w:vAlign w:val="center"/>
          </w:tcPr>
          <w:p w14:paraId="62B21AF1" w14:textId="77777777" w:rsidR="00D5618C" w:rsidRPr="00810932" w:rsidRDefault="00D5618C" w:rsidP="000C3F95">
            <w:pPr>
              <w:spacing w:after="0" w:line="360" w:lineRule="auto"/>
              <w:rPr>
                <w:rFonts w:cs="Times New Roman"/>
                <w:lang w:val="en-US"/>
              </w:rPr>
            </w:pPr>
          </w:p>
        </w:tc>
        <w:tc>
          <w:tcPr>
            <w:tcW w:w="700" w:type="pct"/>
            <w:vAlign w:val="center"/>
          </w:tcPr>
          <w:p w14:paraId="65C071C8" w14:textId="77777777" w:rsidR="00D5618C" w:rsidRPr="00810932" w:rsidRDefault="00D5618C" w:rsidP="000C3F95">
            <w:pPr>
              <w:spacing w:after="0" w:line="360" w:lineRule="auto"/>
              <w:rPr>
                <w:rFonts w:cs="Times New Roman"/>
                <w:lang w:val="en-US"/>
              </w:rPr>
            </w:pPr>
          </w:p>
        </w:tc>
      </w:tr>
      <w:tr w:rsidR="00810932" w:rsidRPr="00810932" w14:paraId="2D61F5AC" w14:textId="77777777" w:rsidTr="000C3F95">
        <w:trPr>
          <w:trHeight w:val="193"/>
        </w:trPr>
        <w:tc>
          <w:tcPr>
            <w:tcW w:w="1064" w:type="pct"/>
            <w:vAlign w:val="center"/>
          </w:tcPr>
          <w:p w14:paraId="1C207425"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Model 1 │</w:t>
            </w:r>
          </w:p>
        </w:tc>
        <w:tc>
          <w:tcPr>
            <w:tcW w:w="1030" w:type="pct"/>
            <w:shd w:val="clear" w:color="auto" w:fill="auto"/>
            <w:vAlign w:val="center"/>
          </w:tcPr>
          <w:p w14:paraId="24148144" w14:textId="77777777" w:rsidR="00D5618C" w:rsidRPr="00810932" w:rsidRDefault="00D5618C" w:rsidP="000C3F95">
            <w:pPr>
              <w:spacing w:after="0" w:line="360" w:lineRule="auto"/>
              <w:rPr>
                <w:rFonts w:cs="Times New Roman"/>
                <w:lang w:val="en-US"/>
              </w:rPr>
            </w:pPr>
            <w:r w:rsidRPr="00810932">
              <w:rPr>
                <w:rFonts w:cs="Times New Roman"/>
                <w:lang w:val="en-US"/>
              </w:rPr>
              <w:t>1.38 [0.46-4.18]</w:t>
            </w:r>
          </w:p>
        </w:tc>
        <w:tc>
          <w:tcPr>
            <w:tcW w:w="798" w:type="pct"/>
            <w:vAlign w:val="center"/>
          </w:tcPr>
          <w:p w14:paraId="41AFCEAB" w14:textId="77777777" w:rsidR="00D5618C" w:rsidRPr="00810932" w:rsidRDefault="00D5618C" w:rsidP="000C3F95">
            <w:pPr>
              <w:spacing w:after="0" w:line="360" w:lineRule="auto"/>
              <w:rPr>
                <w:rFonts w:cs="Times New Roman"/>
                <w:i/>
                <w:lang w:val="en-US"/>
              </w:rPr>
            </w:pPr>
            <w:r w:rsidRPr="00810932">
              <w:rPr>
                <w:rFonts w:cs="Times New Roman"/>
                <w:lang w:val="en-US"/>
              </w:rPr>
              <w:t xml:space="preserve">  0.6</w:t>
            </w:r>
          </w:p>
        </w:tc>
        <w:tc>
          <w:tcPr>
            <w:tcW w:w="264" w:type="pct"/>
            <w:vAlign w:val="center"/>
          </w:tcPr>
          <w:p w14:paraId="10983C1B" w14:textId="77777777" w:rsidR="00D5618C" w:rsidRPr="00810932" w:rsidRDefault="00D5618C" w:rsidP="000C3F95">
            <w:pPr>
              <w:spacing w:after="0" w:line="360" w:lineRule="auto"/>
              <w:rPr>
                <w:rFonts w:cs="Times New Roman"/>
                <w:i/>
                <w:lang w:val="en-US"/>
              </w:rPr>
            </w:pPr>
          </w:p>
        </w:tc>
        <w:tc>
          <w:tcPr>
            <w:tcW w:w="1144" w:type="pct"/>
            <w:vAlign w:val="center"/>
          </w:tcPr>
          <w:p w14:paraId="3B46A450" w14:textId="77777777" w:rsidR="00D5618C" w:rsidRPr="00810932" w:rsidRDefault="00D5618C" w:rsidP="000C3F95">
            <w:pPr>
              <w:spacing w:after="0" w:line="360" w:lineRule="auto"/>
              <w:rPr>
                <w:rFonts w:cs="Times New Roman"/>
                <w:lang w:val="en-US"/>
              </w:rPr>
            </w:pPr>
            <w:r w:rsidRPr="00810932">
              <w:rPr>
                <w:rFonts w:cs="Times New Roman"/>
                <w:lang w:val="en-US"/>
              </w:rPr>
              <w:t>0.95 [0.37-2.43]</w:t>
            </w:r>
          </w:p>
        </w:tc>
        <w:tc>
          <w:tcPr>
            <w:tcW w:w="700" w:type="pct"/>
            <w:vAlign w:val="center"/>
          </w:tcPr>
          <w:p w14:paraId="201A5600"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0.9</w:t>
            </w:r>
          </w:p>
        </w:tc>
      </w:tr>
      <w:tr w:rsidR="00810932" w:rsidRPr="00810932" w14:paraId="7EEB761B" w14:textId="77777777" w:rsidTr="000C3F95">
        <w:trPr>
          <w:trHeight w:val="193"/>
        </w:trPr>
        <w:tc>
          <w:tcPr>
            <w:tcW w:w="1064" w:type="pct"/>
            <w:tcBorders>
              <w:bottom w:val="single" w:sz="4" w:space="0" w:color="auto"/>
            </w:tcBorders>
            <w:vAlign w:val="center"/>
          </w:tcPr>
          <w:p w14:paraId="221A9FC1"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Model 2 </w:t>
            </w:r>
            <w:r w:rsidRPr="00810932">
              <w:rPr>
                <w:rFonts w:ascii="Arial" w:hAnsi="Arial" w:cs="Arial"/>
                <w:lang w:val="en-US"/>
              </w:rPr>
              <w:t>┼</w:t>
            </w:r>
          </w:p>
        </w:tc>
        <w:tc>
          <w:tcPr>
            <w:tcW w:w="1030" w:type="pct"/>
            <w:tcBorders>
              <w:bottom w:val="single" w:sz="4" w:space="0" w:color="auto"/>
            </w:tcBorders>
            <w:shd w:val="clear" w:color="auto" w:fill="auto"/>
            <w:vAlign w:val="center"/>
          </w:tcPr>
          <w:p w14:paraId="726F618A" w14:textId="77777777" w:rsidR="00D5618C" w:rsidRPr="00810932" w:rsidRDefault="00D5618C" w:rsidP="000C3F95">
            <w:pPr>
              <w:spacing w:after="0" w:line="360" w:lineRule="auto"/>
              <w:rPr>
                <w:rFonts w:cs="Times New Roman"/>
                <w:lang w:val="en-US"/>
              </w:rPr>
            </w:pPr>
            <w:r w:rsidRPr="00810932">
              <w:rPr>
                <w:rFonts w:cs="Times New Roman"/>
                <w:lang w:val="en-US"/>
              </w:rPr>
              <w:t>1.73 [0.59-5.11]</w:t>
            </w:r>
          </w:p>
        </w:tc>
        <w:tc>
          <w:tcPr>
            <w:tcW w:w="798" w:type="pct"/>
            <w:tcBorders>
              <w:bottom w:val="single" w:sz="4" w:space="0" w:color="auto"/>
            </w:tcBorders>
            <w:vAlign w:val="center"/>
          </w:tcPr>
          <w:p w14:paraId="35FDCE57"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0.3</w:t>
            </w:r>
          </w:p>
        </w:tc>
        <w:tc>
          <w:tcPr>
            <w:tcW w:w="264" w:type="pct"/>
            <w:tcBorders>
              <w:bottom w:val="single" w:sz="4" w:space="0" w:color="auto"/>
            </w:tcBorders>
            <w:vAlign w:val="center"/>
          </w:tcPr>
          <w:p w14:paraId="64E1A5F6" w14:textId="77777777" w:rsidR="00D5618C" w:rsidRPr="00810932" w:rsidRDefault="00D5618C" w:rsidP="000C3F95">
            <w:pPr>
              <w:spacing w:after="0" w:line="360" w:lineRule="auto"/>
              <w:rPr>
                <w:rFonts w:cs="Times New Roman"/>
                <w:lang w:val="en-US"/>
              </w:rPr>
            </w:pPr>
          </w:p>
        </w:tc>
        <w:tc>
          <w:tcPr>
            <w:tcW w:w="1144" w:type="pct"/>
            <w:tcBorders>
              <w:bottom w:val="single" w:sz="4" w:space="0" w:color="auto"/>
            </w:tcBorders>
            <w:vAlign w:val="center"/>
          </w:tcPr>
          <w:p w14:paraId="3FA8BDB6" w14:textId="77777777" w:rsidR="00D5618C" w:rsidRPr="00810932" w:rsidRDefault="00D5618C" w:rsidP="000C3F95">
            <w:pPr>
              <w:spacing w:after="0" w:line="360" w:lineRule="auto"/>
              <w:rPr>
                <w:rFonts w:cs="Times New Roman"/>
                <w:lang w:val="en-US"/>
              </w:rPr>
            </w:pPr>
            <w:r w:rsidRPr="00810932">
              <w:rPr>
                <w:rFonts w:cs="Times New Roman"/>
                <w:lang w:val="en-US"/>
              </w:rPr>
              <w:t>1.09 [0.44-2.69]</w:t>
            </w:r>
          </w:p>
        </w:tc>
        <w:tc>
          <w:tcPr>
            <w:tcW w:w="700" w:type="pct"/>
            <w:tcBorders>
              <w:bottom w:val="single" w:sz="4" w:space="0" w:color="auto"/>
            </w:tcBorders>
            <w:vAlign w:val="center"/>
          </w:tcPr>
          <w:p w14:paraId="4782C5CF" w14:textId="77777777" w:rsidR="00D5618C" w:rsidRPr="00810932" w:rsidRDefault="00D5618C" w:rsidP="000C3F95">
            <w:pPr>
              <w:spacing w:after="0" w:line="360" w:lineRule="auto"/>
              <w:rPr>
                <w:rFonts w:cs="Times New Roman"/>
                <w:lang w:val="en-US"/>
              </w:rPr>
            </w:pPr>
            <w:r w:rsidRPr="00810932">
              <w:rPr>
                <w:rFonts w:cs="Times New Roman"/>
                <w:lang w:val="en-US"/>
              </w:rPr>
              <w:t xml:space="preserve">  0.9</w:t>
            </w:r>
          </w:p>
        </w:tc>
      </w:tr>
    </w:tbl>
    <w:p w14:paraId="2A1ED6D5" w14:textId="77777777" w:rsidR="00D5618C" w:rsidRPr="00810932" w:rsidRDefault="00D5618C" w:rsidP="00D5618C">
      <w:pPr>
        <w:spacing w:after="0" w:line="360" w:lineRule="auto"/>
        <w:rPr>
          <w:rFonts w:cs="Times New Roman"/>
          <w:lang w:val="en-US"/>
        </w:rPr>
      </w:pPr>
      <w:r w:rsidRPr="00810932">
        <w:rPr>
          <w:rFonts w:cs="Times New Roman"/>
          <w:lang w:val="en-US"/>
        </w:rPr>
        <w:t>Supplementary Table 1: Cox regression analysis for cardiovascular mortality (total cohort).</w:t>
      </w:r>
    </w:p>
    <w:p w14:paraId="7C2467F1" w14:textId="77777777" w:rsidR="00D5618C" w:rsidRPr="00810932" w:rsidRDefault="00D5618C" w:rsidP="00D5618C">
      <w:pPr>
        <w:spacing w:after="0" w:line="360" w:lineRule="auto"/>
        <w:rPr>
          <w:rFonts w:cs="Times New Roman"/>
          <w:lang w:val="en-US"/>
        </w:rPr>
      </w:pPr>
      <w:r w:rsidRPr="00810932">
        <w:rPr>
          <w:rFonts w:cs="Times New Roman"/>
          <w:lang w:val="en-US"/>
        </w:rPr>
        <w:t>│ Adjusted for mean blood pressure and age*</w:t>
      </w:r>
    </w:p>
    <w:p w14:paraId="1BB47C18" w14:textId="77777777" w:rsidR="00D5618C" w:rsidRPr="00810932" w:rsidRDefault="00D5618C" w:rsidP="00D5618C">
      <w:pPr>
        <w:spacing w:after="0" w:line="360" w:lineRule="auto"/>
        <w:rPr>
          <w:rFonts w:cs="Times New Roman"/>
          <w:lang w:val="en-US"/>
        </w:rPr>
      </w:pPr>
      <w:r w:rsidRPr="00810932">
        <w:rPr>
          <w:rFonts w:ascii="Arial" w:hAnsi="Arial" w:cs="Arial"/>
          <w:shd w:val="clear" w:color="auto" w:fill="FFFFFF"/>
          <w:lang w:val="en-US"/>
        </w:rPr>
        <w:t>┼</w:t>
      </w:r>
      <w:r w:rsidRPr="00810932">
        <w:rPr>
          <w:rFonts w:cs="Times New Roman"/>
          <w:lang w:val="en-US"/>
        </w:rPr>
        <w:t xml:space="preserve"> Adjusted for Model 1 + CCI</w:t>
      </w:r>
    </w:p>
    <w:p w14:paraId="76095BCA" w14:textId="77777777" w:rsidR="00D5618C" w:rsidRPr="00810932" w:rsidRDefault="00D5618C" w:rsidP="00D5618C">
      <w:pPr>
        <w:spacing w:after="0" w:line="360" w:lineRule="auto"/>
        <w:rPr>
          <w:rFonts w:cs="Times New Roman"/>
          <w:lang w:val="en-US"/>
        </w:rPr>
      </w:pPr>
      <w:r w:rsidRPr="00810932">
        <w:rPr>
          <w:rFonts w:cs="Times New Roman"/>
          <w:lang w:val="en-US"/>
        </w:rPr>
        <w:t>*quadratic-transformation for age</w:t>
      </w:r>
    </w:p>
    <w:p w14:paraId="4A358A33" w14:textId="6AFF98C5" w:rsidR="006020A9" w:rsidRPr="00810932" w:rsidRDefault="006020A9">
      <w:pPr>
        <w:spacing w:after="160" w:line="259" w:lineRule="auto"/>
        <w:rPr>
          <w:rFonts w:cs="Times New Roman"/>
          <w:b/>
          <w:iCs/>
          <w:lang w:val="en-US"/>
        </w:rPr>
      </w:pPr>
      <w:r w:rsidRPr="00810932">
        <w:rPr>
          <w:rFonts w:cs="Times New Roman"/>
          <w:b/>
          <w:iCs/>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1"/>
      </w:tblPr>
      <w:tblGrid>
        <w:gridCol w:w="2259"/>
        <w:gridCol w:w="2095"/>
        <w:gridCol w:w="1198"/>
        <w:gridCol w:w="314"/>
        <w:gridCol w:w="1965"/>
        <w:gridCol w:w="1195"/>
      </w:tblGrid>
      <w:tr w:rsidR="00810932" w:rsidRPr="00CA6A04" w14:paraId="2C739E58" w14:textId="77777777" w:rsidTr="000C3F95">
        <w:trPr>
          <w:trHeight w:val="283"/>
        </w:trPr>
        <w:tc>
          <w:tcPr>
            <w:tcW w:w="0" w:type="auto"/>
            <w:gridSpan w:val="6"/>
            <w:shd w:val="clear" w:color="auto" w:fill="auto"/>
          </w:tcPr>
          <w:p w14:paraId="592CF303" w14:textId="77777777" w:rsidR="006020A9" w:rsidRPr="00810932" w:rsidRDefault="006020A9" w:rsidP="000C3F95">
            <w:pPr>
              <w:spacing w:after="0" w:line="360" w:lineRule="auto"/>
              <w:rPr>
                <w:rFonts w:cs="Times New Roman"/>
                <w:b/>
                <w:lang w:val="en-US"/>
              </w:rPr>
            </w:pPr>
            <w:r w:rsidRPr="00810932">
              <w:rPr>
                <w:rFonts w:cs="Times New Roman"/>
                <w:b/>
                <w:lang w:val="en-US"/>
              </w:rPr>
              <w:lastRenderedPageBreak/>
              <w:t>Supplementary Table 2: Cox regression analysis for cardiovascular mortality in patients without heart failure and atrial fibrillation</w:t>
            </w:r>
          </w:p>
        </w:tc>
      </w:tr>
      <w:tr w:rsidR="00810932" w:rsidRPr="00810932" w14:paraId="03E0F673" w14:textId="77777777" w:rsidTr="000C3F95">
        <w:trPr>
          <w:trHeight w:val="283"/>
        </w:trPr>
        <w:tc>
          <w:tcPr>
            <w:tcW w:w="0" w:type="auto"/>
            <w:tcBorders>
              <w:top w:val="single" w:sz="4" w:space="0" w:color="auto"/>
            </w:tcBorders>
            <w:shd w:val="clear" w:color="auto" w:fill="auto"/>
          </w:tcPr>
          <w:p w14:paraId="6A8E7127" w14:textId="77777777" w:rsidR="006020A9" w:rsidRPr="00810932" w:rsidRDefault="006020A9" w:rsidP="000C3F95">
            <w:pPr>
              <w:spacing w:after="0" w:line="360" w:lineRule="auto"/>
              <w:rPr>
                <w:rFonts w:cs="Times New Roman"/>
                <w:b/>
                <w:lang w:val="en-US"/>
              </w:rPr>
            </w:pPr>
          </w:p>
        </w:tc>
        <w:tc>
          <w:tcPr>
            <w:tcW w:w="0" w:type="auto"/>
            <w:gridSpan w:val="2"/>
            <w:tcBorders>
              <w:top w:val="single" w:sz="4" w:space="0" w:color="auto"/>
              <w:bottom w:val="single" w:sz="4" w:space="0" w:color="auto"/>
            </w:tcBorders>
            <w:shd w:val="clear" w:color="auto" w:fill="auto"/>
          </w:tcPr>
          <w:p w14:paraId="7597E78A"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24-hour values</w:t>
            </w:r>
          </w:p>
          <w:p w14:paraId="5F9A9B6E"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n = 239</w:t>
            </w:r>
          </w:p>
        </w:tc>
        <w:tc>
          <w:tcPr>
            <w:tcW w:w="0" w:type="auto"/>
            <w:tcBorders>
              <w:top w:val="single" w:sz="4" w:space="0" w:color="auto"/>
            </w:tcBorders>
          </w:tcPr>
          <w:p w14:paraId="4949C65E" w14:textId="77777777" w:rsidR="006020A9" w:rsidRPr="00810932" w:rsidRDefault="006020A9" w:rsidP="000C3F95">
            <w:pPr>
              <w:spacing w:after="0" w:line="360" w:lineRule="auto"/>
              <w:jc w:val="center"/>
              <w:rPr>
                <w:rFonts w:cs="Times New Roman"/>
                <w:b/>
                <w:lang w:val="en-US"/>
              </w:rPr>
            </w:pPr>
          </w:p>
        </w:tc>
        <w:tc>
          <w:tcPr>
            <w:tcW w:w="0" w:type="auto"/>
            <w:gridSpan w:val="2"/>
            <w:tcBorders>
              <w:top w:val="single" w:sz="4" w:space="0" w:color="auto"/>
              <w:bottom w:val="single" w:sz="4" w:space="0" w:color="auto"/>
            </w:tcBorders>
            <w:shd w:val="clear" w:color="auto" w:fill="auto"/>
          </w:tcPr>
          <w:p w14:paraId="2E4BE435"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Office values</w:t>
            </w:r>
          </w:p>
          <w:p w14:paraId="307E99D9"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n = 239</w:t>
            </w:r>
          </w:p>
        </w:tc>
      </w:tr>
      <w:tr w:rsidR="00810932" w:rsidRPr="00810932" w14:paraId="51DA3CAB" w14:textId="77777777" w:rsidTr="000C3F95">
        <w:trPr>
          <w:trHeight w:val="193"/>
        </w:trPr>
        <w:tc>
          <w:tcPr>
            <w:tcW w:w="0" w:type="auto"/>
            <w:tcBorders>
              <w:bottom w:val="single" w:sz="4" w:space="0" w:color="auto"/>
            </w:tcBorders>
          </w:tcPr>
          <w:p w14:paraId="685B3A5E" w14:textId="77777777" w:rsidR="006020A9" w:rsidRPr="00810932" w:rsidRDefault="006020A9" w:rsidP="000C3F95">
            <w:pPr>
              <w:spacing w:after="0" w:line="360" w:lineRule="auto"/>
              <w:rPr>
                <w:rFonts w:cs="Times New Roman"/>
                <w:b/>
                <w:lang w:val="en-US"/>
              </w:rPr>
            </w:pPr>
            <w:r w:rsidRPr="00810932">
              <w:rPr>
                <w:rFonts w:cs="Times New Roman"/>
                <w:b/>
                <w:lang w:val="en-US"/>
              </w:rPr>
              <w:t>PWV</w:t>
            </w:r>
          </w:p>
        </w:tc>
        <w:tc>
          <w:tcPr>
            <w:tcW w:w="0" w:type="auto"/>
            <w:tcBorders>
              <w:top w:val="single" w:sz="4" w:space="0" w:color="auto"/>
              <w:bottom w:val="single" w:sz="4" w:space="0" w:color="auto"/>
            </w:tcBorders>
            <w:shd w:val="clear" w:color="auto" w:fill="auto"/>
          </w:tcPr>
          <w:p w14:paraId="0EDB28E1" w14:textId="77777777" w:rsidR="006020A9" w:rsidRPr="00810932" w:rsidRDefault="006020A9" w:rsidP="000C3F95">
            <w:pPr>
              <w:spacing w:after="0" w:line="360" w:lineRule="auto"/>
              <w:rPr>
                <w:rFonts w:cs="Times New Roman"/>
                <w:b/>
                <w:lang w:val="en-US"/>
              </w:rPr>
            </w:pPr>
            <w:r w:rsidRPr="00810932">
              <w:rPr>
                <w:rFonts w:cs="Times New Roman"/>
                <w:b/>
                <w:lang w:val="en-US"/>
              </w:rPr>
              <w:t>HR [95%-CI]</w:t>
            </w:r>
          </w:p>
        </w:tc>
        <w:tc>
          <w:tcPr>
            <w:tcW w:w="0" w:type="auto"/>
            <w:tcBorders>
              <w:top w:val="single" w:sz="4" w:space="0" w:color="auto"/>
              <w:bottom w:val="single" w:sz="4" w:space="0" w:color="auto"/>
            </w:tcBorders>
          </w:tcPr>
          <w:p w14:paraId="08BBF577" w14:textId="77777777" w:rsidR="006020A9" w:rsidRPr="00810932" w:rsidRDefault="006020A9" w:rsidP="000C3F95">
            <w:pPr>
              <w:spacing w:after="0" w:line="360" w:lineRule="auto"/>
              <w:rPr>
                <w:rFonts w:cs="Times New Roman"/>
                <w:b/>
                <w:lang w:val="en-US"/>
              </w:rPr>
            </w:pPr>
            <w:r w:rsidRPr="00810932">
              <w:rPr>
                <w:rFonts w:cs="Times New Roman"/>
                <w:b/>
                <w:i/>
                <w:lang w:val="en-US"/>
              </w:rPr>
              <w:t>P</w:t>
            </w:r>
            <w:r w:rsidRPr="00810932">
              <w:rPr>
                <w:rFonts w:cs="Times New Roman"/>
                <w:b/>
                <w:lang w:val="en-US"/>
              </w:rPr>
              <w:t>-value</w:t>
            </w:r>
          </w:p>
        </w:tc>
        <w:tc>
          <w:tcPr>
            <w:tcW w:w="0" w:type="auto"/>
            <w:tcBorders>
              <w:bottom w:val="single" w:sz="4" w:space="0" w:color="auto"/>
            </w:tcBorders>
          </w:tcPr>
          <w:p w14:paraId="2DC492C6" w14:textId="77777777" w:rsidR="006020A9" w:rsidRPr="00810932" w:rsidRDefault="006020A9" w:rsidP="000C3F95">
            <w:pPr>
              <w:spacing w:after="0" w:line="360" w:lineRule="auto"/>
              <w:rPr>
                <w:rFonts w:cs="Times New Roman"/>
                <w:b/>
                <w:lang w:val="en-US"/>
              </w:rPr>
            </w:pPr>
          </w:p>
        </w:tc>
        <w:tc>
          <w:tcPr>
            <w:tcW w:w="0" w:type="auto"/>
            <w:tcBorders>
              <w:top w:val="single" w:sz="4" w:space="0" w:color="auto"/>
              <w:bottom w:val="single" w:sz="4" w:space="0" w:color="auto"/>
            </w:tcBorders>
          </w:tcPr>
          <w:p w14:paraId="693F86C6" w14:textId="77777777" w:rsidR="006020A9" w:rsidRPr="00810932" w:rsidRDefault="006020A9" w:rsidP="000C3F95">
            <w:pPr>
              <w:spacing w:after="0" w:line="360" w:lineRule="auto"/>
              <w:rPr>
                <w:rFonts w:cs="Times New Roman"/>
                <w:b/>
                <w:lang w:val="en-US"/>
              </w:rPr>
            </w:pPr>
            <w:r w:rsidRPr="00810932">
              <w:rPr>
                <w:rFonts w:cs="Times New Roman"/>
                <w:b/>
                <w:lang w:val="en-US"/>
              </w:rPr>
              <w:t xml:space="preserve">  HR [95%-CI]</w:t>
            </w:r>
          </w:p>
        </w:tc>
        <w:tc>
          <w:tcPr>
            <w:tcW w:w="0" w:type="auto"/>
            <w:tcBorders>
              <w:top w:val="single" w:sz="4" w:space="0" w:color="auto"/>
              <w:bottom w:val="single" w:sz="4" w:space="0" w:color="auto"/>
            </w:tcBorders>
          </w:tcPr>
          <w:p w14:paraId="452259C2" w14:textId="77777777" w:rsidR="006020A9" w:rsidRPr="00810932" w:rsidRDefault="006020A9" w:rsidP="000C3F95">
            <w:pPr>
              <w:spacing w:after="0" w:line="360" w:lineRule="auto"/>
              <w:rPr>
                <w:rFonts w:cs="Times New Roman"/>
                <w:b/>
                <w:lang w:val="en-US"/>
              </w:rPr>
            </w:pPr>
            <w:r w:rsidRPr="00810932">
              <w:rPr>
                <w:rFonts w:cs="Times New Roman"/>
                <w:b/>
                <w:i/>
                <w:lang w:val="en-US"/>
              </w:rPr>
              <w:t>P</w:t>
            </w:r>
            <w:r w:rsidRPr="00810932">
              <w:rPr>
                <w:rFonts w:cs="Times New Roman"/>
                <w:b/>
                <w:lang w:val="en-US"/>
              </w:rPr>
              <w:t>-value</w:t>
            </w:r>
          </w:p>
        </w:tc>
      </w:tr>
      <w:tr w:rsidR="00810932" w:rsidRPr="00810932" w14:paraId="5EB3A6D1" w14:textId="77777777" w:rsidTr="000C3F95">
        <w:trPr>
          <w:trHeight w:val="193"/>
        </w:trPr>
        <w:tc>
          <w:tcPr>
            <w:tcW w:w="0" w:type="auto"/>
            <w:tcBorders>
              <w:top w:val="single" w:sz="4" w:space="0" w:color="auto"/>
            </w:tcBorders>
            <w:vAlign w:val="center"/>
          </w:tcPr>
          <w:p w14:paraId="3C565A1E" w14:textId="77777777" w:rsidR="006020A9" w:rsidRPr="00810932" w:rsidRDefault="006020A9" w:rsidP="000C3F95">
            <w:pPr>
              <w:spacing w:after="0" w:line="360" w:lineRule="auto"/>
              <w:rPr>
                <w:rFonts w:cs="Times New Roman"/>
                <w:lang w:val="en-US"/>
              </w:rPr>
            </w:pPr>
            <w:r w:rsidRPr="00810932">
              <w:rPr>
                <w:rFonts w:cs="Times New Roman"/>
                <w:lang w:val="en-US"/>
              </w:rPr>
              <w:t>Unadjusted PWV</w:t>
            </w:r>
          </w:p>
        </w:tc>
        <w:tc>
          <w:tcPr>
            <w:tcW w:w="0" w:type="auto"/>
            <w:tcBorders>
              <w:top w:val="single" w:sz="4" w:space="0" w:color="auto"/>
            </w:tcBorders>
            <w:shd w:val="clear" w:color="auto" w:fill="auto"/>
            <w:vAlign w:val="center"/>
          </w:tcPr>
          <w:p w14:paraId="57CBFD40" w14:textId="77777777" w:rsidR="006020A9" w:rsidRPr="00810932" w:rsidRDefault="006020A9" w:rsidP="000C3F95">
            <w:pPr>
              <w:spacing w:after="0" w:line="360" w:lineRule="auto"/>
              <w:rPr>
                <w:rFonts w:cs="Times New Roman"/>
                <w:lang w:val="en-US"/>
              </w:rPr>
            </w:pPr>
            <w:r w:rsidRPr="00810932">
              <w:rPr>
                <w:rFonts w:cs="Times New Roman"/>
                <w:lang w:val="en-US"/>
              </w:rPr>
              <w:t>1.42 [1.11-1.83]</w:t>
            </w:r>
          </w:p>
        </w:tc>
        <w:tc>
          <w:tcPr>
            <w:tcW w:w="0" w:type="auto"/>
            <w:tcBorders>
              <w:top w:val="single" w:sz="4" w:space="0" w:color="auto"/>
            </w:tcBorders>
            <w:vAlign w:val="center"/>
          </w:tcPr>
          <w:p w14:paraId="47BF5D9C"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0.006</w:t>
            </w:r>
          </w:p>
        </w:tc>
        <w:tc>
          <w:tcPr>
            <w:tcW w:w="0" w:type="auto"/>
            <w:tcBorders>
              <w:top w:val="single" w:sz="4" w:space="0" w:color="auto"/>
            </w:tcBorders>
            <w:vAlign w:val="center"/>
          </w:tcPr>
          <w:p w14:paraId="13770FF4" w14:textId="77777777" w:rsidR="006020A9" w:rsidRPr="00810932" w:rsidRDefault="006020A9" w:rsidP="000C3F95">
            <w:pPr>
              <w:spacing w:after="0" w:line="360" w:lineRule="auto"/>
              <w:rPr>
                <w:rFonts w:cs="Times New Roman"/>
                <w:i/>
                <w:lang w:val="en-US"/>
              </w:rPr>
            </w:pPr>
          </w:p>
        </w:tc>
        <w:tc>
          <w:tcPr>
            <w:tcW w:w="0" w:type="auto"/>
            <w:tcBorders>
              <w:top w:val="single" w:sz="4" w:space="0" w:color="auto"/>
            </w:tcBorders>
            <w:vAlign w:val="center"/>
          </w:tcPr>
          <w:p w14:paraId="59ABB4CB" w14:textId="77777777" w:rsidR="006020A9" w:rsidRPr="00810932" w:rsidRDefault="006020A9" w:rsidP="000C3F95">
            <w:pPr>
              <w:spacing w:after="0" w:line="360" w:lineRule="auto"/>
              <w:rPr>
                <w:rFonts w:cs="Times New Roman"/>
                <w:lang w:val="en-US"/>
              </w:rPr>
            </w:pPr>
            <w:r w:rsidRPr="00810932">
              <w:rPr>
                <w:rFonts w:cs="Times New Roman"/>
                <w:lang w:val="en-US"/>
              </w:rPr>
              <w:t>1.37 [1.06-1.77]</w:t>
            </w:r>
          </w:p>
        </w:tc>
        <w:tc>
          <w:tcPr>
            <w:tcW w:w="0" w:type="auto"/>
            <w:tcBorders>
              <w:top w:val="single" w:sz="4" w:space="0" w:color="auto"/>
            </w:tcBorders>
            <w:vAlign w:val="center"/>
          </w:tcPr>
          <w:p w14:paraId="2B43AF95"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0.02</w:t>
            </w:r>
          </w:p>
        </w:tc>
      </w:tr>
      <w:tr w:rsidR="00810932" w:rsidRPr="00810932" w14:paraId="76DCCB95" w14:textId="77777777" w:rsidTr="000C3F95">
        <w:trPr>
          <w:trHeight w:val="193"/>
        </w:trPr>
        <w:tc>
          <w:tcPr>
            <w:tcW w:w="0" w:type="auto"/>
            <w:vAlign w:val="center"/>
          </w:tcPr>
          <w:p w14:paraId="2D1388E7"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Adjusted PWV</w:t>
            </w:r>
          </w:p>
        </w:tc>
        <w:tc>
          <w:tcPr>
            <w:tcW w:w="0" w:type="auto"/>
            <w:shd w:val="clear" w:color="auto" w:fill="auto"/>
            <w:vAlign w:val="center"/>
          </w:tcPr>
          <w:p w14:paraId="6177CBC0" w14:textId="77777777" w:rsidR="006020A9" w:rsidRPr="00810932" w:rsidRDefault="006020A9" w:rsidP="000C3F95">
            <w:pPr>
              <w:spacing w:after="0" w:line="360" w:lineRule="auto"/>
              <w:rPr>
                <w:rFonts w:cs="Times New Roman"/>
                <w:lang w:val="en-US"/>
              </w:rPr>
            </w:pPr>
          </w:p>
        </w:tc>
        <w:tc>
          <w:tcPr>
            <w:tcW w:w="0" w:type="auto"/>
            <w:vAlign w:val="center"/>
          </w:tcPr>
          <w:p w14:paraId="4BD069AE" w14:textId="77777777" w:rsidR="006020A9" w:rsidRPr="00810932" w:rsidRDefault="006020A9" w:rsidP="000C3F95">
            <w:pPr>
              <w:spacing w:after="0" w:line="360" w:lineRule="auto"/>
              <w:rPr>
                <w:rFonts w:cs="Times New Roman"/>
                <w:i/>
                <w:lang w:val="en-US"/>
              </w:rPr>
            </w:pPr>
          </w:p>
        </w:tc>
        <w:tc>
          <w:tcPr>
            <w:tcW w:w="0" w:type="auto"/>
            <w:vAlign w:val="center"/>
          </w:tcPr>
          <w:p w14:paraId="15730564" w14:textId="77777777" w:rsidR="006020A9" w:rsidRPr="00810932" w:rsidRDefault="006020A9" w:rsidP="000C3F95">
            <w:pPr>
              <w:spacing w:after="0" w:line="360" w:lineRule="auto"/>
              <w:rPr>
                <w:rFonts w:cs="Times New Roman"/>
                <w:i/>
                <w:lang w:val="en-US"/>
              </w:rPr>
            </w:pPr>
          </w:p>
        </w:tc>
        <w:tc>
          <w:tcPr>
            <w:tcW w:w="0" w:type="auto"/>
            <w:vAlign w:val="center"/>
          </w:tcPr>
          <w:p w14:paraId="78A2843F" w14:textId="77777777" w:rsidR="006020A9" w:rsidRPr="00810932" w:rsidRDefault="006020A9" w:rsidP="000C3F95">
            <w:pPr>
              <w:spacing w:after="0" w:line="360" w:lineRule="auto"/>
              <w:rPr>
                <w:rFonts w:cs="Times New Roman"/>
                <w:lang w:val="en-US"/>
              </w:rPr>
            </w:pPr>
          </w:p>
        </w:tc>
        <w:tc>
          <w:tcPr>
            <w:tcW w:w="0" w:type="auto"/>
            <w:vAlign w:val="center"/>
          </w:tcPr>
          <w:p w14:paraId="0DB86A90" w14:textId="77777777" w:rsidR="006020A9" w:rsidRPr="00810932" w:rsidRDefault="006020A9" w:rsidP="000C3F95">
            <w:pPr>
              <w:spacing w:after="0" w:line="360" w:lineRule="auto"/>
              <w:rPr>
                <w:rFonts w:cs="Times New Roman"/>
                <w:lang w:val="en-US"/>
              </w:rPr>
            </w:pPr>
          </w:p>
        </w:tc>
      </w:tr>
      <w:tr w:rsidR="00810932" w:rsidRPr="00810932" w14:paraId="7DAC1636" w14:textId="77777777" w:rsidTr="000C3F95">
        <w:trPr>
          <w:trHeight w:val="193"/>
        </w:trPr>
        <w:tc>
          <w:tcPr>
            <w:tcW w:w="0" w:type="auto"/>
            <w:vAlign w:val="center"/>
          </w:tcPr>
          <w:p w14:paraId="0F7B18F4"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Model 1 │</w:t>
            </w:r>
          </w:p>
        </w:tc>
        <w:tc>
          <w:tcPr>
            <w:tcW w:w="0" w:type="auto"/>
            <w:shd w:val="clear" w:color="auto" w:fill="auto"/>
            <w:vAlign w:val="center"/>
          </w:tcPr>
          <w:p w14:paraId="00790C01" w14:textId="77777777" w:rsidR="006020A9" w:rsidRPr="00810932" w:rsidRDefault="006020A9" w:rsidP="000C3F95">
            <w:pPr>
              <w:spacing w:after="0" w:line="360" w:lineRule="auto"/>
              <w:rPr>
                <w:rFonts w:cs="Times New Roman"/>
                <w:lang w:val="en-US"/>
              </w:rPr>
            </w:pPr>
            <w:r w:rsidRPr="00810932">
              <w:rPr>
                <w:rFonts w:cs="Times New Roman"/>
                <w:lang w:val="en-US"/>
              </w:rPr>
              <w:t>6.11 [1.35-27.64]</w:t>
            </w:r>
          </w:p>
        </w:tc>
        <w:tc>
          <w:tcPr>
            <w:tcW w:w="0" w:type="auto"/>
            <w:vAlign w:val="center"/>
          </w:tcPr>
          <w:p w14:paraId="3ECE4127" w14:textId="77777777" w:rsidR="006020A9" w:rsidRPr="00810932" w:rsidRDefault="006020A9" w:rsidP="000C3F95">
            <w:pPr>
              <w:spacing w:after="0" w:line="360" w:lineRule="auto"/>
              <w:rPr>
                <w:rFonts w:cs="Times New Roman"/>
                <w:i/>
                <w:lang w:val="en-US"/>
              </w:rPr>
            </w:pPr>
            <w:r w:rsidRPr="00810932">
              <w:rPr>
                <w:rFonts w:cs="Times New Roman"/>
                <w:lang w:val="en-US"/>
              </w:rPr>
              <w:t xml:space="preserve">  0.02</w:t>
            </w:r>
          </w:p>
        </w:tc>
        <w:tc>
          <w:tcPr>
            <w:tcW w:w="0" w:type="auto"/>
            <w:vAlign w:val="center"/>
          </w:tcPr>
          <w:p w14:paraId="09A65741" w14:textId="77777777" w:rsidR="006020A9" w:rsidRPr="00810932" w:rsidRDefault="006020A9" w:rsidP="000C3F95">
            <w:pPr>
              <w:spacing w:after="0" w:line="360" w:lineRule="auto"/>
              <w:rPr>
                <w:rFonts w:cs="Times New Roman"/>
                <w:i/>
                <w:lang w:val="en-US"/>
              </w:rPr>
            </w:pPr>
          </w:p>
        </w:tc>
        <w:tc>
          <w:tcPr>
            <w:tcW w:w="0" w:type="auto"/>
            <w:vAlign w:val="center"/>
          </w:tcPr>
          <w:p w14:paraId="4D6E0EA3" w14:textId="77777777" w:rsidR="006020A9" w:rsidRPr="00810932" w:rsidRDefault="006020A9" w:rsidP="000C3F95">
            <w:pPr>
              <w:spacing w:after="0" w:line="360" w:lineRule="auto"/>
              <w:rPr>
                <w:rFonts w:cs="Times New Roman"/>
                <w:lang w:val="en-US"/>
              </w:rPr>
            </w:pPr>
            <w:r w:rsidRPr="00810932">
              <w:rPr>
                <w:rFonts w:cs="Times New Roman"/>
                <w:lang w:val="en-US"/>
              </w:rPr>
              <w:t>1.79 [0.41-7.71]</w:t>
            </w:r>
          </w:p>
        </w:tc>
        <w:tc>
          <w:tcPr>
            <w:tcW w:w="0" w:type="auto"/>
            <w:vAlign w:val="center"/>
          </w:tcPr>
          <w:p w14:paraId="12345BA2"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0.4</w:t>
            </w:r>
          </w:p>
        </w:tc>
      </w:tr>
      <w:tr w:rsidR="00810932" w:rsidRPr="00810932" w14:paraId="5D4291E2" w14:textId="77777777" w:rsidTr="000C3F95">
        <w:trPr>
          <w:trHeight w:val="193"/>
        </w:trPr>
        <w:tc>
          <w:tcPr>
            <w:tcW w:w="0" w:type="auto"/>
            <w:tcBorders>
              <w:bottom w:val="single" w:sz="4" w:space="0" w:color="auto"/>
            </w:tcBorders>
            <w:vAlign w:val="center"/>
          </w:tcPr>
          <w:p w14:paraId="4DDD16F1"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Model 2 </w:t>
            </w:r>
            <w:r w:rsidRPr="00810932">
              <w:rPr>
                <w:rFonts w:ascii="Arial" w:hAnsi="Arial" w:cs="Arial"/>
                <w:shd w:val="clear" w:color="auto" w:fill="FFFFFF"/>
                <w:lang w:val="en-US"/>
              </w:rPr>
              <w:t>┼</w:t>
            </w:r>
          </w:p>
        </w:tc>
        <w:tc>
          <w:tcPr>
            <w:tcW w:w="0" w:type="auto"/>
            <w:tcBorders>
              <w:bottom w:val="single" w:sz="4" w:space="0" w:color="auto"/>
            </w:tcBorders>
            <w:shd w:val="clear" w:color="auto" w:fill="auto"/>
            <w:vAlign w:val="center"/>
          </w:tcPr>
          <w:p w14:paraId="35C6092C" w14:textId="77777777" w:rsidR="006020A9" w:rsidRPr="00810932" w:rsidRDefault="006020A9" w:rsidP="000C3F95">
            <w:pPr>
              <w:spacing w:after="0" w:line="360" w:lineRule="auto"/>
              <w:rPr>
                <w:rFonts w:cs="Times New Roman"/>
                <w:lang w:val="en-US"/>
              </w:rPr>
            </w:pPr>
            <w:r w:rsidRPr="00810932">
              <w:rPr>
                <w:rFonts w:cs="Times New Roman"/>
                <w:lang w:val="en-US"/>
              </w:rPr>
              <w:t>6.36 [1.23-32.16]</w:t>
            </w:r>
          </w:p>
        </w:tc>
        <w:tc>
          <w:tcPr>
            <w:tcW w:w="0" w:type="auto"/>
            <w:tcBorders>
              <w:bottom w:val="single" w:sz="4" w:space="0" w:color="auto"/>
            </w:tcBorders>
            <w:vAlign w:val="center"/>
          </w:tcPr>
          <w:p w14:paraId="095AACDD"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0.03</w:t>
            </w:r>
          </w:p>
        </w:tc>
        <w:tc>
          <w:tcPr>
            <w:tcW w:w="0" w:type="auto"/>
            <w:tcBorders>
              <w:bottom w:val="single" w:sz="4" w:space="0" w:color="auto"/>
            </w:tcBorders>
            <w:vAlign w:val="center"/>
          </w:tcPr>
          <w:p w14:paraId="76A63F86" w14:textId="77777777" w:rsidR="006020A9" w:rsidRPr="00810932" w:rsidRDefault="006020A9" w:rsidP="000C3F95">
            <w:pPr>
              <w:spacing w:after="0" w:line="360" w:lineRule="auto"/>
              <w:rPr>
                <w:rFonts w:cs="Times New Roman"/>
                <w:lang w:val="en-US"/>
              </w:rPr>
            </w:pPr>
          </w:p>
        </w:tc>
        <w:tc>
          <w:tcPr>
            <w:tcW w:w="0" w:type="auto"/>
            <w:tcBorders>
              <w:bottom w:val="single" w:sz="4" w:space="0" w:color="auto"/>
            </w:tcBorders>
            <w:vAlign w:val="center"/>
          </w:tcPr>
          <w:p w14:paraId="62DFDC15" w14:textId="77777777" w:rsidR="006020A9" w:rsidRPr="00810932" w:rsidRDefault="006020A9" w:rsidP="000C3F95">
            <w:pPr>
              <w:spacing w:after="0" w:line="360" w:lineRule="auto"/>
              <w:rPr>
                <w:rFonts w:cs="Times New Roman"/>
                <w:lang w:val="en-US"/>
              </w:rPr>
            </w:pPr>
            <w:r w:rsidRPr="00810932">
              <w:rPr>
                <w:rFonts w:cs="Times New Roman"/>
                <w:lang w:val="en-US"/>
              </w:rPr>
              <w:t>1.74 [0.40-7.59]</w:t>
            </w:r>
          </w:p>
        </w:tc>
        <w:tc>
          <w:tcPr>
            <w:tcW w:w="0" w:type="auto"/>
            <w:tcBorders>
              <w:bottom w:val="single" w:sz="4" w:space="0" w:color="auto"/>
            </w:tcBorders>
            <w:vAlign w:val="center"/>
          </w:tcPr>
          <w:p w14:paraId="410AFAC1" w14:textId="77777777" w:rsidR="006020A9" w:rsidRPr="00810932" w:rsidRDefault="006020A9" w:rsidP="000C3F95">
            <w:pPr>
              <w:spacing w:after="0" w:line="360" w:lineRule="auto"/>
              <w:rPr>
                <w:rFonts w:cs="Times New Roman"/>
                <w:lang w:val="en-US"/>
              </w:rPr>
            </w:pPr>
            <w:r w:rsidRPr="00810932">
              <w:rPr>
                <w:rFonts w:cs="Times New Roman"/>
                <w:lang w:val="en-US"/>
              </w:rPr>
              <w:t xml:space="preserve">  0.5</w:t>
            </w:r>
          </w:p>
        </w:tc>
      </w:tr>
    </w:tbl>
    <w:p w14:paraId="5DE367C9" w14:textId="77777777" w:rsidR="006020A9" w:rsidRPr="00810932" w:rsidRDefault="006020A9" w:rsidP="006020A9">
      <w:pPr>
        <w:spacing w:after="0" w:line="360" w:lineRule="auto"/>
        <w:rPr>
          <w:rFonts w:cs="Times New Roman"/>
          <w:lang w:val="en-US"/>
        </w:rPr>
      </w:pPr>
      <w:r w:rsidRPr="00810932">
        <w:rPr>
          <w:rFonts w:cs="Times New Roman"/>
          <w:lang w:val="en-US"/>
        </w:rPr>
        <w:t xml:space="preserve">Supplementary Table 2: Cox regression analysis for cardiovascular mortality in patients without heart failure and atrial fibrillation. </w:t>
      </w:r>
    </w:p>
    <w:p w14:paraId="78117E4E" w14:textId="77777777" w:rsidR="006020A9" w:rsidRPr="00810932" w:rsidRDefault="006020A9" w:rsidP="006020A9">
      <w:pPr>
        <w:spacing w:after="0" w:line="360" w:lineRule="auto"/>
        <w:rPr>
          <w:rFonts w:cs="Times New Roman"/>
          <w:lang w:val="en-US"/>
        </w:rPr>
      </w:pPr>
      <w:r w:rsidRPr="00810932">
        <w:rPr>
          <w:rFonts w:cs="Times New Roman"/>
          <w:lang w:val="en-US"/>
        </w:rPr>
        <w:t>│ Adjusted for mean blood pressure and age*</w:t>
      </w:r>
    </w:p>
    <w:p w14:paraId="522772F1" w14:textId="77777777" w:rsidR="006020A9" w:rsidRPr="00810932" w:rsidRDefault="006020A9" w:rsidP="006020A9">
      <w:pPr>
        <w:spacing w:after="0" w:line="360" w:lineRule="auto"/>
        <w:rPr>
          <w:rFonts w:cs="Times New Roman"/>
          <w:lang w:val="en-US"/>
        </w:rPr>
      </w:pPr>
      <w:r w:rsidRPr="00810932">
        <w:rPr>
          <w:rFonts w:ascii="Arial" w:hAnsi="Arial" w:cs="Arial"/>
          <w:shd w:val="clear" w:color="auto" w:fill="FFFFFF"/>
          <w:lang w:val="en-US"/>
        </w:rPr>
        <w:t>┼</w:t>
      </w:r>
      <w:r w:rsidRPr="00810932">
        <w:rPr>
          <w:rFonts w:cs="Times New Roman"/>
          <w:lang w:val="en-US"/>
        </w:rPr>
        <w:t xml:space="preserve"> Adjusted for Model 1 + CCI</w:t>
      </w:r>
    </w:p>
    <w:p w14:paraId="4E716416" w14:textId="77777777" w:rsidR="006020A9" w:rsidRPr="00810932" w:rsidRDefault="006020A9" w:rsidP="006020A9">
      <w:pPr>
        <w:spacing w:after="0" w:line="360" w:lineRule="auto"/>
        <w:rPr>
          <w:rFonts w:cs="Times New Roman"/>
          <w:lang w:val="en-US"/>
        </w:rPr>
      </w:pPr>
      <w:r w:rsidRPr="00810932">
        <w:rPr>
          <w:rFonts w:cs="Times New Roman"/>
          <w:lang w:val="en-US"/>
        </w:rPr>
        <w:t xml:space="preserve">* </w:t>
      </w:r>
      <w:proofErr w:type="gramStart"/>
      <w:r w:rsidRPr="00810932">
        <w:rPr>
          <w:rFonts w:cs="Times New Roman"/>
          <w:lang w:val="en-US"/>
        </w:rPr>
        <w:t>quadratic-transformation</w:t>
      </w:r>
      <w:proofErr w:type="gramEnd"/>
      <w:r w:rsidRPr="00810932">
        <w:rPr>
          <w:rFonts w:cs="Times New Roman"/>
          <w:lang w:val="en-US"/>
        </w:rPr>
        <w:t xml:space="preserve"> for age</w:t>
      </w:r>
    </w:p>
    <w:p w14:paraId="6A949D9F" w14:textId="7695E36C" w:rsidR="006020A9" w:rsidRPr="00810932" w:rsidRDefault="006020A9">
      <w:pPr>
        <w:spacing w:after="160" w:line="259" w:lineRule="auto"/>
        <w:rPr>
          <w:rFonts w:cs="Times New Roman"/>
          <w:b/>
          <w:iCs/>
          <w:lang w:val="en-US"/>
        </w:rPr>
      </w:pPr>
      <w:r w:rsidRPr="00810932">
        <w:rPr>
          <w:rFonts w:cs="Times New Roman"/>
          <w:b/>
          <w:iCs/>
          <w:lang w:val="en-US"/>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1"/>
      </w:tblPr>
      <w:tblGrid>
        <w:gridCol w:w="4111"/>
        <w:gridCol w:w="1812"/>
        <w:gridCol w:w="2117"/>
        <w:gridCol w:w="708"/>
        <w:gridCol w:w="278"/>
      </w:tblGrid>
      <w:tr w:rsidR="00810932" w:rsidRPr="00CA6A04" w14:paraId="2053A64F" w14:textId="77777777" w:rsidTr="000C3F95">
        <w:trPr>
          <w:gridAfter w:val="1"/>
          <w:wAfter w:w="154" w:type="pct"/>
          <w:trHeight w:val="283"/>
        </w:trPr>
        <w:tc>
          <w:tcPr>
            <w:tcW w:w="4846" w:type="pct"/>
            <w:gridSpan w:val="4"/>
            <w:tcBorders>
              <w:bottom w:val="single" w:sz="4" w:space="0" w:color="auto"/>
            </w:tcBorders>
            <w:shd w:val="clear" w:color="auto" w:fill="auto"/>
            <w:vAlign w:val="center"/>
          </w:tcPr>
          <w:p w14:paraId="5F3F740B" w14:textId="77777777" w:rsidR="006020A9" w:rsidRPr="00810932" w:rsidRDefault="006020A9" w:rsidP="000C3F95">
            <w:pPr>
              <w:spacing w:after="0" w:line="360" w:lineRule="auto"/>
              <w:rPr>
                <w:rFonts w:cs="Times New Roman"/>
                <w:b/>
                <w:lang w:val="en-US"/>
              </w:rPr>
            </w:pPr>
            <w:r w:rsidRPr="00810932">
              <w:rPr>
                <w:rFonts w:cs="Times New Roman"/>
                <w:b/>
                <w:lang w:val="en-US"/>
              </w:rPr>
              <w:lastRenderedPageBreak/>
              <w:t>Supplementary Table 3: Comparison of the study population with excluded patients</w:t>
            </w:r>
          </w:p>
        </w:tc>
      </w:tr>
      <w:tr w:rsidR="00810932" w:rsidRPr="00810932" w14:paraId="2E63D24C" w14:textId="77777777" w:rsidTr="000C3F95">
        <w:trPr>
          <w:trHeight w:val="283"/>
        </w:trPr>
        <w:tc>
          <w:tcPr>
            <w:tcW w:w="2277" w:type="pct"/>
            <w:tcBorders>
              <w:top w:val="single" w:sz="4" w:space="0" w:color="auto"/>
              <w:bottom w:val="single" w:sz="4" w:space="0" w:color="auto"/>
            </w:tcBorders>
            <w:shd w:val="clear" w:color="auto" w:fill="auto"/>
            <w:vAlign w:val="center"/>
          </w:tcPr>
          <w:p w14:paraId="441FF625" w14:textId="77777777" w:rsidR="006020A9" w:rsidRPr="00810932" w:rsidRDefault="006020A9" w:rsidP="000C3F95">
            <w:pPr>
              <w:spacing w:after="0" w:line="360" w:lineRule="auto"/>
              <w:jc w:val="center"/>
              <w:rPr>
                <w:rFonts w:cs="Times New Roman"/>
                <w:b/>
                <w:lang w:val="en-US"/>
              </w:rPr>
            </w:pPr>
          </w:p>
        </w:tc>
        <w:tc>
          <w:tcPr>
            <w:tcW w:w="1004" w:type="pct"/>
            <w:tcBorders>
              <w:top w:val="single" w:sz="4" w:space="0" w:color="auto"/>
              <w:bottom w:val="single" w:sz="4" w:space="0" w:color="auto"/>
            </w:tcBorders>
            <w:shd w:val="clear" w:color="auto" w:fill="auto"/>
            <w:vAlign w:val="center"/>
          </w:tcPr>
          <w:p w14:paraId="1932D44B"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Study population</w:t>
            </w:r>
          </w:p>
          <w:p w14:paraId="4E06F578"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N = 344</w:t>
            </w:r>
          </w:p>
        </w:tc>
        <w:tc>
          <w:tcPr>
            <w:tcW w:w="1173" w:type="pct"/>
            <w:tcBorders>
              <w:top w:val="single" w:sz="4" w:space="0" w:color="auto"/>
              <w:bottom w:val="single" w:sz="4" w:space="0" w:color="auto"/>
            </w:tcBorders>
            <w:shd w:val="clear" w:color="auto" w:fill="auto"/>
            <w:vAlign w:val="center"/>
          </w:tcPr>
          <w:p w14:paraId="7C03ED95"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Excluded patients</w:t>
            </w:r>
          </w:p>
          <w:p w14:paraId="3DBE6A09"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N = 175</w:t>
            </w:r>
          </w:p>
        </w:tc>
        <w:tc>
          <w:tcPr>
            <w:tcW w:w="546" w:type="pct"/>
            <w:gridSpan w:val="2"/>
            <w:tcBorders>
              <w:top w:val="single" w:sz="4" w:space="0" w:color="auto"/>
              <w:bottom w:val="single" w:sz="4" w:space="0" w:color="auto"/>
            </w:tcBorders>
          </w:tcPr>
          <w:p w14:paraId="4CF6AD51" w14:textId="77777777" w:rsidR="006020A9" w:rsidRPr="00810932" w:rsidRDefault="006020A9" w:rsidP="000C3F95">
            <w:pPr>
              <w:spacing w:after="0" w:line="360" w:lineRule="auto"/>
              <w:jc w:val="center"/>
              <w:rPr>
                <w:rFonts w:cs="Times New Roman"/>
                <w:b/>
                <w:lang w:val="en-US"/>
              </w:rPr>
            </w:pPr>
            <w:r w:rsidRPr="00810932">
              <w:rPr>
                <w:rFonts w:cs="Times New Roman"/>
                <w:b/>
                <w:lang w:val="en-US"/>
              </w:rPr>
              <w:t>p-value</w:t>
            </w:r>
          </w:p>
        </w:tc>
      </w:tr>
      <w:tr w:rsidR="00810932" w:rsidRPr="00810932" w14:paraId="0A2F67EC" w14:textId="77777777" w:rsidTr="000C3F95">
        <w:tc>
          <w:tcPr>
            <w:tcW w:w="2277" w:type="pct"/>
            <w:tcBorders>
              <w:top w:val="single" w:sz="4" w:space="0" w:color="auto"/>
            </w:tcBorders>
            <w:shd w:val="clear" w:color="auto" w:fill="auto"/>
          </w:tcPr>
          <w:p w14:paraId="4687673B" w14:textId="77777777" w:rsidR="006020A9" w:rsidRPr="00810932" w:rsidRDefault="006020A9" w:rsidP="000C3F95">
            <w:pPr>
              <w:spacing w:after="0" w:line="360" w:lineRule="auto"/>
              <w:rPr>
                <w:rFonts w:cs="Times New Roman"/>
                <w:b/>
                <w:highlight w:val="green"/>
                <w:lang w:val="en-US"/>
              </w:rPr>
            </w:pPr>
            <w:r w:rsidRPr="00810932">
              <w:rPr>
                <w:rFonts w:cs="Times New Roman"/>
                <w:b/>
                <w:i/>
                <w:lang w:val="en-US"/>
              </w:rPr>
              <w:t>Clinical characteristics</w:t>
            </w:r>
          </w:p>
        </w:tc>
        <w:tc>
          <w:tcPr>
            <w:tcW w:w="1004" w:type="pct"/>
            <w:tcBorders>
              <w:top w:val="single" w:sz="4" w:space="0" w:color="auto"/>
            </w:tcBorders>
            <w:shd w:val="clear" w:color="auto" w:fill="auto"/>
          </w:tcPr>
          <w:p w14:paraId="5390100F" w14:textId="77777777" w:rsidR="006020A9" w:rsidRPr="00810932" w:rsidRDefault="006020A9" w:rsidP="000C3F95">
            <w:pPr>
              <w:spacing w:after="0" w:line="360" w:lineRule="auto"/>
              <w:jc w:val="center"/>
              <w:rPr>
                <w:rFonts w:cs="Times New Roman"/>
                <w:lang w:val="en-US"/>
              </w:rPr>
            </w:pPr>
          </w:p>
        </w:tc>
        <w:tc>
          <w:tcPr>
            <w:tcW w:w="1173" w:type="pct"/>
            <w:tcBorders>
              <w:top w:val="single" w:sz="4" w:space="0" w:color="auto"/>
            </w:tcBorders>
            <w:shd w:val="clear" w:color="auto" w:fill="auto"/>
          </w:tcPr>
          <w:p w14:paraId="58C4F02E" w14:textId="77777777" w:rsidR="006020A9" w:rsidRPr="00810932" w:rsidRDefault="006020A9" w:rsidP="000C3F95">
            <w:pPr>
              <w:spacing w:after="0" w:line="360" w:lineRule="auto"/>
              <w:jc w:val="center"/>
              <w:rPr>
                <w:rFonts w:cs="Times New Roman"/>
                <w:lang w:val="en-US"/>
              </w:rPr>
            </w:pPr>
          </w:p>
        </w:tc>
        <w:tc>
          <w:tcPr>
            <w:tcW w:w="546" w:type="pct"/>
            <w:gridSpan w:val="2"/>
            <w:tcBorders>
              <w:top w:val="single" w:sz="4" w:space="0" w:color="auto"/>
            </w:tcBorders>
          </w:tcPr>
          <w:p w14:paraId="163F01A9" w14:textId="77777777" w:rsidR="006020A9" w:rsidRPr="00810932" w:rsidRDefault="006020A9" w:rsidP="000C3F95">
            <w:pPr>
              <w:spacing w:after="0" w:line="360" w:lineRule="auto"/>
              <w:jc w:val="center"/>
              <w:rPr>
                <w:rFonts w:cs="Times New Roman"/>
                <w:lang w:val="en-US"/>
              </w:rPr>
            </w:pPr>
          </w:p>
        </w:tc>
      </w:tr>
      <w:tr w:rsidR="00810932" w:rsidRPr="00810932" w14:paraId="5EBD0B24" w14:textId="77777777" w:rsidTr="000C3F95">
        <w:tc>
          <w:tcPr>
            <w:tcW w:w="2277" w:type="pct"/>
            <w:shd w:val="clear" w:color="auto" w:fill="auto"/>
          </w:tcPr>
          <w:p w14:paraId="57B26CB3" w14:textId="77777777" w:rsidR="006020A9" w:rsidRPr="00810932" w:rsidRDefault="006020A9" w:rsidP="000C3F95">
            <w:pPr>
              <w:spacing w:after="0" w:line="360" w:lineRule="auto"/>
              <w:rPr>
                <w:rFonts w:cs="Times New Roman"/>
                <w:b/>
                <w:lang w:val="en-US"/>
              </w:rPr>
            </w:pPr>
            <w:r w:rsidRPr="00810932">
              <w:rPr>
                <w:rFonts w:cs="Times New Roman"/>
                <w:b/>
                <w:lang w:val="en-US"/>
              </w:rPr>
              <w:t xml:space="preserve">Age – </w:t>
            </w:r>
            <w:proofErr w:type="spellStart"/>
            <w:r w:rsidRPr="00810932">
              <w:rPr>
                <w:rFonts w:cs="Times New Roman"/>
                <w:b/>
                <w:lang w:val="en-US"/>
              </w:rPr>
              <w:t>yr</w:t>
            </w:r>
            <w:proofErr w:type="spellEnd"/>
          </w:p>
        </w:tc>
        <w:tc>
          <w:tcPr>
            <w:tcW w:w="1004" w:type="pct"/>
            <w:shd w:val="clear" w:color="auto" w:fill="auto"/>
          </w:tcPr>
          <w:p w14:paraId="7300F00F" w14:textId="77777777" w:rsidR="006020A9" w:rsidRPr="00810932" w:rsidRDefault="006020A9" w:rsidP="000C3F95">
            <w:pPr>
              <w:spacing w:after="0" w:line="360" w:lineRule="auto"/>
              <w:jc w:val="center"/>
              <w:rPr>
                <w:rFonts w:cs="Times New Roman"/>
                <w:lang w:val="en-US"/>
              </w:rPr>
            </w:pPr>
            <w:r w:rsidRPr="00810932">
              <w:rPr>
                <w:rFonts w:cs="Times New Roman"/>
                <w:lang w:val="en-US"/>
              </w:rPr>
              <w:t>69.3 [55.7-77.2]</w:t>
            </w:r>
          </w:p>
        </w:tc>
        <w:tc>
          <w:tcPr>
            <w:tcW w:w="1173" w:type="pct"/>
            <w:shd w:val="clear" w:color="auto" w:fill="auto"/>
          </w:tcPr>
          <w:p w14:paraId="060651E9" w14:textId="77777777" w:rsidR="006020A9" w:rsidRPr="00810932" w:rsidRDefault="006020A9" w:rsidP="000C3F95">
            <w:pPr>
              <w:spacing w:after="0" w:line="360" w:lineRule="auto"/>
              <w:jc w:val="center"/>
              <w:rPr>
                <w:rFonts w:cs="Times New Roman"/>
                <w:lang w:val="en-US"/>
              </w:rPr>
            </w:pPr>
            <w:r w:rsidRPr="00810932">
              <w:rPr>
                <w:rFonts w:cs="Times New Roman"/>
                <w:lang w:val="en-US"/>
              </w:rPr>
              <w:t>65.5 [52.6-77.0]</w:t>
            </w:r>
          </w:p>
        </w:tc>
        <w:tc>
          <w:tcPr>
            <w:tcW w:w="546" w:type="pct"/>
            <w:gridSpan w:val="2"/>
          </w:tcPr>
          <w:p w14:paraId="3B80FED5"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0.34</w:t>
            </w:r>
          </w:p>
        </w:tc>
      </w:tr>
      <w:tr w:rsidR="00810932" w:rsidRPr="00810932" w14:paraId="764634F0" w14:textId="77777777" w:rsidTr="000C3F95">
        <w:tc>
          <w:tcPr>
            <w:tcW w:w="2277" w:type="pct"/>
            <w:shd w:val="clear" w:color="auto" w:fill="auto"/>
          </w:tcPr>
          <w:p w14:paraId="15615526" w14:textId="77777777" w:rsidR="006020A9" w:rsidRPr="00810932" w:rsidRDefault="006020A9" w:rsidP="000C3F95">
            <w:pPr>
              <w:spacing w:after="0" w:line="360" w:lineRule="auto"/>
              <w:rPr>
                <w:rFonts w:cs="Times New Roman"/>
                <w:b/>
                <w:lang w:val="en-US"/>
              </w:rPr>
            </w:pPr>
            <w:r w:rsidRPr="00810932">
              <w:rPr>
                <w:rFonts w:cs="Times New Roman"/>
                <w:b/>
                <w:lang w:val="en-US"/>
              </w:rPr>
              <w:t>Male sex – no. (%)</w:t>
            </w:r>
          </w:p>
        </w:tc>
        <w:tc>
          <w:tcPr>
            <w:tcW w:w="1004" w:type="pct"/>
            <w:shd w:val="clear" w:color="auto" w:fill="auto"/>
          </w:tcPr>
          <w:p w14:paraId="520C49F3" w14:textId="77777777" w:rsidR="006020A9" w:rsidRPr="00810932" w:rsidRDefault="006020A9" w:rsidP="000C3F95">
            <w:pPr>
              <w:spacing w:after="0" w:line="360" w:lineRule="auto"/>
              <w:jc w:val="center"/>
              <w:rPr>
                <w:rFonts w:cs="Times New Roman"/>
                <w:lang w:val="en-US"/>
              </w:rPr>
            </w:pPr>
            <w:r w:rsidRPr="00810932">
              <w:rPr>
                <w:rFonts w:cs="Times New Roman"/>
                <w:lang w:val="en-US"/>
              </w:rPr>
              <w:t>234 (68)</w:t>
            </w:r>
          </w:p>
        </w:tc>
        <w:tc>
          <w:tcPr>
            <w:tcW w:w="1173" w:type="pct"/>
            <w:shd w:val="clear" w:color="auto" w:fill="auto"/>
          </w:tcPr>
          <w:p w14:paraId="3C7DE37E" w14:textId="77777777" w:rsidR="006020A9" w:rsidRPr="00810932" w:rsidRDefault="006020A9" w:rsidP="000C3F95">
            <w:pPr>
              <w:spacing w:after="0" w:line="360" w:lineRule="auto"/>
              <w:jc w:val="center"/>
              <w:rPr>
                <w:rFonts w:cs="Times New Roman"/>
                <w:lang w:val="en-US"/>
              </w:rPr>
            </w:pPr>
            <w:r w:rsidRPr="00810932">
              <w:rPr>
                <w:rFonts w:cs="Times New Roman"/>
                <w:lang w:val="en-US"/>
              </w:rPr>
              <w:t>124 (71)</w:t>
            </w:r>
          </w:p>
        </w:tc>
        <w:tc>
          <w:tcPr>
            <w:tcW w:w="546" w:type="pct"/>
            <w:gridSpan w:val="2"/>
          </w:tcPr>
          <w:p w14:paraId="448D280C"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0.80</w:t>
            </w:r>
          </w:p>
        </w:tc>
      </w:tr>
      <w:tr w:rsidR="00810932" w:rsidRPr="00810932" w14:paraId="22261DB1" w14:textId="77777777" w:rsidTr="000C3F95">
        <w:tc>
          <w:tcPr>
            <w:tcW w:w="2277" w:type="pct"/>
            <w:shd w:val="clear" w:color="auto" w:fill="auto"/>
          </w:tcPr>
          <w:p w14:paraId="7E69E08E" w14:textId="77777777" w:rsidR="006020A9" w:rsidRPr="00810932" w:rsidRDefault="006020A9" w:rsidP="000C3F95">
            <w:pPr>
              <w:spacing w:after="0" w:line="360" w:lineRule="auto"/>
              <w:rPr>
                <w:rFonts w:cs="Times New Roman"/>
                <w:b/>
                <w:lang w:val="en-US"/>
              </w:rPr>
            </w:pPr>
            <w:r w:rsidRPr="00810932">
              <w:rPr>
                <w:rFonts w:cs="Times New Roman"/>
                <w:b/>
                <w:lang w:val="en-US"/>
              </w:rPr>
              <w:t>BMI – kg/m²</w:t>
            </w:r>
          </w:p>
        </w:tc>
        <w:tc>
          <w:tcPr>
            <w:tcW w:w="1004" w:type="pct"/>
            <w:shd w:val="clear" w:color="auto" w:fill="auto"/>
          </w:tcPr>
          <w:p w14:paraId="3ED8B414" w14:textId="77777777" w:rsidR="006020A9" w:rsidRPr="00810932" w:rsidRDefault="006020A9" w:rsidP="000C3F95">
            <w:pPr>
              <w:spacing w:after="0" w:line="360" w:lineRule="auto"/>
              <w:jc w:val="center"/>
              <w:rPr>
                <w:rFonts w:cs="Times New Roman"/>
                <w:lang w:val="en-US"/>
              </w:rPr>
            </w:pPr>
            <w:r w:rsidRPr="00810932">
              <w:rPr>
                <w:rFonts w:cs="Times New Roman"/>
                <w:lang w:val="en-US"/>
              </w:rPr>
              <w:t>25.2 [22.8-28.7]</w:t>
            </w:r>
          </w:p>
        </w:tc>
        <w:tc>
          <w:tcPr>
            <w:tcW w:w="1173" w:type="pct"/>
            <w:shd w:val="clear" w:color="auto" w:fill="auto"/>
          </w:tcPr>
          <w:p w14:paraId="1A812CEC" w14:textId="77777777" w:rsidR="006020A9" w:rsidRPr="00810932" w:rsidRDefault="006020A9" w:rsidP="000C3F95">
            <w:pPr>
              <w:spacing w:after="0" w:line="360" w:lineRule="auto"/>
              <w:jc w:val="center"/>
              <w:rPr>
                <w:rFonts w:cs="Times New Roman"/>
                <w:lang w:val="en-US"/>
              </w:rPr>
            </w:pPr>
            <w:r w:rsidRPr="00810932">
              <w:rPr>
                <w:rFonts w:cs="Times New Roman"/>
                <w:lang w:val="en-US"/>
              </w:rPr>
              <w:t>25.3 [22.4-28.7]</w:t>
            </w:r>
          </w:p>
        </w:tc>
        <w:tc>
          <w:tcPr>
            <w:tcW w:w="546" w:type="pct"/>
            <w:gridSpan w:val="2"/>
          </w:tcPr>
          <w:p w14:paraId="68A5226A"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0.81</w:t>
            </w:r>
          </w:p>
        </w:tc>
      </w:tr>
      <w:tr w:rsidR="00810932" w:rsidRPr="00810932" w14:paraId="73AB9E3A" w14:textId="77777777" w:rsidTr="000C3F95">
        <w:tc>
          <w:tcPr>
            <w:tcW w:w="2277" w:type="pct"/>
            <w:shd w:val="clear" w:color="auto" w:fill="auto"/>
          </w:tcPr>
          <w:p w14:paraId="2B4DD955" w14:textId="77777777" w:rsidR="006020A9" w:rsidRPr="00810932" w:rsidRDefault="006020A9" w:rsidP="000C3F95">
            <w:pPr>
              <w:spacing w:after="0" w:line="360" w:lineRule="auto"/>
              <w:rPr>
                <w:rFonts w:cs="Times New Roman"/>
                <w:b/>
                <w:lang w:val="en-US"/>
              </w:rPr>
            </w:pPr>
            <w:r w:rsidRPr="00810932">
              <w:rPr>
                <w:rFonts w:cs="Times New Roman"/>
                <w:b/>
                <w:lang w:val="en-US"/>
              </w:rPr>
              <w:t>Ultrafiltration rate – ml/h</w:t>
            </w:r>
          </w:p>
        </w:tc>
        <w:tc>
          <w:tcPr>
            <w:tcW w:w="1004" w:type="pct"/>
            <w:shd w:val="clear" w:color="auto" w:fill="auto"/>
          </w:tcPr>
          <w:p w14:paraId="64975709" w14:textId="77777777" w:rsidR="006020A9" w:rsidRPr="00810932" w:rsidRDefault="006020A9" w:rsidP="000C3F95">
            <w:pPr>
              <w:spacing w:after="0" w:line="360" w:lineRule="auto"/>
              <w:jc w:val="center"/>
              <w:rPr>
                <w:rFonts w:cs="Times New Roman"/>
                <w:lang w:val="en-US"/>
              </w:rPr>
            </w:pPr>
            <w:r w:rsidRPr="00810932">
              <w:rPr>
                <w:rFonts w:cs="Times New Roman"/>
                <w:lang w:val="en-US"/>
              </w:rPr>
              <w:t>501 ± 248</w:t>
            </w:r>
          </w:p>
        </w:tc>
        <w:tc>
          <w:tcPr>
            <w:tcW w:w="1173" w:type="pct"/>
            <w:shd w:val="clear" w:color="auto" w:fill="auto"/>
          </w:tcPr>
          <w:p w14:paraId="1CF2E736" w14:textId="77777777" w:rsidR="006020A9" w:rsidRPr="00810932" w:rsidRDefault="006020A9" w:rsidP="000C3F95">
            <w:pPr>
              <w:spacing w:after="0" w:line="360" w:lineRule="auto"/>
              <w:jc w:val="center"/>
              <w:rPr>
                <w:rFonts w:cs="Times New Roman"/>
                <w:lang w:val="en-US"/>
              </w:rPr>
            </w:pPr>
            <w:r w:rsidRPr="00810932">
              <w:rPr>
                <w:rFonts w:cs="Times New Roman"/>
                <w:lang w:val="en-US"/>
              </w:rPr>
              <w:t>510 ± 265</w:t>
            </w:r>
          </w:p>
        </w:tc>
        <w:tc>
          <w:tcPr>
            <w:tcW w:w="546" w:type="pct"/>
            <w:gridSpan w:val="2"/>
          </w:tcPr>
          <w:p w14:paraId="2D9CCE85"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0.71</w:t>
            </w:r>
          </w:p>
        </w:tc>
      </w:tr>
      <w:tr w:rsidR="00810932" w:rsidRPr="00810932" w14:paraId="6E455325" w14:textId="77777777" w:rsidTr="000C3F95">
        <w:tc>
          <w:tcPr>
            <w:tcW w:w="2277" w:type="pct"/>
            <w:shd w:val="clear" w:color="auto" w:fill="auto"/>
          </w:tcPr>
          <w:p w14:paraId="19E21614" w14:textId="77777777" w:rsidR="006020A9" w:rsidRPr="00810932" w:rsidRDefault="006020A9" w:rsidP="000C3F95">
            <w:pPr>
              <w:spacing w:after="0" w:line="360" w:lineRule="auto"/>
              <w:rPr>
                <w:rFonts w:cs="Times New Roman"/>
                <w:b/>
                <w:lang w:val="en-US"/>
              </w:rPr>
            </w:pPr>
            <w:r w:rsidRPr="00810932">
              <w:rPr>
                <w:rFonts w:cs="Times New Roman"/>
                <w:b/>
                <w:lang w:val="en-US"/>
              </w:rPr>
              <w:t>Vintage of dialysis – m</w:t>
            </w:r>
          </w:p>
        </w:tc>
        <w:tc>
          <w:tcPr>
            <w:tcW w:w="1004" w:type="pct"/>
            <w:shd w:val="clear" w:color="auto" w:fill="auto"/>
          </w:tcPr>
          <w:p w14:paraId="1175AC40" w14:textId="77777777" w:rsidR="006020A9" w:rsidRPr="00810932" w:rsidRDefault="006020A9" w:rsidP="000C3F95">
            <w:pPr>
              <w:spacing w:after="0" w:line="360" w:lineRule="auto"/>
              <w:jc w:val="center"/>
              <w:rPr>
                <w:rFonts w:cs="Times New Roman"/>
                <w:lang w:val="en-US"/>
              </w:rPr>
            </w:pPr>
            <w:r w:rsidRPr="00810932">
              <w:rPr>
                <w:rFonts w:cs="Times New Roman"/>
                <w:lang w:val="en-US"/>
              </w:rPr>
              <w:t>41.1 [22.7-76.6]</w:t>
            </w:r>
          </w:p>
        </w:tc>
        <w:tc>
          <w:tcPr>
            <w:tcW w:w="1173" w:type="pct"/>
            <w:shd w:val="clear" w:color="auto" w:fill="auto"/>
          </w:tcPr>
          <w:p w14:paraId="6A5DC274" w14:textId="77777777" w:rsidR="006020A9" w:rsidRPr="00810932" w:rsidRDefault="006020A9" w:rsidP="000C3F95">
            <w:pPr>
              <w:spacing w:after="0" w:line="360" w:lineRule="auto"/>
              <w:jc w:val="center"/>
              <w:rPr>
                <w:rFonts w:cs="Times New Roman"/>
                <w:lang w:val="en-US"/>
              </w:rPr>
            </w:pPr>
            <w:r w:rsidRPr="00810932">
              <w:rPr>
                <w:rFonts w:cs="Times New Roman"/>
                <w:lang w:val="en-US"/>
              </w:rPr>
              <w:t>44.8 [21.6-83.8]</w:t>
            </w:r>
          </w:p>
        </w:tc>
        <w:tc>
          <w:tcPr>
            <w:tcW w:w="546" w:type="pct"/>
            <w:gridSpan w:val="2"/>
          </w:tcPr>
          <w:p w14:paraId="29F9C69E"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0.29</w:t>
            </w:r>
          </w:p>
        </w:tc>
      </w:tr>
      <w:tr w:rsidR="00810932" w:rsidRPr="00810932" w14:paraId="660A1A23" w14:textId="77777777" w:rsidTr="000C3F95">
        <w:tc>
          <w:tcPr>
            <w:tcW w:w="2277" w:type="pct"/>
            <w:tcBorders>
              <w:bottom w:val="single" w:sz="4" w:space="0" w:color="auto"/>
            </w:tcBorders>
            <w:shd w:val="clear" w:color="auto" w:fill="auto"/>
          </w:tcPr>
          <w:p w14:paraId="749391AC" w14:textId="77777777" w:rsidR="006020A9" w:rsidRPr="00810932" w:rsidRDefault="006020A9" w:rsidP="000C3F95">
            <w:pPr>
              <w:spacing w:after="0" w:line="360" w:lineRule="auto"/>
              <w:rPr>
                <w:rFonts w:cs="Times New Roman"/>
                <w:b/>
                <w:lang w:val="en-US"/>
              </w:rPr>
            </w:pPr>
            <w:r w:rsidRPr="00810932">
              <w:rPr>
                <w:rFonts w:cs="Times New Roman"/>
                <w:b/>
                <w:lang w:val="en-US"/>
              </w:rPr>
              <w:t>Dialysis catheter – no. (%)</w:t>
            </w:r>
          </w:p>
        </w:tc>
        <w:tc>
          <w:tcPr>
            <w:tcW w:w="1004" w:type="pct"/>
            <w:tcBorders>
              <w:bottom w:val="single" w:sz="4" w:space="0" w:color="auto"/>
            </w:tcBorders>
            <w:shd w:val="clear" w:color="auto" w:fill="auto"/>
          </w:tcPr>
          <w:p w14:paraId="5C486E97" w14:textId="77777777" w:rsidR="006020A9" w:rsidRPr="00810932" w:rsidRDefault="006020A9" w:rsidP="000C3F95">
            <w:pPr>
              <w:spacing w:after="0" w:line="360" w:lineRule="auto"/>
              <w:jc w:val="center"/>
              <w:rPr>
                <w:rFonts w:cs="Times New Roman"/>
                <w:lang w:val="en-US"/>
              </w:rPr>
            </w:pPr>
            <w:r w:rsidRPr="00810932">
              <w:rPr>
                <w:rFonts w:cs="Times New Roman"/>
                <w:lang w:val="en-US"/>
              </w:rPr>
              <w:t>21 (6)</w:t>
            </w:r>
          </w:p>
        </w:tc>
        <w:tc>
          <w:tcPr>
            <w:tcW w:w="1173" w:type="pct"/>
            <w:tcBorders>
              <w:bottom w:val="single" w:sz="4" w:space="0" w:color="auto"/>
            </w:tcBorders>
            <w:shd w:val="clear" w:color="auto" w:fill="auto"/>
          </w:tcPr>
          <w:p w14:paraId="61C7817A" w14:textId="77777777" w:rsidR="006020A9" w:rsidRPr="00810932" w:rsidDel="00EE722F" w:rsidRDefault="006020A9" w:rsidP="000C3F95">
            <w:pPr>
              <w:spacing w:after="0" w:line="360" w:lineRule="auto"/>
              <w:jc w:val="center"/>
              <w:rPr>
                <w:rFonts w:cs="Times New Roman"/>
                <w:lang w:val="en-US"/>
              </w:rPr>
            </w:pPr>
            <w:r w:rsidRPr="00810932">
              <w:rPr>
                <w:rFonts w:cs="Times New Roman"/>
                <w:lang w:val="en-US"/>
              </w:rPr>
              <w:t>17 (10)</w:t>
            </w:r>
          </w:p>
        </w:tc>
        <w:tc>
          <w:tcPr>
            <w:tcW w:w="546" w:type="pct"/>
            <w:gridSpan w:val="2"/>
            <w:tcBorders>
              <w:bottom w:val="single" w:sz="4" w:space="0" w:color="auto"/>
            </w:tcBorders>
            <w:shd w:val="clear" w:color="auto" w:fill="auto"/>
          </w:tcPr>
          <w:p w14:paraId="3DBF115E"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0.33</w:t>
            </w:r>
          </w:p>
        </w:tc>
      </w:tr>
      <w:tr w:rsidR="00810932" w:rsidRPr="00810932" w14:paraId="73CAA8DB" w14:textId="77777777" w:rsidTr="000C3F95">
        <w:tc>
          <w:tcPr>
            <w:tcW w:w="2277" w:type="pct"/>
            <w:tcBorders>
              <w:top w:val="single" w:sz="4" w:space="0" w:color="auto"/>
            </w:tcBorders>
            <w:shd w:val="clear" w:color="auto" w:fill="auto"/>
          </w:tcPr>
          <w:p w14:paraId="2C99AC7F" w14:textId="77777777" w:rsidR="006020A9" w:rsidRPr="00810932" w:rsidRDefault="006020A9" w:rsidP="000C3F95">
            <w:pPr>
              <w:spacing w:after="0" w:line="360" w:lineRule="auto"/>
              <w:rPr>
                <w:rFonts w:cs="Times New Roman"/>
                <w:b/>
                <w:i/>
                <w:highlight w:val="green"/>
                <w:lang w:val="en-US"/>
              </w:rPr>
            </w:pPr>
            <w:r w:rsidRPr="00810932">
              <w:rPr>
                <w:rFonts w:cs="Times New Roman"/>
                <w:b/>
                <w:i/>
                <w:lang w:val="en-US"/>
              </w:rPr>
              <w:t>Comorbidities</w:t>
            </w:r>
          </w:p>
        </w:tc>
        <w:tc>
          <w:tcPr>
            <w:tcW w:w="1004" w:type="pct"/>
            <w:tcBorders>
              <w:top w:val="single" w:sz="4" w:space="0" w:color="auto"/>
            </w:tcBorders>
            <w:shd w:val="clear" w:color="auto" w:fill="auto"/>
          </w:tcPr>
          <w:p w14:paraId="1E7B60AD" w14:textId="77777777" w:rsidR="006020A9" w:rsidRPr="00810932" w:rsidRDefault="006020A9" w:rsidP="000C3F95">
            <w:pPr>
              <w:spacing w:after="0" w:line="360" w:lineRule="auto"/>
              <w:jc w:val="center"/>
              <w:rPr>
                <w:rFonts w:cs="Times New Roman"/>
                <w:lang w:val="en-US"/>
              </w:rPr>
            </w:pPr>
          </w:p>
        </w:tc>
        <w:tc>
          <w:tcPr>
            <w:tcW w:w="1173" w:type="pct"/>
            <w:tcBorders>
              <w:top w:val="single" w:sz="4" w:space="0" w:color="auto"/>
            </w:tcBorders>
            <w:shd w:val="clear" w:color="auto" w:fill="auto"/>
          </w:tcPr>
          <w:p w14:paraId="7E388CD5" w14:textId="77777777" w:rsidR="006020A9" w:rsidRPr="00810932" w:rsidRDefault="006020A9" w:rsidP="000C3F95">
            <w:pPr>
              <w:spacing w:after="0" w:line="360" w:lineRule="auto"/>
              <w:jc w:val="center"/>
              <w:rPr>
                <w:rFonts w:cs="Times New Roman"/>
                <w:lang w:val="en-US"/>
              </w:rPr>
            </w:pPr>
          </w:p>
        </w:tc>
        <w:tc>
          <w:tcPr>
            <w:tcW w:w="546" w:type="pct"/>
            <w:gridSpan w:val="2"/>
            <w:tcBorders>
              <w:top w:val="single" w:sz="4" w:space="0" w:color="auto"/>
            </w:tcBorders>
          </w:tcPr>
          <w:p w14:paraId="5A7FCC3A" w14:textId="77777777" w:rsidR="006020A9" w:rsidRPr="00810932" w:rsidRDefault="006020A9" w:rsidP="000C3F95">
            <w:pPr>
              <w:spacing w:after="0" w:line="360" w:lineRule="auto"/>
              <w:jc w:val="center"/>
              <w:rPr>
                <w:rFonts w:cs="Times New Roman"/>
                <w:lang w:val="en-US"/>
              </w:rPr>
            </w:pPr>
          </w:p>
        </w:tc>
      </w:tr>
      <w:tr w:rsidR="00810932" w:rsidRPr="00810932" w14:paraId="584C6247" w14:textId="77777777" w:rsidTr="000C3F95">
        <w:tc>
          <w:tcPr>
            <w:tcW w:w="2277" w:type="pct"/>
            <w:shd w:val="clear" w:color="auto" w:fill="auto"/>
          </w:tcPr>
          <w:p w14:paraId="40BCC6F4" w14:textId="77777777" w:rsidR="006020A9" w:rsidRPr="00810932" w:rsidRDefault="006020A9" w:rsidP="000C3F95">
            <w:pPr>
              <w:spacing w:after="0" w:line="360" w:lineRule="auto"/>
              <w:rPr>
                <w:rFonts w:cs="Times New Roman"/>
                <w:b/>
                <w:lang w:val="en-US"/>
              </w:rPr>
            </w:pPr>
            <w:proofErr w:type="spellStart"/>
            <w:r w:rsidRPr="00810932">
              <w:rPr>
                <w:rFonts w:cs="Times New Roman"/>
                <w:b/>
                <w:lang w:val="en-US"/>
              </w:rPr>
              <w:t>aCCI</w:t>
            </w:r>
            <w:proofErr w:type="spellEnd"/>
          </w:p>
        </w:tc>
        <w:tc>
          <w:tcPr>
            <w:tcW w:w="1004" w:type="pct"/>
            <w:shd w:val="clear" w:color="auto" w:fill="auto"/>
          </w:tcPr>
          <w:p w14:paraId="25295FF9" w14:textId="77777777" w:rsidR="006020A9" w:rsidRPr="00810932" w:rsidRDefault="006020A9" w:rsidP="000C3F95">
            <w:pPr>
              <w:spacing w:after="0" w:line="360" w:lineRule="auto"/>
              <w:jc w:val="center"/>
              <w:rPr>
                <w:rFonts w:cs="Times New Roman"/>
                <w:lang w:val="en-US"/>
              </w:rPr>
            </w:pPr>
            <w:r w:rsidRPr="00810932">
              <w:rPr>
                <w:rFonts w:cs="Times New Roman"/>
                <w:lang w:val="en-US"/>
              </w:rPr>
              <w:t>3.0 [1.0-6.0]</w:t>
            </w:r>
          </w:p>
        </w:tc>
        <w:tc>
          <w:tcPr>
            <w:tcW w:w="1173" w:type="pct"/>
            <w:shd w:val="clear" w:color="auto" w:fill="auto"/>
          </w:tcPr>
          <w:p w14:paraId="3F53AB6C"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3.0 [1.0-7.0]</w:t>
            </w:r>
          </w:p>
        </w:tc>
        <w:tc>
          <w:tcPr>
            <w:tcW w:w="546" w:type="pct"/>
            <w:gridSpan w:val="2"/>
            <w:shd w:val="clear" w:color="auto" w:fill="auto"/>
          </w:tcPr>
          <w:p w14:paraId="07E43185"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0.73</w:t>
            </w:r>
          </w:p>
        </w:tc>
      </w:tr>
      <w:tr w:rsidR="00810932" w:rsidRPr="00810932" w14:paraId="5BBFF590" w14:textId="77777777" w:rsidTr="000C3F95">
        <w:tc>
          <w:tcPr>
            <w:tcW w:w="2277" w:type="pct"/>
            <w:shd w:val="clear" w:color="auto" w:fill="auto"/>
          </w:tcPr>
          <w:p w14:paraId="05632905" w14:textId="77777777" w:rsidR="006020A9" w:rsidRPr="00810932" w:rsidRDefault="006020A9" w:rsidP="000C3F95">
            <w:pPr>
              <w:spacing w:after="0" w:line="360" w:lineRule="auto"/>
              <w:rPr>
                <w:rFonts w:cs="Times New Roman"/>
                <w:b/>
                <w:lang w:val="en-US"/>
              </w:rPr>
            </w:pPr>
            <w:r w:rsidRPr="00810932">
              <w:rPr>
                <w:rFonts w:cs="Times New Roman"/>
                <w:b/>
                <w:lang w:val="en-US"/>
              </w:rPr>
              <w:t>Vascular disease* – no. (%)</w:t>
            </w:r>
          </w:p>
        </w:tc>
        <w:tc>
          <w:tcPr>
            <w:tcW w:w="1004" w:type="pct"/>
            <w:shd w:val="clear" w:color="auto" w:fill="auto"/>
          </w:tcPr>
          <w:p w14:paraId="48295585" w14:textId="77777777" w:rsidR="006020A9" w:rsidRPr="00810932" w:rsidRDefault="006020A9" w:rsidP="000C3F95">
            <w:pPr>
              <w:spacing w:after="0" w:line="360" w:lineRule="auto"/>
              <w:jc w:val="center"/>
              <w:rPr>
                <w:rFonts w:cs="Times New Roman"/>
                <w:lang w:val="en-US"/>
              </w:rPr>
            </w:pPr>
            <w:r w:rsidRPr="00810932">
              <w:rPr>
                <w:rFonts w:cs="Times New Roman"/>
                <w:lang w:val="en-US"/>
              </w:rPr>
              <w:t>198 (58)</w:t>
            </w:r>
          </w:p>
        </w:tc>
        <w:tc>
          <w:tcPr>
            <w:tcW w:w="1173" w:type="pct"/>
            <w:shd w:val="clear" w:color="auto" w:fill="auto"/>
          </w:tcPr>
          <w:p w14:paraId="74C2ABB3"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104 (59)</w:t>
            </w:r>
          </w:p>
        </w:tc>
        <w:tc>
          <w:tcPr>
            <w:tcW w:w="546" w:type="pct"/>
            <w:gridSpan w:val="2"/>
            <w:shd w:val="clear" w:color="auto" w:fill="auto"/>
          </w:tcPr>
          <w:p w14:paraId="6B41F0CE"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0.92</w:t>
            </w:r>
          </w:p>
        </w:tc>
      </w:tr>
      <w:tr w:rsidR="00810932" w:rsidRPr="00810932" w14:paraId="575E0839" w14:textId="77777777" w:rsidTr="000C3F95">
        <w:tc>
          <w:tcPr>
            <w:tcW w:w="2277" w:type="pct"/>
            <w:shd w:val="clear" w:color="auto" w:fill="auto"/>
          </w:tcPr>
          <w:p w14:paraId="6E3C7059" w14:textId="77777777" w:rsidR="006020A9" w:rsidRPr="00810932" w:rsidRDefault="006020A9" w:rsidP="000C3F95">
            <w:pPr>
              <w:spacing w:after="0" w:line="360" w:lineRule="auto"/>
              <w:rPr>
                <w:rFonts w:cs="Times New Roman"/>
                <w:b/>
                <w:lang w:val="en-US"/>
              </w:rPr>
            </w:pPr>
            <w:r w:rsidRPr="00810932">
              <w:rPr>
                <w:rFonts w:cs="Times New Roman"/>
                <w:b/>
                <w:lang w:val="en-US"/>
              </w:rPr>
              <w:t>Diabetes – no. (%)</w:t>
            </w:r>
          </w:p>
        </w:tc>
        <w:tc>
          <w:tcPr>
            <w:tcW w:w="1004" w:type="pct"/>
            <w:shd w:val="clear" w:color="auto" w:fill="auto"/>
          </w:tcPr>
          <w:p w14:paraId="1FAEFAC6" w14:textId="77777777" w:rsidR="006020A9" w:rsidRPr="00810932" w:rsidRDefault="006020A9" w:rsidP="000C3F95">
            <w:pPr>
              <w:spacing w:after="0" w:line="360" w:lineRule="auto"/>
              <w:jc w:val="center"/>
              <w:rPr>
                <w:rFonts w:cs="Times New Roman"/>
                <w:lang w:val="en-US"/>
              </w:rPr>
            </w:pPr>
            <w:r w:rsidRPr="00810932">
              <w:rPr>
                <w:rFonts w:cs="Times New Roman"/>
                <w:lang w:val="en-US"/>
              </w:rPr>
              <w:t>135 (39)</w:t>
            </w:r>
          </w:p>
        </w:tc>
        <w:tc>
          <w:tcPr>
            <w:tcW w:w="1173" w:type="pct"/>
            <w:shd w:val="clear" w:color="auto" w:fill="auto"/>
          </w:tcPr>
          <w:p w14:paraId="16D73BE6"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 xml:space="preserve">  74 (42)</w:t>
            </w:r>
          </w:p>
        </w:tc>
        <w:tc>
          <w:tcPr>
            <w:tcW w:w="546" w:type="pct"/>
            <w:gridSpan w:val="2"/>
            <w:shd w:val="clear" w:color="auto" w:fill="auto"/>
          </w:tcPr>
          <w:p w14:paraId="5A21A259"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0.80</w:t>
            </w:r>
          </w:p>
        </w:tc>
      </w:tr>
      <w:tr w:rsidR="00810932" w:rsidRPr="00810932" w14:paraId="0A68E42D" w14:textId="77777777" w:rsidTr="000C3F95">
        <w:tc>
          <w:tcPr>
            <w:tcW w:w="2277" w:type="pct"/>
            <w:shd w:val="clear" w:color="auto" w:fill="auto"/>
          </w:tcPr>
          <w:p w14:paraId="4D6E4F05" w14:textId="77777777" w:rsidR="006020A9" w:rsidRPr="00810932" w:rsidRDefault="006020A9" w:rsidP="000C3F95">
            <w:pPr>
              <w:spacing w:after="0" w:line="360" w:lineRule="auto"/>
              <w:rPr>
                <w:rFonts w:cs="Times New Roman"/>
                <w:b/>
                <w:lang w:val="en-US"/>
              </w:rPr>
            </w:pPr>
            <w:r w:rsidRPr="00810932">
              <w:rPr>
                <w:rFonts w:cs="Times New Roman"/>
                <w:b/>
                <w:lang w:val="en-US"/>
              </w:rPr>
              <w:t>History of hypertension – no. (%)</w:t>
            </w:r>
          </w:p>
        </w:tc>
        <w:tc>
          <w:tcPr>
            <w:tcW w:w="1004" w:type="pct"/>
            <w:shd w:val="clear" w:color="auto" w:fill="auto"/>
          </w:tcPr>
          <w:p w14:paraId="1BDA4444" w14:textId="77777777" w:rsidR="006020A9" w:rsidRPr="00810932" w:rsidRDefault="006020A9" w:rsidP="000C3F95">
            <w:pPr>
              <w:spacing w:after="0" w:line="360" w:lineRule="auto"/>
              <w:jc w:val="center"/>
              <w:rPr>
                <w:rFonts w:cs="Times New Roman"/>
                <w:lang w:val="en-US"/>
              </w:rPr>
            </w:pPr>
            <w:r w:rsidRPr="00810932">
              <w:rPr>
                <w:rFonts w:cs="Times New Roman"/>
                <w:lang w:val="en-US"/>
              </w:rPr>
              <w:t>326 (95)</w:t>
            </w:r>
          </w:p>
        </w:tc>
        <w:tc>
          <w:tcPr>
            <w:tcW w:w="1173" w:type="pct"/>
            <w:shd w:val="clear" w:color="auto" w:fill="auto"/>
          </w:tcPr>
          <w:p w14:paraId="1F79A931"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163 (93)</w:t>
            </w:r>
          </w:p>
        </w:tc>
        <w:tc>
          <w:tcPr>
            <w:tcW w:w="546" w:type="pct"/>
            <w:gridSpan w:val="2"/>
            <w:shd w:val="clear" w:color="auto" w:fill="auto"/>
          </w:tcPr>
          <w:p w14:paraId="195C7107"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0.75</w:t>
            </w:r>
          </w:p>
        </w:tc>
      </w:tr>
      <w:tr w:rsidR="00810932" w:rsidRPr="00810932" w14:paraId="55530481" w14:textId="77777777" w:rsidTr="000C3F95">
        <w:tc>
          <w:tcPr>
            <w:tcW w:w="2277" w:type="pct"/>
            <w:shd w:val="clear" w:color="auto" w:fill="auto"/>
          </w:tcPr>
          <w:p w14:paraId="75064286" w14:textId="77777777" w:rsidR="006020A9" w:rsidRPr="00810932" w:rsidRDefault="006020A9" w:rsidP="000C3F95">
            <w:pPr>
              <w:spacing w:after="0" w:line="360" w:lineRule="auto"/>
              <w:rPr>
                <w:rFonts w:cs="Times New Roman"/>
                <w:b/>
                <w:lang w:val="en-US"/>
              </w:rPr>
            </w:pPr>
            <w:r w:rsidRPr="00810932">
              <w:rPr>
                <w:rFonts w:cs="Times New Roman"/>
                <w:b/>
                <w:lang w:val="en-US"/>
              </w:rPr>
              <w:t>History of myocardial infarction – no. (%)</w:t>
            </w:r>
          </w:p>
        </w:tc>
        <w:tc>
          <w:tcPr>
            <w:tcW w:w="1004" w:type="pct"/>
            <w:shd w:val="clear" w:color="auto" w:fill="auto"/>
          </w:tcPr>
          <w:p w14:paraId="0C330705" w14:textId="77777777" w:rsidR="006020A9" w:rsidRPr="00810932" w:rsidRDefault="006020A9" w:rsidP="000C3F95">
            <w:pPr>
              <w:spacing w:after="0" w:line="360" w:lineRule="auto"/>
              <w:jc w:val="center"/>
              <w:rPr>
                <w:rFonts w:cs="Times New Roman"/>
                <w:lang w:val="en-US"/>
              </w:rPr>
            </w:pPr>
            <w:r w:rsidRPr="00810932">
              <w:rPr>
                <w:rFonts w:cs="Times New Roman"/>
                <w:lang w:val="en-US"/>
              </w:rPr>
              <w:t>72 (21)</w:t>
            </w:r>
          </w:p>
        </w:tc>
        <w:tc>
          <w:tcPr>
            <w:tcW w:w="1173" w:type="pct"/>
            <w:shd w:val="clear" w:color="auto" w:fill="auto"/>
          </w:tcPr>
          <w:p w14:paraId="1CA0F381"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31 (18)</w:t>
            </w:r>
          </w:p>
        </w:tc>
        <w:tc>
          <w:tcPr>
            <w:tcW w:w="546" w:type="pct"/>
            <w:gridSpan w:val="2"/>
            <w:shd w:val="clear" w:color="auto" w:fill="auto"/>
          </w:tcPr>
          <w:p w14:paraId="65AA678A"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0.69</w:t>
            </w:r>
          </w:p>
        </w:tc>
      </w:tr>
      <w:tr w:rsidR="00810932" w:rsidRPr="00810932" w14:paraId="3F936A86" w14:textId="77777777" w:rsidTr="000C3F95">
        <w:tc>
          <w:tcPr>
            <w:tcW w:w="2277" w:type="pct"/>
            <w:shd w:val="clear" w:color="auto" w:fill="auto"/>
          </w:tcPr>
          <w:p w14:paraId="6CE0ADDD" w14:textId="77777777" w:rsidR="006020A9" w:rsidRPr="00810932" w:rsidRDefault="006020A9" w:rsidP="000C3F95">
            <w:pPr>
              <w:spacing w:after="0" w:line="360" w:lineRule="auto"/>
              <w:rPr>
                <w:rFonts w:cs="Times New Roman"/>
                <w:b/>
                <w:lang w:val="en-US"/>
              </w:rPr>
            </w:pPr>
            <w:r w:rsidRPr="00810932">
              <w:rPr>
                <w:rFonts w:cs="Times New Roman"/>
                <w:b/>
                <w:lang w:val="en-US"/>
              </w:rPr>
              <w:t>Atrial fibrillation/pacemaker – no. (%)</w:t>
            </w:r>
          </w:p>
        </w:tc>
        <w:tc>
          <w:tcPr>
            <w:tcW w:w="1004" w:type="pct"/>
            <w:shd w:val="clear" w:color="auto" w:fill="auto"/>
          </w:tcPr>
          <w:p w14:paraId="027AF1CC" w14:textId="77777777" w:rsidR="006020A9" w:rsidRPr="00810932" w:rsidRDefault="006020A9" w:rsidP="000C3F95">
            <w:pPr>
              <w:spacing w:after="0" w:line="360" w:lineRule="auto"/>
              <w:jc w:val="center"/>
              <w:rPr>
                <w:rFonts w:cs="Times New Roman"/>
                <w:lang w:val="en-US"/>
              </w:rPr>
            </w:pPr>
            <w:r w:rsidRPr="00810932">
              <w:rPr>
                <w:rFonts w:cs="Times New Roman"/>
                <w:lang w:val="en-US"/>
              </w:rPr>
              <w:t>69 (20)</w:t>
            </w:r>
          </w:p>
        </w:tc>
        <w:tc>
          <w:tcPr>
            <w:tcW w:w="1173" w:type="pct"/>
            <w:shd w:val="clear" w:color="auto" w:fill="auto"/>
          </w:tcPr>
          <w:p w14:paraId="419AD1FC"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36 (21)</w:t>
            </w:r>
          </w:p>
        </w:tc>
        <w:tc>
          <w:tcPr>
            <w:tcW w:w="546" w:type="pct"/>
            <w:gridSpan w:val="2"/>
            <w:shd w:val="clear" w:color="auto" w:fill="auto"/>
          </w:tcPr>
          <w:p w14:paraId="6B769733"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0.99</w:t>
            </w:r>
          </w:p>
        </w:tc>
      </w:tr>
      <w:tr w:rsidR="00810932" w:rsidRPr="00810932" w14:paraId="4DC4929A" w14:textId="77777777" w:rsidTr="000C3F95">
        <w:tc>
          <w:tcPr>
            <w:tcW w:w="2277" w:type="pct"/>
            <w:shd w:val="clear" w:color="auto" w:fill="auto"/>
          </w:tcPr>
          <w:p w14:paraId="156A7F35" w14:textId="77777777" w:rsidR="006020A9" w:rsidRPr="00810932" w:rsidRDefault="006020A9" w:rsidP="000C3F95">
            <w:pPr>
              <w:spacing w:after="0" w:line="360" w:lineRule="auto"/>
              <w:rPr>
                <w:rFonts w:cs="Times New Roman"/>
                <w:b/>
                <w:lang w:val="en-US"/>
              </w:rPr>
            </w:pPr>
            <w:r w:rsidRPr="00810932">
              <w:rPr>
                <w:rFonts w:cs="Times New Roman"/>
                <w:b/>
                <w:lang w:val="en-US"/>
              </w:rPr>
              <w:t>Heart failure – no. (%)</w:t>
            </w:r>
          </w:p>
        </w:tc>
        <w:tc>
          <w:tcPr>
            <w:tcW w:w="1004" w:type="pct"/>
            <w:shd w:val="clear" w:color="auto" w:fill="auto"/>
          </w:tcPr>
          <w:p w14:paraId="319ED6A4" w14:textId="77777777" w:rsidR="006020A9" w:rsidRPr="00810932" w:rsidRDefault="006020A9" w:rsidP="000C3F95">
            <w:pPr>
              <w:spacing w:after="0" w:line="360" w:lineRule="auto"/>
              <w:jc w:val="center"/>
              <w:rPr>
                <w:rFonts w:cs="Times New Roman"/>
                <w:lang w:val="en-US"/>
              </w:rPr>
            </w:pPr>
            <w:r w:rsidRPr="00810932">
              <w:rPr>
                <w:rFonts w:cs="Times New Roman"/>
                <w:lang w:val="en-US"/>
              </w:rPr>
              <w:t>62 (18)</w:t>
            </w:r>
          </w:p>
        </w:tc>
        <w:tc>
          <w:tcPr>
            <w:tcW w:w="1173" w:type="pct"/>
            <w:shd w:val="clear" w:color="auto" w:fill="auto"/>
          </w:tcPr>
          <w:p w14:paraId="359D28DF"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37 (21)</w:t>
            </w:r>
          </w:p>
        </w:tc>
        <w:tc>
          <w:tcPr>
            <w:tcW w:w="546" w:type="pct"/>
            <w:gridSpan w:val="2"/>
            <w:shd w:val="clear" w:color="auto" w:fill="auto"/>
          </w:tcPr>
          <w:p w14:paraId="6935BDF0"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0.69</w:t>
            </w:r>
          </w:p>
        </w:tc>
      </w:tr>
      <w:tr w:rsidR="00810932" w:rsidRPr="00810932" w14:paraId="20A5CAE0" w14:textId="77777777" w:rsidTr="000C3F95">
        <w:tc>
          <w:tcPr>
            <w:tcW w:w="2277" w:type="pct"/>
            <w:tcBorders>
              <w:top w:val="single" w:sz="4" w:space="0" w:color="auto"/>
            </w:tcBorders>
            <w:shd w:val="clear" w:color="auto" w:fill="auto"/>
          </w:tcPr>
          <w:p w14:paraId="093905CD" w14:textId="77777777" w:rsidR="006020A9" w:rsidRPr="00810932" w:rsidRDefault="006020A9" w:rsidP="000C3F95">
            <w:pPr>
              <w:tabs>
                <w:tab w:val="right" w:pos="2464"/>
              </w:tabs>
              <w:spacing w:after="0" w:line="360" w:lineRule="auto"/>
              <w:rPr>
                <w:rFonts w:cs="Times New Roman"/>
                <w:b/>
                <w:i/>
                <w:lang w:val="en-US"/>
              </w:rPr>
            </w:pPr>
            <w:r w:rsidRPr="00810932">
              <w:rPr>
                <w:rFonts w:cs="Times New Roman"/>
                <w:b/>
                <w:i/>
                <w:lang w:val="en-US"/>
              </w:rPr>
              <w:t>Laboratory parameters</w:t>
            </w:r>
          </w:p>
        </w:tc>
        <w:tc>
          <w:tcPr>
            <w:tcW w:w="1004" w:type="pct"/>
            <w:tcBorders>
              <w:top w:val="single" w:sz="4" w:space="0" w:color="auto"/>
            </w:tcBorders>
            <w:shd w:val="clear" w:color="auto" w:fill="auto"/>
          </w:tcPr>
          <w:p w14:paraId="6BA03381" w14:textId="77777777" w:rsidR="006020A9" w:rsidRPr="00810932" w:rsidRDefault="006020A9" w:rsidP="000C3F95">
            <w:pPr>
              <w:spacing w:after="0" w:line="360" w:lineRule="auto"/>
              <w:jc w:val="center"/>
              <w:rPr>
                <w:rFonts w:cs="Times New Roman"/>
                <w:lang w:val="en-US"/>
              </w:rPr>
            </w:pPr>
          </w:p>
        </w:tc>
        <w:tc>
          <w:tcPr>
            <w:tcW w:w="1173" w:type="pct"/>
            <w:tcBorders>
              <w:top w:val="single" w:sz="4" w:space="0" w:color="auto"/>
            </w:tcBorders>
            <w:shd w:val="clear" w:color="auto" w:fill="auto"/>
          </w:tcPr>
          <w:p w14:paraId="7BE4D83E" w14:textId="77777777" w:rsidR="006020A9" w:rsidRPr="00810932" w:rsidRDefault="006020A9" w:rsidP="000C3F95">
            <w:pPr>
              <w:spacing w:after="0" w:line="360" w:lineRule="auto"/>
              <w:jc w:val="center"/>
              <w:rPr>
                <w:rFonts w:cs="Times New Roman"/>
                <w:highlight w:val="yellow"/>
                <w:lang w:val="en-US"/>
              </w:rPr>
            </w:pPr>
          </w:p>
        </w:tc>
        <w:tc>
          <w:tcPr>
            <w:tcW w:w="546" w:type="pct"/>
            <w:gridSpan w:val="2"/>
            <w:tcBorders>
              <w:top w:val="single" w:sz="4" w:space="0" w:color="auto"/>
            </w:tcBorders>
          </w:tcPr>
          <w:p w14:paraId="1548B072" w14:textId="77777777" w:rsidR="006020A9" w:rsidRPr="00810932" w:rsidRDefault="006020A9" w:rsidP="000C3F95">
            <w:pPr>
              <w:spacing w:after="0" w:line="360" w:lineRule="auto"/>
              <w:jc w:val="center"/>
              <w:rPr>
                <w:rFonts w:cs="Times New Roman"/>
                <w:lang w:val="en-US"/>
              </w:rPr>
            </w:pPr>
          </w:p>
        </w:tc>
      </w:tr>
      <w:tr w:rsidR="00810932" w:rsidRPr="00810932" w14:paraId="396649A1" w14:textId="77777777" w:rsidTr="000C3F95">
        <w:tc>
          <w:tcPr>
            <w:tcW w:w="2277" w:type="pct"/>
            <w:shd w:val="clear" w:color="auto" w:fill="auto"/>
          </w:tcPr>
          <w:p w14:paraId="1364B577" w14:textId="77777777" w:rsidR="006020A9" w:rsidRPr="00810932" w:rsidRDefault="006020A9" w:rsidP="000C3F95">
            <w:pPr>
              <w:spacing w:after="0" w:line="360" w:lineRule="auto"/>
              <w:rPr>
                <w:rFonts w:cs="Times New Roman"/>
                <w:b/>
                <w:lang w:val="en-US"/>
              </w:rPr>
            </w:pPr>
            <w:proofErr w:type="spellStart"/>
            <w:r w:rsidRPr="00810932">
              <w:rPr>
                <w:rFonts w:cs="Times New Roman"/>
                <w:b/>
                <w:lang w:val="en-US"/>
              </w:rPr>
              <w:t>hs</w:t>
            </w:r>
            <w:proofErr w:type="spellEnd"/>
            <w:r w:rsidRPr="00810932">
              <w:rPr>
                <w:rFonts w:cs="Times New Roman"/>
                <w:b/>
                <w:lang w:val="en-US"/>
              </w:rPr>
              <w:t>-CRP – mg/dl</w:t>
            </w:r>
          </w:p>
        </w:tc>
        <w:tc>
          <w:tcPr>
            <w:tcW w:w="1004" w:type="pct"/>
            <w:shd w:val="clear" w:color="auto" w:fill="auto"/>
          </w:tcPr>
          <w:p w14:paraId="199251A7"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0.5 [0.2-1.0]</w:t>
            </w:r>
          </w:p>
        </w:tc>
        <w:tc>
          <w:tcPr>
            <w:tcW w:w="1173" w:type="pct"/>
            <w:shd w:val="clear" w:color="auto" w:fill="auto"/>
          </w:tcPr>
          <w:p w14:paraId="1D5328B8"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0.4 [0.2-1.0]</w:t>
            </w:r>
          </w:p>
        </w:tc>
        <w:tc>
          <w:tcPr>
            <w:tcW w:w="546" w:type="pct"/>
            <w:gridSpan w:val="2"/>
          </w:tcPr>
          <w:p w14:paraId="1A4DE566"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0.46</w:t>
            </w:r>
          </w:p>
        </w:tc>
      </w:tr>
      <w:tr w:rsidR="00810932" w:rsidRPr="00810932" w14:paraId="12A00C34" w14:textId="77777777" w:rsidTr="000C3F95">
        <w:tc>
          <w:tcPr>
            <w:tcW w:w="2277" w:type="pct"/>
            <w:shd w:val="clear" w:color="auto" w:fill="auto"/>
          </w:tcPr>
          <w:p w14:paraId="24237B95" w14:textId="77777777" w:rsidR="006020A9" w:rsidRPr="00810932" w:rsidRDefault="006020A9" w:rsidP="000C3F95">
            <w:pPr>
              <w:spacing w:after="0" w:line="360" w:lineRule="auto"/>
              <w:rPr>
                <w:rFonts w:cs="Times New Roman"/>
                <w:b/>
                <w:lang w:val="en-US"/>
              </w:rPr>
            </w:pPr>
            <w:r w:rsidRPr="00810932">
              <w:rPr>
                <w:rFonts w:cs="Times New Roman"/>
                <w:b/>
                <w:lang w:val="en-US"/>
              </w:rPr>
              <w:t>Calcium-phosphorus product – mg</w:t>
            </w:r>
            <w:r w:rsidRPr="00810932">
              <w:rPr>
                <w:rFonts w:cs="Times New Roman"/>
                <w:b/>
                <w:vertAlign w:val="superscript"/>
                <w:lang w:val="en-US"/>
              </w:rPr>
              <w:t>2</w:t>
            </w:r>
            <w:r w:rsidRPr="00810932">
              <w:rPr>
                <w:rFonts w:cs="Times New Roman"/>
                <w:b/>
                <w:lang w:val="en-US"/>
              </w:rPr>
              <w:t>/dl</w:t>
            </w:r>
            <w:r w:rsidRPr="00810932">
              <w:rPr>
                <w:rFonts w:cs="Times New Roman"/>
                <w:b/>
                <w:vertAlign w:val="superscript"/>
                <w:lang w:val="en-US"/>
              </w:rPr>
              <w:t>2</w:t>
            </w:r>
          </w:p>
        </w:tc>
        <w:tc>
          <w:tcPr>
            <w:tcW w:w="1004" w:type="pct"/>
            <w:shd w:val="clear" w:color="auto" w:fill="auto"/>
          </w:tcPr>
          <w:p w14:paraId="0048D1A8" w14:textId="77777777" w:rsidR="006020A9" w:rsidRPr="00810932" w:rsidRDefault="006020A9" w:rsidP="000C3F95">
            <w:pPr>
              <w:spacing w:after="0" w:line="360" w:lineRule="auto"/>
              <w:jc w:val="center"/>
              <w:rPr>
                <w:rFonts w:cs="Times New Roman"/>
                <w:lang w:val="en-US"/>
              </w:rPr>
            </w:pPr>
            <w:r w:rsidRPr="00810932">
              <w:rPr>
                <w:rFonts w:cs="Times New Roman"/>
                <w:lang w:val="en-US"/>
              </w:rPr>
              <w:t xml:space="preserve">  3.85 ± 1.15</w:t>
            </w:r>
          </w:p>
        </w:tc>
        <w:tc>
          <w:tcPr>
            <w:tcW w:w="1173" w:type="pct"/>
            <w:shd w:val="clear" w:color="auto" w:fill="auto"/>
          </w:tcPr>
          <w:p w14:paraId="049FDB4C"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 xml:space="preserve">  4.14 ± 1.35</w:t>
            </w:r>
          </w:p>
        </w:tc>
        <w:tc>
          <w:tcPr>
            <w:tcW w:w="546" w:type="pct"/>
            <w:gridSpan w:val="2"/>
          </w:tcPr>
          <w:p w14:paraId="03ACAE1C"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0.01</w:t>
            </w:r>
          </w:p>
        </w:tc>
      </w:tr>
      <w:tr w:rsidR="00810932" w:rsidRPr="00810932" w14:paraId="5D141313" w14:textId="77777777" w:rsidTr="000C3F95">
        <w:tc>
          <w:tcPr>
            <w:tcW w:w="2277" w:type="pct"/>
            <w:shd w:val="clear" w:color="auto" w:fill="auto"/>
          </w:tcPr>
          <w:p w14:paraId="2100D1A5" w14:textId="77777777" w:rsidR="006020A9" w:rsidRPr="00810932" w:rsidRDefault="006020A9" w:rsidP="000C3F95">
            <w:pPr>
              <w:spacing w:after="0" w:line="360" w:lineRule="auto"/>
              <w:rPr>
                <w:rFonts w:cs="Times New Roman"/>
                <w:b/>
                <w:lang w:val="en-US"/>
              </w:rPr>
            </w:pPr>
            <w:r w:rsidRPr="00810932">
              <w:rPr>
                <w:rFonts w:cs="Times New Roman"/>
                <w:b/>
                <w:lang w:val="en-US"/>
              </w:rPr>
              <w:t>Albumin – g/dl</w:t>
            </w:r>
          </w:p>
        </w:tc>
        <w:tc>
          <w:tcPr>
            <w:tcW w:w="1004" w:type="pct"/>
            <w:shd w:val="clear" w:color="auto" w:fill="auto"/>
          </w:tcPr>
          <w:p w14:paraId="377766E0" w14:textId="77777777" w:rsidR="006020A9" w:rsidRPr="00810932" w:rsidRDefault="006020A9" w:rsidP="000C3F95">
            <w:pPr>
              <w:spacing w:after="0" w:line="360" w:lineRule="auto"/>
              <w:jc w:val="center"/>
              <w:rPr>
                <w:rFonts w:cs="Times New Roman"/>
                <w:lang w:val="en-US"/>
              </w:rPr>
            </w:pPr>
            <w:r w:rsidRPr="00810932">
              <w:rPr>
                <w:rFonts w:cs="Times New Roman"/>
                <w:lang w:val="en-US"/>
              </w:rPr>
              <w:t xml:space="preserve">  4.0 ± 0.4</w:t>
            </w:r>
          </w:p>
        </w:tc>
        <w:tc>
          <w:tcPr>
            <w:tcW w:w="1173" w:type="pct"/>
            <w:shd w:val="clear" w:color="auto" w:fill="auto"/>
          </w:tcPr>
          <w:p w14:paraId="7AB26F05"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 xml:space="preserve">  3.9 ± 0.4</w:t>
            </w:r>
          </w:p>
        </w:tc>
        <w:tc>
          <w:tcPr>
            <w:tcW w:w="546" w:type="pct"/>
            <w:gridSpan w:val="2"/>
          </w:tcPr>
          <w:p w14:paraId="2A5A163E"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0.18</w:t>
            </w:r>
          </w:p>
        </w:tc>
      </w:tr>
      <w:tr w:rsidR="00810932" w:rsidRPr="00810932" w14:paraId="18F4C044" w14:textId="77777777" w:rsidTr="000C3F95">
        <w:tc>
          <w:tcPr>
            <w:tcW w:w="2277" w:type="pct"/>
            <w:shd w:val="clear" w:color="auto" w:fill="auto"/>
          </w:tcPr>
          <w:p w14:paraId="662CB5D6" w14:textId="77777777" w:rsidR="006020A9" w:rsidRPr="00810932" w:rsidRDefault="006020A9" w:rsidP="000C3F95">
            <w:pPr>
              <w:spacing w:after="0" w:line="360" w:lineRule="auto"/>
              <w:rPr>
                <w:rFonts w:cs="Times New Roman"/>
                <w:b/>
                <w:lang w:val="en-US"/>
              </w:rPr>
            </w:pPr>
            <w:r w:rsidRPr="00810932">
              <w:rPr>
                <w:rFonts w:cs="Times New Roman"/>
                <w:b/>
                <w:lang w:val="en-US"/>
              </w:rPr>
              <w:t>Hemoglobin – g/dl</w:t>
            </w:r>
          </w:p>
        </w:tc>
        <w:tc>
          <w:tcPr>
            <w:tcW w:w="1004" w:type="pct"/>
            <w:shd w:val="clear" w:color="auto" w:fill="auto"/>
          </w:tcPr>
          <w:p w14:paraId="5C48CF32" w14:textId="77777777" w:rsidR="006020A9" w:rsidRPr="00810932" w:rsidRDefault="006020A9" w:rsidP="000C3F95">
            <w:pPr>
              <w:spacing w:after="0" w:line="360" w:lineRule="auto"/>
              <w:jc w:val="center"/>
              <w:rPr>
                <w:rFonts w:cs="Times New Roman"/>
                <w:lang w:val="en-US"/>
              </w:rPr>
            </w:pPr>
            <w:r w:rsidRPr="00810932">
              <w:rPr>
                <w:rFonts w:cs="Times New Roman"/>
                <w:lang w:val="en-US"/>
              </w:rPr>
              <w:t>11.7 ± 1.2</w:t>
            </w:r>
          </w:p>
        </w:tc>
        <w:tc>
          <w:tcPr>
            <w:tcW w:w="1173" w:type="pct"/>
            <w:shd w:val="clear" w:color="auto" w:fill="auto"/>
          </w:tcPr>
          <w:p w14:paraId="7041A60D"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11.8 ± 1.2</w:t>
            </w:r>
          </w:p>
        </w:tc>
        <w:tc>
          <w:tcPr>
            <w:tcW w:w="546" w:type="pct"/>
            <w:gridSpan w:val="2"/>
          </w:tcPr>
          <w:p w14:paraId="218C285A"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0.41</w:t>
            </w:r>
          </w:p>
        </w:tc>
      </w:tr>
      <w:tr w:rsidR="00810932" w:rsidRPr="00810932" w14:paraId="15EECBDA" w14:textId="77777777" w:rsidTr="000C3F95">
        <w:tc>
          <w:tcPr>
            <w:tcW w:w="2277" w:type="pct"/>
            <w:tcBorders>
              <w:bottom w:val="single" w:sz="4" w:space="0" w:color="auto"/>
            </w:tcBorders>
            <w:shd w:val="clear" w:color="auto" w:fill="auto"/>
          </w:tcPr>
          <w:p w14:paraId="0080B3B1" w14:textId="77777777" w:rsidR="006020A9" w:rsidRPr="00810932" w:rsidRDefault="006020A9" w:rsidP="000C3F95">
            <w:pPr>
              <w:spacing w:after="0" w:line="360" w:lineRule="auto"/>
              <w:rPr>
                <w:rFonts w:cs="Times New Roman"/>
                <w:b/>
                <w:lang w:val="en-US"/>
              </w:rPr>
            </w:pPr>
            <w:proofErr w:type="spellStart"/>
            <w:r w:rsidRPr="00810932">
              <w:rPr>
                <w:rFonts w:cs="Times New Roman"/>
                <w:b/>
                <w:lang w:val="en-US"/>
              </w:rPr>
              <w:t>Kt</w:t>
            </w:r>
            <w:proofErr w:type="spellEnd"/>
            <w:r w:rsidRPr="00810932">
              <w:rPr>
                <w:rFonts w:cs="Times New Roman"/>
                <w:b/>
                <w:lang w:val="en-US"/>
              </w:rPr>
              <w:t>/V</w:t>
            </w:r>
          </w:p>
        </w:tc>
        <w:tc>
          <w:tcPr>
            <w:tcW w:w="1004" w:type="pct"/>
            <w:tcBorders>
              <w:bottom w:val="single" w:sz="4" w:space="0" w:color="auto"/>
            </w:tcBorders>
            <w:shd w:val="clear" w:color="auto" w:fill="auto"/>
          </w:tcPr>
          <w:p w14:paraId="647A4F9C" w14:textId="77777777" w:rsidR="006020A9" w:rsidRPr="00810932" w:rsidRDefault="006020A9" w:rsidP="000C3F95">
            <w:pPr>
              <w:spacing w:after="0" w:line="360" w:lineRule="auto"/>
              <w:jc w:val="center"/>
              <w:rPr>
                <w:rFonts w:cs="Times New Roman"/>
                <w:lang w:val="en-US"/>
              </w:rPr>
            </w:pPr>
            <w:r w:rsidRPr="00810932">
              <w:rPr>
                <w:rFonts w:cs="Times New Roman"/>
                <w:lang w:val="en-US"/>
              </w:rPr>
              <w:t xml:space="preserve">  1.48 ± 0.39</w:t>
            </w:r>
          </w:p>
        </w:tc>
        <w:tc>
          <w:tcPr>
            <w:tcW w:w="1173" w:type="pct"/>
            <w:tcBorders>
              <w:bottom w:val="single" w:sz="4" w:space="0" w:color="auto"/>
            </w:tcBorders>
            <w:shd w:val="clear" w:color="auto" w:fill="auto"/>
          </w:tcPr>
          <w:p w14:paraId="434D0A5C"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 xml:space="preserve">  1.49 ± 0.34</w:t>
            </w:r>
          </w:p>
        </w:tc>
        <w:tc>
          <w:tcPr>
            <w:tcW w:w="546" w:type="pct"/>
            <w:gridSpan w:val="2"/>
            <w:tcBorders>
              <w:bottom w:val="single" w:sz="4" w:space="0" w:color="auto"/>
            </w:tcBorders>
          </w:tcPr>
          <w:p w14:paraId="7D9345EF"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0.48</w:t>
            </w:r>
          </w:p>
        </w:tc>
      </w:tr>
      <w:tr w:rsidR="00810932" w:rsidRPr="00810932" w14:paraId="51A5D48C" w14:textId="77777777" w:rsidTr="000C3F95">
        <w:tc>
          <w:tcPr>
            <w:tcW w:w="2277" w:type="pct"/>
            <w:tcBorders>
              <w:top w:val="single" w:sz="4" w:space="0" w:color="auto"/>
            </w:tcBorders>
            <w:shd w:val="clear" w:color="auto" w:fill="auto"/>
          </w:tcPr>
          <w:p w14:paraId="050F1E93" w14:textId="77777777" w:rsidR="006020A9" w:rsidRPr="00810932" w:rsidRDefault="006020A9" w:rsidP="000C3F95">
            <w:pPr>
              <w:spacing w:after="0" w:line="360" w:lineRule="auto"/>
              <w:rPr>
                <w:rFonts w:cs="Times New Roman"/>
                <w:b/>
                <w:i/>
                <w:lang w:val="en-US"/>
              </w:rPr>
            </w:pPr>
            <w:r w:rsidRPr="00810932">
              <w:rPr>
                <w:rFonts w:cs="Times New Roman"/>
                <w:b/>
                <w:i/>
                <w:lang w:val="en-US"/>
              </w:rPr>
              <w:t>Medication</w:t>
            </w:r>
          </w:p>
        </w:tc>
        <w:tc>
          <w:tcPr>
            <w:tcW w:w="1004" w:type="pct"/>
            <w:tcBorders>
              <w:top w:val="single" w:sz="4" w:space="0" w:color="auto"/>
            </w:tcBorders>
            <w:shd w:val="clear" w:color="auto" w:fill="auto"/>
          </w:tcPr>
          <w:p w14:paraId="30149F9B" w14:textId="77777777" w:rsidR="006020A9" w:rsidRPr="00810932" w:rsidRDefault="006020A9" w:rsidP="000C3F95">
            <w:pPr>
              <w:spacing w:after="0" w:line="360" w:lineRule="auto"/>
              <w:jc w:val="center"/>
              <w:rPr>
                <w:rFonts w:cs="Times New Roman"/>
                <w:lang w:val="en-US"/>
              </w:rPr>
            </w:pPr>
          </w:p>
        </w:tc>
        <w:tc>
          <w:tcPr>
            <w:tcW w:w="1173" w:type="pct"/>
            <w:tcBorders>
              <w:top w:val="single" w:sz="4" w:space="0" w:color="auto"/>
            </w:tcBorders>
            <w:shd w:val="clear" w:color="auto" w:fill="auto"/>
          </w:tcPr>
          <w:p w14:paraId="223BCB9C" w14:textId="77777777" w:rsidR="006020A9" w:rsidRPr="00810932" w:rsidRDefault="006020A9" w:rsidP="000C3F95">
            <w:pPr>
              <w:spacing w:after="0" w:line="360" w:lineRule="auto"/>
              <w:jc w:val="center"/>
              <w:rPr>
                <w:rFonts w:cs="Times New Roman"/>
                <w:highlight w:val="yellow"/>
                <w:lang w:val="en-US"/>
              </w:rPr>
            </w:pPr>
          </w:p>
        </w:tc>
        <w:tc>
          <w:tcPr>
            <w:tcW w:w="546" w:type="pct"/>
            <w:gridSpan w:val="2"/>
            <w:tcBorders>
              <w:top w:val="single" w:sz="4" w:space="0" w:color="auto"/>
            </w:tcBorders>
          </w:tcPr>
          <w:p w14:paraId="6AFEF264" w14:textId="77777777" w:rsidR="006020A9" w:rsidRPr="00810932" w:rsidRDefault="006020A9" w:rsidP="000C3F95">
            <w:pPr>
              <w:spacing w:after="0" w:line="360" w:lineRule="auto"/>
              <w:jc w:val="center"/>
              <w:rPr>
                <w:rFonts w:cs="Times New Roman"/>
                <w:lang w:val="en-US"/>
              </w:rPr>
            </w:pPr>
          </w:p>
        </w:tc>
      </w:tr>
      <w:tr w:rsidR="00810932" w:rsidRPr="00810932" w14:paraId="28705EBC" w14:textId="77777777" w:rsidTr="000C3F95">
        <w:tc>
          <w:tcPr>
            <w:tcW w:w="2277" w:type="pct"/>
            <w:shd w:val="clear" w:color="auto" w:fill="auto"/>
          </w:tcPr>
          <w:p w14:paraId="61D7E031" w14:textId="77777777" w:rsidR="006020A9" w:rsidRPr="00810932" w:rsidRDefault="006020A9" w:rsidP="000C3F95">
            <w:pPr>
              <w:spacing w:after="0" w:line="360" w:lineRule="auto"/>
              <w:rPr>
                <w:rFonts w:cs="Times New Roman"/>
                <w:b/>
                <w:lang w:val="en-US"/>
              </w:rPr>
            </w:pPr>
            <w:r w:rsidRPr="00810932">
              <w:rPr>
                <w:rFonts w:cs="Times New Roman"/>
                <w:b/>
                <w:lang w:val="en-US"/>
              </w:rPr>
              <w:t>Use of BP medication – no. (%)</w:t>
            </w:r>
          </w:p>
        </w:tc>
        <w:tc>
          <w:tcPr>
            <w:tcW w:w="1004" w:type="pct"/>
            <w:shd w:val="clear" w:color="auto" w:fill="auto"/>
          </w:tcPr>
          <w:p w14:paraId="31C08FC5" w14:textId="77777777" w:rsidR="006020A9" w:rsidRPr="00810932" w:rsidRDefault="006020A9" w:rsidP="000C3F95">
            <w:pPr>
              <w:spacing w:after="0" w:line="360" w:lineRule="auto"/>
              <w:jc w:val="center"/>
              <w:rPr>
                <w:rFonts w:cs="Times New Roman"/>
                <w:lang w:val="en-US"/>
              </w:rPr>
            </w:pPr>
            <w:r w:rsidRPr="00810932">
              <w:rPr>
                <w:rFonts w:cs="Times New Roman"/>
                <w:lang w:val="en-US"/>
              </w:rPr>
              <w:t>314 (91)</w:t>
            </w:r>
          </w:p>
        </w:tc>
        <w:tc>
          <w:tcPr>
            <w:tcW w:w="1173" w:type="pct"/>
            <w:shd w:val="clear" w:color="auto" w:fill="auto"/>
          </w:tcPr>
          <w:p w14:paraId="4358357C"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158 (90)</w:t>
            </w:r>
          </w:p>
        </w:tc>
        <w:tc>
          <w:tcPr>
            <w:tcW w:w="546" w:type="pct"/>
            <w:gridSpan w:val="2"/>
          </w:tcPr>
          <w:p w14:paraId="2A08A360"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0.93</w:t>
            </w:r>
          </w:p>
        </w:tc>
      </w:tr>
      <w:tr w:rsidR="00810932" w:rsidRPr="00810932" w14:paraId="3E40B583" w14:textId="77777777" w:rsidTr="000C3F95">
        <w:tc>
          <w:tcPr>
            <w:tcW w:w="2277" w:type="pct"/>
            <w:shd w:val="clear" w:color="auto" w:fill="auto"/>
          </w:tcPr>
          <w:p w14:paraId="79EF295C" w14:textId="77777777" w:rsidR="006020A9" w:rsidRPr="00810932" w:rsidRDefault="006020A9" w:rsidP="000C3F95">
            <w:pPr>
              <w:spacing w:after="0" w:line="360" w:lineRule="auto"/>
              <w:rPr>
                <w:rFonts w:cs="Times New Roman"/>
                <w:b/>
                <w:lang w:val="en-US"/>
              </w:rPr>
            </w:pPr>
            <w:r w:rsidRPr="00810932">
              <w:rPr>
                <w:rFonts w:cs="Times New Roman"/>
                <w:b/>
                <w:lang w:val="en-US"/>
              </w:rPr>
              <w:t xml:space="preserve">Use of </w:t>
            </w:r>
            <w:proofErr w:type="spellStart"/>
            <w:r w:rsidRPr="00810932">
              <w:rPr>
                <w:rFonts w:cs="Times New Roman"/>
                <w:b/>
                <w:lang w:val="en-US"/>
              </w:rPr>
              <w:t>phenprocoumon</w:t>
            </w:r>
            <w:proofErr w:type="spellEnd"/>
            <w:r w:rsidRPr="00810932">
              <w:rPr>
                <w:rFonts w:cs="Times New Roman"/>
                <w:b/>
                <w:lang w:val="en-US"/>
              </w:rPr>
              <w:t xml:space="preserve"> – no. (%) </w:t>
            </w:r>
          </w:p>
        </w:tc>
        <w:tc>
          <w:tcPr>
            <w:tcW w:w="1004" w:type="pct"/>
            <w:shd w:val="clear" w:color="auto" w:fill="auto"/>
          </w:tcPr>
          <w:p w14:paraId="6712B12B" w14:textId="77777777" w:rsidR="006020A9" w:rsidRPr="00810932" w:rsidRDefault="006020A9" w:rsidP="000C3F95">
            <w:pPr>
              <w:spacing w:after="0" w:line="360" w:lineRule="auto"/>
              <w:jc w:val="center"/>
              <w:rPr>
                <w:rFonts w:cs="Times New Roman"/>
                <w:lang w:val="en-US"/>
              </w:rPr>
            </w:pPr>
            <w:r w:rsidRPr="00810932">
              <w:rPr>
                <w:rFonts w:cs="Times New Roman"/>
                <w:lang w:val="en-US"/>
              </w:rPr>
              <w:t xml:space="preserve">  52 (15)</w:t>
            </w:r>
          </w:p>
        </w:tc>
        <w:tc>
          <w:tcPr>
            <w:tcW w:w="1173" w:type="pct"/>
            <w:shd w:val="clear" w:color="auto" w:fill="auto"/>
          </w:tcPr>
          <w:p w14:paraId="5323BD79" w14:textId="77777777" w:rsidR="006020A9" w:rsidRPr="00810932" w:rsidRDefault="006020A9" w:rsidP="000C3F95">
            <w:pPr>
              <w:spacing w:after="0" w:line="360" w:lineRule="auto"/>
              <w:jc w:val="center"/>
              <w:rPr>
                <w:rFonts w:cs="Times New Roman"/>
                <w:lang w:val="en-US"/>
              </w:rPr>
            </w:pPr>
            <w:r w:rsidRPr="00810932">
              <w:rPr>
                <w:rFonts w:cs="Times New Roman"/>
                <w:lang w:val="en-US"/>
              </w:rPr>
              <w:t xml:space="preserve"> 31 (18)</w:t>
            </w:r>
          </w:p>
        </w:tc>
        <w:tc>
          <w:tcPr>
            <w:tcW w:w="546" w:type="pct"/>
            <w:gridSpan w:val="2"/>
          </w:tcPr>
          <w:p w14:paraId="1D28B8A8"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0.75</w:t>
            </w:r>
          </w:p>
        </w:tc>
      </w:tr>
      <w:tr w:rsidR="00810932" w:rsidRPr="00810932" w14:paraId="2127C91A" w14:textId="77777777" w:rsidTr="000C3F95">
        <w:tc>
          <w:tcPr>
            <w:tcW w:w="2277" w:type="pct"/>
            <w:tcBorders>
              <w:bottom w:val="single" w:sz="4" w:space="0" w:color="auto"/>
            </w:tcBorders>
            <w:shd w:val="clear" w:color="auto" w:fill="auto"/>
          </w:tcPr>
          <w:p w14:paraId="53802A12" w14:textId="77777777" w:rsidR="006020A9" w:rsidRPr="00810932" w:rsidRDefault="006020A9" w:rsidP="000C3F95">
            <w:pPr>
              <w:spacing w:after="0" w:line="360" w:lineRule="auto"/>
              <w:rPr>
                <w:rFonts w:cs="Times New Roman"/>
                <w:b/>
                <w:lang w:val="en-US"/>
              </w:rPr>
            </w:pPr>
            <w:r w:rsidRPr="00810932">
              <w:rPr>
                <w:rFonts w:cs="Times New Roman"/>
                <w:b/>
                <w:lang w:val="en-US"/>
              </w:rPr>
              <w:t>Use of statins - no. (%)</w:t>
            </w:r>
          </w:p>
        </w:tc>
        <w:tc>
          <w:tcPr>
            <w:tcW w:w="1004" w:type="pct"/>
            <w:tcBorders>
              <w:bottom w:val="single" w:sz="4" w:space="0" w:color="auto"/>
            </w:tcBorders>
            <w:shd w:val="clear" w:color="auto" w:fill="auto"/>
          </w:tcPr>
          <w:p w14:paraId="76DAD951" w14:textId="77777777" w:rsidR="006020A9" w:rsidRPr="00810932" w:rsidRDefault="006020A9" w:rsidP="000C3F95">
            <w:pPr>
              <w:spacing w:after="0" w:line="360" w:lineRule="auto"/>
              <w:jc w:val="center"/>
              <w:rPr>
                <w:rFonts w:cs="Times New Roman"/>
                <w:lang w:val="en-US"/>
              </w:rPr>
            </w:pPr>
            <w:r w:rsidRPr="00810932">
              <w:rPr>
                <w:rFonts w:cs="Times New Roman"/>
                <w:lang w:val="en-US"/>
              </w:rPr>
              <w:t>136 (40)</w:t>
            </w:r>
          </w:p>
        </w:tc>
        <w:tc>
          <w:tcPr>
            <w:tcW w:w="1173" w:type="pct"/>
            <w:tcBorders>
              <w:bottom w:val="single" w:sz="4" w:space="0" w:color="auto"/>
            </w:tcBorders>
            <w:shd w:val="clear" w:color="auto" w:fill="auto"/>
          </w:tcPr>
          <w:p w14:paraId="44CFDE07" w14:textId="77777777" w:rsidR="006020A9" w:rsidRPr="00810932" w:rsidRDefault="006020A9" w:rsidP="000C3F95">
            <w:pPr>
              <w:spacing w:after="0" w:line="360" w:lineRule="auto"/>
              <w:jc w:val="center"/>
              <w:rPr>
                <w:rFonts w:cs="Times New Roman"/>
                <w:highlight w:val="yellow"/>
                <w:lang w:val="en-US"/>
              </w:rPr>
            </w:pPr>
            <w:r w:rsidRPr="00810932">
              <w:rPr>
                <w:rFonts w:cs="Times New Roman"/>
                <w:lang w:val="en-US"/>
              </w:rPr>
              <w:t xml:space="preserve"> 60 (34)</w:t>
            </w:r>
          </w:p>
        </w:tc>
        <w:tc>
          <w:tcPr>
            <w:tcW w:w="546" w:type="pct"/>
            <w:gridSpan w:val="2"/>
            <w:tcBorders>
              <w:bottom w:val="single" w:sz="4" w:space="0" w:color="auto"/>
            </w:tcBorders>
          </w:tcPr>
          <w:p w14:paraId="75859811" w14:textId="77777777" w:rsidR="006020A9" w:rsidRPr="00810932" w:rsidRDefault="006020A9" w:rsidP="000C3F95">
            <w:pPr>
              <w:spacing w:after="0" w:line="360" w:lineRule="auto"/>
              <w:jc w:val="center"/>
              <w:rPr>
                <w:rFonts w:cs="Times New Roman"/>
                <w:lang w:val="en-US"/>
              </w:rPr>
            </w:pPr>
            <w:r w:rsidRPr="00810932">
              <w:rPr>
                <w:rFonts w:cs="Times New Roman"/>
                <w:lang w:val="en-US"/>
              </w:rPr>
              <w:t>0.51</w:t>
            </w:r>
          </w:p>
        </w:tc>
      </w:tr>
    </w:tbl>
    <w:p w14:paraId="0E5AA6EA" w14:textId="77777777" w:rsidR="006020A9" w:rsidRPr="00810932" w:rsidRDefault="006020A9" w:rsidP="006020A9">
      <w:pPr>
        <w:spacing w:line="360" w:lineRule="auto"/>
        <w:jc w:val="both"/>
        <w:rPr>
          <w:rFonts w:cs="Times New Roman"/>
          <w:lang w:val="en-US"/>
        </w:rPr>
      </w:pPr>
      <w:r w:rsidRPr="00810932">
        <w:rPr>
          <w:rFonts w:cs="Times New Roman"/>
          <w:lang w:val="en-US"/>
        </w:rPr>
        <w:t xml:space="preserve">Supplementary Table 3: Comparison of the study population with excluded patients. Continuous variables with normal distributed data are described as mean and standard deviation, skewed data as median and interquartile range. Categorical variables are expressed as number and percentage. *Vascular disease included coronary artery disease, cerebrovascular disease, peripheral vascular disease and arteriosclerosis. Abbreviations: BMI = body-mass-index, </w:t>
      </w:r>
      <w:proofErr w:type="spellStart"/>
      <w:r w:rsidRPr="00810932">
        <w:rPr>
          <w:rFonts w:cs="Times New Roman"/>
          <w:lang w:val="en-US"/>
        </w:rPr>
        <w:t>aCCI</w:t>
      </w:r>
      <w:proofErr w:type="spellEnd"/>
      <w:r w:rsidRPr="00810932">
        <w:rPr>
          <w:rFonts w:cs="Times New Roman"/>
          <w:lang w:val="en-US"/>
        </w:rPr>
        <w:t xml:space="preserve"> = adapted </w:t>
      </w:r>
      <w:proofErr w:type="spellStart"/>
      <w:r w:rsidRPr="00810932">
        <w:rPr>
          <w:rFonts w:cs="Times New Roman"/>
          <w:lang w:val="en-US"/>
        </w:rPr>
        <w:t>Charlson</w:t>
      </w:r>
      <w:proofErr w:type="spellEnd"/>
      <w:r w:rsidRPr="00810932">
        <w:rPr>
          <w:rFonts w:cs="Times New Roman"/>
          <w:lang w:val="en-US"/>
        </w:rPr>
        <w:t>-</w:t>
      </w:r>
      <w:r w:rsidRPr="00810932">
        <w:rPr>
          <w:rFonts w:cs="Times New Roman"/>
          <w:lang w:val="en-US"/>
        </w:rPr>
        <w:lastRenderedPageBreak/>
        <w:t xml:space="preserve">Comorbidity-Index, </w:t>
      </w:r>
      <w:proofErr w:type="spellStart"/>
      <w:r w:rsidRPr="00810932">
        <w:rPr>
          <w:rFonts w:cs="Times New Roman"/>
          <w:lang w:val="en-US"/>
        </w:rPr>
        <w:t>hs</w:t>
      </w:r>
      <w:proofErr w:type="spellEnd"/>
      <w:r w:rsidRPr="00810932">
        <w:rPr>
          <w:rFonts w:cs="Times New Roman"/>
          <w:lang w:val="en-US"/>
        </w:rPr>
        <w:t xml:space="preserve">-CRP = high-sensitive C-reactive protein, </w:t>
      </w:r>
      <w:proofErr w:type="spellStart"/>
      <w:r w:rsidRPr="00810932">
        <w:rPr>
          <w:rFonts w:cs="Times New Roman"/>
          <w:lang w:val="en-US"/>
        </w:rPr>
        <w:t>Kt</w:t>
      </w:r>
      <w:proofErr w:type="spellEnd"/>
      <w:r w:rsidRPr="00810932">
        <w:rPr>
          <w:rFonts w:cs="Times New Roman"/>
          <w:lang w:val="en-US"/>
        </w:rPr>
        <w:t>/V = clearance of urea x time / volume.</w:t>
      </w:r>
    </w:p>
    <w:p w14:paraId="6F42925A" w14:textId="208C0AC7" w:rsidR="006020A9" w:rsidRPr="00810932" w:rsidRDefault="006020A9">
      <w:pPr>
        <w:spacing w:after="160" w:line="259" w:lineRule="auto"/>
        <w:rPr>
          <w:lang w:val="en-US"/>
        </w:rPr>
      </w:pPr>
      <w:r w:rsidRPr="00810932">
        <w:rPr>
          <w:lang w:val="en-US"/>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gridCol w:w="2976"/>
      </w:tblGrid>
      <w:tr w:rsidR="00810932" w:rsidRPr="00CA6A04" w14:paraId="7BC6CA9C" w14:textId="77777777" w:rsidTr="000C3F95">
        <w:tc>
          <w:tcPr>
            <w:tcW w:w="9067" w:type="dxa"/>
            <w:gridSpan w:val="3"/>
            <w:tcBorders>
              <w:bottom w:val="single" w:sz="4" w:space="0" w:color="auto"/>
            </w:tcBorders>
          </w:tcPr>
          <w:p w14:paraId="1AFD2024" w14:textId="1F58E069" w:rsidR="006020A9" w:rsidRPr="00810932" w:rsidRDefault="006020A9" w:rsidP="000C3F95">
            <w:pPr>
              <w:spacing w:after="0" w:line="360" w:lineRule="auto"/>
              <w:rPr>
                <w:b/>
                <w:lang w:val="en-US"/>
              </w:rPr>
            </w:pPr>
            <w:r w:rsidRPr="00810932">
              <w:rPr>
                <w:b/>
                <w:lang w:val="en-US"/>
              </w:rPr>
              <w:lastRenderedPageBreak/>
              <w:t xml:space="preserve">Supplementary Table 4: Analysis of ROC-curves and calculation of threshold-values </w:t>
            </w:r>
            <w:r w:rsidR="00D84A6D">
              <w:rPr>
                <w:b/>
                <w:lang w:val="en-US"/>
              </w:rPr>
              <w:t>for 24h-PWV</w:t>
            </w:r>
          </w:p>
        </w:tc>
      </w:tr>
      <w:tr w:rsidR="00810932" w:rsidRPr="00810932" w14:paraId="76434671" w14:textId="77777777" w:rsidTr="000C3F95">
        <w:tc>
          <w:tcPr>
            <w:tcW w:w="3114" w:type="dxa"/>
            <w:tcBorders>
              <w:top w:val="single" w:sz="4" w:space="0" w:color="auto"/>
            </w:tcBorders>
          </w:tcPr>
          <w:p w14:paraId="1457B218" w14:textId="77777777" w:rsidR="006020A9" w:rsidRPr="00810932" w:rsidRDefault="006020A9" w:rsidP="000C3F95">
            <w:pPr>
              <w:spacing w:after="0" w:line="360" w:lineRule="auto"/>
              <w:rPr>
                <w:lang w:val="en-US"/>
              </w:rPr>
            </w:pPr>
          </w:p>
        </w:tc>
        <w:tc>
          <w:tcPr>
            <w:tcW w:w="2977" w:type="dxa"/>
            <w:tcBorders>
              <w:top w:val="single" w:sz="4" w:space="0" w:color="auto"/>
            </w:tcBorders>
          </w:tcPr>
          <w:p w14:paraId="0357FA18" w14:textId="77777777" w:rsidR="006020A9" w:rsidRPr="00810932" w:rsidRDefault="006020A9" w:rsidP="000C3F95">
            <w:pPr>
              <w:spacing w:after="0" w:line="360" w:lineRule="auto"/>
              <w:jc w:val="center"/>
              <w:rPr>
                <w:lang w:val="en-US"/>
              </w:rPr>
            </w:pPr>
            <w:r w:rsidRPr="00810932">
              <w:rPr>
                <w:lang w:val="en-US"/>
              </w:rPr>
              <w:t>threshold-value [m/s]</w:t>
            </w:r>
          </w:p>
        </w:tc>
        <w:tc>
          <w:tcPr>
            <w:tcW w:w="2976" w:type="dxa"/>
            <w:tcBorders>
              <w:top w:val="single" w:sz="4" w:space="0" w:color="auto"/>
            </w:tcBorders>
          </w:tcPr>
          <w:p w14:paraId="6122271C" w14:textId="77777777" w:rsidR="006020A9" w:rsidRPr="00810932" w:rsidRDefault="006020A9" w:rsidP="000C3F95">
            <w:pPr>
              <w:spacing w:after="0" w:line="360" w:lineRule="auto"/>
              <w:jc w:val="center"/>
              <w:rPr>
                <w:lang w:val="en-US"/>
              </w:rPr>
            </w:pPr>
            <w:r w:rsidRPr="00810932">
              <w:rPr>
                <w:lang w:val="en-US"/>
              </w:rPr>
              <w:t>AUC [95%-CI]</w:t>
            </w:r>
          </w:p>
        </w:tc>
      </w:tr>
      <w:tr w:rsidR="00810932" w:rsidRPr="00810932" w14:paraId="05865356" w14:textId="77777777" w:rsidTr="000C3F95">
        <w:tc>
          <w:tcPr>
            <w:tcW w:w="3114" w:type="dxa"/>
            <w:tcBorders>
              <w:bottom w:val="single" w:sz="4" w:space="0" w:color="auto"/>
            </w:tcBorders>
          </w:tcPr>
          <w:p w14:paraId="0DF26520" w14:textId="77777777" w:rsidR="006020A9" w:rsidRPr="00810932" w:rsidRDefault="006020A9" w:rsidP="000C3F95">
            <w:pPr>
              <w:spacing w:after="0" w:line="360" w:lineRule="auto"/>
              <w:rPr>
                <w:lang w:val="en-US"/>
              </w:rPr>
            </w:pPr>
            <w:r w:rsidRPr="00810932">
              <w:rPr>
                <w:lang w:val="en-US"/>
              </w:rPr>
              <w:t>all-cause mortality</w:t>
            </w:r>
          </w:p>
          <w:p w14:paraId="271E2AB5" w14:textId="77777777" w:rsidR="006020A9" w:rsidRPr="00810932" w:rsidRDefault="006020A9" w:rsidP="006020A9">
            <w:pPr>
              <w:pStyle w:val="Listenabsatz"/>
              <w:numPr>
                <w:ilvl w:val="0"/>
                <w:numId w:val="15"/>
              </w:numPr>
              <w:spacing w:after="0" w:line="360" w:lineRule="auto"/>
              <w:rPr>
                <w:lang w:val="en-US"/>
              </w:rPr>
            </w:pPr>
            <w:r w:rsidRPr="00810932">
              <w:rPr>
                <w:lang w:val="en-US"/>
              </w:rPr>
              <w:t>Study population</w:t>
            </w:r>
          </w:p>
          <w:p w14:paraId="4B59306E" w14:textId="77777777" w:rsidR="006020A9" w:rsidRPr="00810932" w:rsidRDefault="006020A9" w:rsidP="006020A9">
            <w:pPr>
              <w:pStyle w:val="Listenabsatz"/>
              <w:numPr>
                <w:ilvl w:val="0"/>
                <w:numId w:val="15"/>
              </w:numPr>
              <w:spacing w:after="0" w:line="360" w:lineRule="auto"/>
              <w:rPr>
                <w:lang w:val="en-US"/>
              </w:rPr>
            </w:pPr>
            <w:r w:rsidRPr="00810932">
              <w:rPr>
                <w:lang w:val="en-US"/>
              </w:rPr>
              <w:t>Patients without HF/AF</w:t>
            </w:r>
          </w:p>
        </w:tc>
        <w:tc>
          <w:tcPr>
            <w:tcW w:w="2977" w:type="dxa"/>
            <w:tcBorders>
              <w:bottom w:val="single" w:sz="4" w:space="0" w:color="auto"/>
            </w:tcBorders>
          </w:tcPr>
          <w:p w14:paraId="37A3BB29" w14:textId="77777777" w:rsidR="006020A9" w:rsidRPr="00810932" w:rsidRDefault="006020A9" w:rsidP="000C3F95">
            <w:pPr>
              <w:spacing w:after="0" w:line="360" w:lineRule="auto"/>
              <w:jc w:val="center"/>
              <w:rPr>
                <w:lang w:val="en-US"/>
              </w:rPr>
            </w:pPr>
          </w:p>
          <w:p w14:paraId="1F4FED83" w14:textId="77777777" w:rsidR="006020A9" w:rsidRPr="00810932" w:rsidRDefault="006020A9" w:rsidP="000C3F95">
            <w:pPr>
              <w:spacing w:after="0" w:line="360" w:lineRule="auto"/>
              <w:jc w:val="center"/>
              <w:rPr>
                <w:lang w:val="en-US"/>
              </w:rPr>
            </w:pPr>
            <w:r w:rsidRPr="00810932">
              <w:rPr>
                <w:lang w:val="en-US"/>
              </w:rPr>
              <w:t>9.1</w:t>
            </w:r>
          </w:p>
          <w:p w14:paraId="5857775B" w14:textId="77777777" w:rsidR="006020A9" w:rsidRPr="00810932" w:rsidRDefault="006020A9" w:rsidP="000C3F95">
            <w:pPr>
              <w:spacing w:after="0" w:line="360" w:lineRule="auto"/>
              <w:jc w:val="center"/>
              <w:rPr>
                <w:lang w:val="en-US"/>
              </w:rPr>
            </w:pPr>
            <w:r w:rsidRPr="00810932">
              <w:rPr>
                <w:lang w:val="en-US"/>
              </w:rPr>
              <w:t>9.5</w:t>
            </w:r>
          </w:p>
        </w:tc>
        <w:tc>
          <w:tcPr>
            <w:tcW w:w="2976" w:type="dxa"/>
            <w:tcBorders>
              <w:bottom w:val="single" w:sz="4" w:space="0" w:color="auto"/>
            </w:tcBorders>
          </w:tcPr>
          <w:p w14:paraId="2E8AC3D0" w14:textId="77777777" w:rsidR="006020A9" w:rsidRPr="00810932" w:rsidRDefault="006020A9" w:rsidP="000C3F95">
            <w:pPr>
              <w:spacing w:after="0" w:line="360" w:lineRule="auto"/>
              <w:jc w:val="center"/>
              <w:rPr>
                <w:lang w:val="en-US"/>
              </w:rPr>
            </w:pPr>
          </w:p>
          <w:p w14:paraId="1C86CFAB" w14:textId="77777777" w:rsidR="006020A9" w:rsidRPr="00810932" w:rsidRDefault="006020A9" w:rsidP="000C3F95">
            <w:pPr>
              <w:spacing w:after="0" w:line="360" w:lineRule="auto"/>
              <w:jc w:val="center"/>
              <w:rPr>
                <w:lang w:val="en-US"/>
              </w:rPr>
            </w:pPr>
            <w:r w:rsidRPr="00810932">
              <w:rPr>
                <w:lang w:val="en-US"/>
              </w:rPr>
              <w:t>0.681 [0.629-0.730]</w:t>
            </w:r>
          </w:p>
          <w:p w14:paraId="7AD98312" w14:textId="77777777" w:rsidR="006020A9" w:rsidRPr="00810932" w:rsidRDefault="006020A9" w:rsidP="000C3F95">
            <w:pPr>
              <w:spacing w:after="0" w:line="360" w:lineRule="auto"/>
              <w:jc w:val="center"/>
              <w:rPr>
                <w:lang w:val="en-US"/>
              </w:rPr>
            </w:pPr>
            <w:r w:rsidRPr="00810932">
              <w:rPr>
                <w:lang w:val="en-US"/>
              </w:rPr>
              <w:t>0.686 [0.623-0.744]</w:t>
            </w:r>
          </w:p>
        </w:tc>
      </w:tr>
      <w:tr w:rsidR="00810932" w:rsidRPr="00810932" w14:paraId="710F3106" w14:textId="77777777" w:rsidTr="000C3F95">
        <w:tc>
          <w:tcPr>
            <w:tcW w:w="3114" w:type="dxa"/>
            <w:tcBorders>
              <w:top w:val="single" w:sz="4" w:space="0" w:color="auto"/>
              <w:bottom w:val="single" w:sz="4" w:space="0" w:color="auto"/>
            </w:tcBorders>
          </w:tcPr>
          <w:p w14:paraId="0D37BF38" w14:textId="77777777" w:rsidR="006020A9" w:rsidRPr="00810932" w:rsidRDefault="006020A9" w:rsidP="000C3F95">
            <w:pPr>
              <w:spacing w:after="0" w:line="360" w:lineRule="auto"/>
              <w:rPr>
                <w:lang w:val="en-US"/>
              </w:rPr>
            </w:pPr>
            <w:r w:rsidRPr="00810932">
              <w:rPr>
                <w:lang w:val="en-US"/>
              </w:rPr>
              <w:t>cardiovascular mortality</w:t>
            </w:r>
          </w:p>
          <w:p w14:paraId="2EAF8AEE" w14:textId="77777777" w:rsidR="006020A9" w:rsidRPr="00810932" w:rsidRDefault="006020A9" w:rsidP="006020A9">
            <w:pPr>
              <w:pStyle w:val="Listenabsatz"/>
              <w:numPr>
                <w:ilvl w:val="0"/>
                <w:numId w:val="15"/>
              </w:numPr>
              <w:spacing w:after="0" w:line="360" w:lineRule="auto"/>
              <w:rPr>
                <w:lang w:val="en-US"/>
              </w:rPr>
            </w:pPr>
            <w:r w:rsidRPr="00810932">
              <w:rPr>
                <w:lang w:val="en-US"/>
              </w:rPr>
              <w:t>Study population</w:t>
            </w:r>
          </w:p>
          <w:p w14:paraId="1F71A028" w14:textId="77777777" w:rsidR="006020A9" w:rsidRPr="00810932" w:rsidRDefault="006020A9" w:rsidP="006020A9">
            <w:pPr>
              <w:pStyle w:val="Listenabsatz"/>
              <w:numPr>
                <w:ilvl w:val="0"/>
                <w:numId w:val="15"/>
              </w:numPr>
              <w:spacing w:after="0" w:line="360" w:lineRule="auto"/>
              <w:rPr>
                <w:lang w:val="en-US"/>
              </w:rPr>
            </w:pPr>
            <w:r w:rsidRPr="00810932">
              <w:rPr>
                <w:lang w:val="en-US"/>
              </w:rPr>
              <w:t>Patients without HF/AF</w:t>
            </w:r>
          </w:p>
        </w:tc>
        <w:tc>
          <w:tcPr>
            <w:tcW w:w="2977" w:type="dxa"/>
            <w:tcBorders>
              <w:top w:val="single" w:sz="4" w:space="0" w:color="auto"/>
              <w:bottom w:val="single" w:sz="4" w:space="0" w:color="auto"/>
            </w:tcBorders>
          </w:tcPr>
          <w:p w14:paraId="6519F43F" w14:textId="77777777" w:rsidR="006020A9" w:rsidRPr="00810932" w:rsidRDefault="006020A9" w:rsidP="000C3F95">
            <w:pPr>
              <w:spacing w:after="0" w:line="360" w:lineRule="auto"/>
              <w:jc w:val="center"/>
              <w:rPr>
                <w:lang w:val="en-US"/>
              </w:rPr>
            </w:pPr>
          </w:p>
          <w:p w14:paraId="2FBC0D4C" w14:textId="77777777" w:rsidR="006020A9" w:rsidRPr="00810932" w:rsidRDefault="006020A9" w:rsidP="000C3F95">
            <w:pPr>
              <w:spacing w:after="0" w:line="360" w:lineRule="auto"/>
              <w:jc w:val="center"/>
              <w:rPr>
                <w:lang w:val="en-US"/>
              </w:rPr>
            </w:pPr>
            <w:r w:rsidRPr="00810932">
              <w:rPr>
                <w:lang w:val="en-US"/>
              </w:rPr>
              <w:t>9.3</w:t>
            </w:r>
          </w:p>
          <w:p w14:paraId="5C56F27A" w14:textId="77777777" w:rsidR="006020A9" w:rsidRPr="00810932" w:rsidRDefault="006020A9" w:rsidP="000C3F95">
            <w:pPr>
              <w:spacing w:after="0" w:line="360" w:lineRule="auto"/>
              <w:jc w:val="center"/>
              <w:rPr>
                <w:lang w:val="en-US"/>
              </w:rPr>
            </w:pPr>
            <w:r w:rsidRPr="00810932">
              <w:rPr>
                <w:lang w:val="en-US"/>
              </w:rPr>
              <w:t>9.5</w:t>
            </w:r>
          </w:p>
        </w:tc>
        <w:tc>
          <w:tcPr>
            <w:tcW w:w="2976" w:type="dxa"/>
            <w:tcBorders>
              <w:top w:val="single" w:sz="4" w:space="0" w:color="auto"/>
              <w:bottom w:val="single" w:sz="4" w:space="0" w:color="auto"/>
            </w:tcBorders>
          </w:tcPr>
          <w:p w14:paraId="0EA1124F" w14:textId="77777777" w:rsidR="006020A9" w:rsidRPr="00810932" w:rsidRDefault="006020A9" w:rsidP="000C3F95">
            <w:pPr>
              <w:spacing w:after="0" w:line="360" w:lineRule="auto"/>
              <w:jc w:val="center"/>
              <w:rPr>
                <w:lang w:val="en-US"/>
              </w:rPr>
            </w:pPr>
          </w:p>
          <w:p w14:paraId="544807F6" w14:textId="77777777" w:rsidR="006020A9" w:rsidRPr="00810932" w:rsidRDefault="006020A9" w:rsidP="000C3F95">
            <w:pPr>
              <w:spacing w:after="0" w:line="360" w:lineRule="auto"/>
              <w:jc w:val="center"/>
              <w:rPr>
                <w:lang w:val="en-US"/>
              </w:rPr>
            </w:pPr>
            <w:r w:rsidRPr="00810932">
              <w:rPr>
                <w:lang w:val="en-US"/>
              </w:rPr>
              <w:t>0.670 [0.617-0.719]</w:t>
            </w:r>
          </w:p>
          <w:p w14:paraId="6A664919" w14:textId="77777777" w:rsidR="006020A9" w:rsidRPr="00810932" w:rsidRDefault="006020A9" w:rsidP="000C3F95">
            <w:pPr>
              <w:spacing w:after="0" w:line="360" w:lineRule="auto"/>
              <w:jc w:val="center"/>
              <w:rPr>
                <w:lang w:val="en-US"/>
              </w:rPr>
            </w:pPr>
            <w:r w:rsidRPr="00810932">
              <w:rPr>
                <w:lang w:val="en-US"/>
              </w:rPr>
              <w:t>0.706 [0.644-0.763]</w:t>
            </w:r>
          </w:p>
        </w:tc>
      </w:tr>
    </w:tbl>
    <w:p w14:paraId="6ED8B76D" w14:textId="6F9AA1DF" w:rsidR="006020A9" w:rsidRPr="00810932" w:rsidRDefault="006020A9" w:rsidP="006020A9">
      <w:pPr>
        <w:spacing w:after="0" w:line="360" w:lineRule="auto"/>
        <w:rPr>
          <w:lang w:val="en-US"/>
        </w:rPr>
      </w:pPr>
      <w:r w:rsidRPr="00810932">
        <w:rPr>
          <w:lang w:val="en-US"/>
        </w:rPr>
        <w:t>Supplementary Table 4: Analysis of ROC-curves and calculation of threshold-values</w:t>
      </w:r>
      <w:r w:rsidR="00D84A6D">
        <w:rPr>
          <w:lang w:val="en-US"/>
        </w:rPr>
        <w:t xml:space="preserve"> for 24h-PWV</w:t>
      </w:r>
      <w:r w:rsidRPr="00810932">
        <w:rPr>
          <w:lang w:val="en-US"/>
        </w:rPr>
        <w:t xml:space="preserve">. AUC with 95%-CI. Abbreviations: ROC = receiver operating characteristic; AUC= area under the curve; CI = confidence-interval; </w:t>
      </w:r>
      <w:r w:rsidR="00D84A6D">
        <w:rPr>
          <w:lang w:val="en-US"/>
        </w:rPr>
        <w:t xml:space="preserve">PWV = pulse wave velocity; </w:t>
      </w:r>
      <w:bookmarkStart w:id="0" w:name="_GoBack"/>
      <w:bookmarkEnd w:id="0"/>
      <w:r w:rsidRPr="00810932">
        <w:rPr>
          <w:lang w:val="en-US"/>
        </w:rPr>
        <w:t>HF = heart failure; AF = atrial fibrillation</w:t>
      </w:r>
    </w:p>
    <w:p w14:paraId="3786327C" w14:textId="77777777" w:rsidR="00D5618C" w:rsidRPr="00810932" w:rsidRDefault="00D5618C" w:rsidP="00AB766F">
      <w:pPr>
        <w:spacing w:after="160" w:line="259" w:lineRule="auto"/>
        <w:rPr>
          <w:rFonts w:cs="Times New Roman"/>
          <w:b/>
          <w:iCs/>
          <w:lang w:val="en-US"/>
        </w:rPr>
      </w:pPr>
    </w:p>
    <w:sectPr w:rsidR="00D5618C" w:rsidRPr="00810932" w:rsidSect="00BE5AFF">
      <w:footerReference w:type="default" r:id="rId9"/>
      <w:footerReference w:type="firs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2DEC" w14:textId="77777777" w:rsidR="00D34743" w:rsidRDefault="00D34743" w:rsidP="002447D9">
      <w:pPr>
        <w:spacing w:after="0" w:line="240" w:lineRule="auto"/>
      </w:pPr>
      <w:r>
        <w:separator/>
      </w:r>
    </w:p>
  </w:endnote>
  <w:endnote w:type="continuationSeparator" w:id="0">
    <w:p w14:paraId="56F02F56" w14:textId="77777777" w:rsidR="00D34743" w:rsidRDefault="00D34743" w:rsidP="0024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97121"/>
      <w:docPartObj>
        <w:docPartGallery w:val="Page Numbers (Bottom of Page)"/>
        <w:docPartUnique/>
      </w:docPartObj>
    </w:sdtPr>
    <w:sdtEndPr/>
    <w:sdtContent>
      <w:p w14:paraId="657BD7AB" w14:textId="78B2C6E0" w:rsidR="00772454" w:rsidRDefault="00772454">
        <w:pPr>
          <w:pStyle w:val="Fuzeile"/>
          <w:jc w:val="right"/>
        </w:pPr>
        <w:r>
          <w:fldChar w:fldCharType="begin"/>
        </w:r>
        <w:r>
          <w:instrText>PAGE   \* MERGEFORMAT</w:instrText>
        </w:r>
        <w:r>
          <w:fldChar w:fldCharType="separate"/>
        </w:r>
        <w:r w:rsidR="00D84A6D">
          <w:rPr>
            <w:noProof/>
          </w:rPr>
          <w:t>8</w:t>
        </w:r>
        <w:r>
          <w:fldChar w:fldCharType="end"/>
        </w:r>
      </w:p>
    </w:sdtContent>
  </w:sdt>
  <w:p w14:paraId="62AF73CB" w14:textId="77777777" w:rsidR="00772454" w:rsidRDefault="007724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50874ABC483429A9987A50CF83F558D"/>
      </w:placeholder>
      <w:temporary/>
      <w:showingPlcHdr/>
      <w15:appearance w15:val="hidden"/>
    </w:sdtPr>
    <w:sdtEndPr/>
    <w:sdtContent>
      <w:p w14:paraId="612EC5CC" w14:textId="77777777" w:rsidR="00BE5AFF" w:rsidRDefault="00BE5AFF">
        <w:pPr>
          <w:pStyle w:val="Fuzeile"/>
        </w:pPr>
        <w:r>
          <w:t>[Hier eingeben]</w:t>
        </w:r>
      </w:p>
    </w:sdtContent>
  </w:sdt>
  <w:p w14:paraId="342DB69E" w14:textId="77777777" w:rsidR="00BE5AFF" w:rsidRDefault="00BE5A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1EEC" w14:textId="77777777" w:rsidR="00D34743" w:rsidRDefault="00D34743" w:rsidP="002447D9">
      <w:pPr>
        <w:spacing w:after="0" w:line="240" w:lineRule="auto"/>
      </w:pPr>
      <w:r>
        <w:separator/>
      </w:r>
    </w:p>
  </w:footnote>
  <w:footnote w:type="continuationSeparator" w:id="0">
    <w:p w14:paraId="79A4DB3C" w14:textId="77777777" w:rsidR="00D34743" w:rsidRDefault="00D34743" w:rsidP="0024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8B6"/>
    <w:multiLevelType w:val="hybridMultilevel"/>
    <w:tmpl w:val="CB6ED474"/>
    <w:lvl w:ilvl="0" w:tplc="0EFE85AE">
      <w:start w:val="2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06D08"/>
    <w:multiLevelType w:val="hybridMultilevel"/>
    <w:tmpl w:val="809E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B4B1F"/>
    <w:multiLevelType w:val="hybridMultilevel"/>
    <w:tmpl w:val="8DB49ACE"/>
    <w:lvl w:ilvl="0" w:tplc="47607E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EF2"/>
    <w:multiLevelType w:val="hybridMultilevel"/>
    <w:tmpl w:val="5E1E0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545915"/>
    <w:multiLevelType w:val="hybridMultilevel"/>
    <w:tmpl w:val="0B6A21D8"/>
    <w:lvl w:ilvl="0" w:tplc="1C2068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FD73A9"/>
    <w:multiLevelType w:val="hybridMultilevel"/>
    <w:tmpl w:val="BCA0F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F40213"/>
    <w:multiLevelType w:val="hybridMultilevel"/>
    <w:tmpl w:val="9182A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30D51"/>
    <w:multiLevelType w:val="hybridMultilevel"/>
    <w:tmpl w:val="534AA9AE"/>
    <w:lvl w:ilvl="0" w:tplc="4824D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2EF8"/>
    <w:multiLevelType w:val="hybridMultilevel"/>
    <w:tmpl w:val="3B127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D3824"/>
    <w:multiLevelType w:val="hybridMultilevel"/>
    <w:tmpl w:val="B20E7380"/>
    <w:lvl w:ilvl="0" w:tplc="D962140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46070E"/>
    <w:multiLevelType w:val="hybridMultilevel"/>
    <w:tmpl w:val="25E05FF0"/>
    <w:lvl w:ilvl="0" w:tplc="BDB8C2E4">
      <w:start w:val="19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2B083E"/>
    <w:multiLevelType w:val="hybridMultilevel"/>
    <w:tmpl w:val="4214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6309C5"/>
    <w:multiLevelType w:val="multilevel"/>
    <w:tmpl w:val="01C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A742C"/>
    <w:multiLevelType w:val="hybridMultilevel"/>
    <w:tmpl w:val="8482F97C"/>
    <w:lvl w:ilvl="0" w:tplc="317489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D71E2"/>
    <w:multiLevelType w:val="hybridMultilevel"/>
    <w:tmpl w:val="E164738A"/>
    <w:lvl w:ilvl="0" w:tplc="D42ACD62">
      <w:start w:val="2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2"/>
  </w:num>
  <w:num w:numId="5">
    <w:abstractNumId w:val="4"/>
  </w:num>
  <w:num w:numId="6">
    <w:abstractNumId w:val="7"/>
  </w:num>
  <w:num w:numId="7">
    <w:abstractNumId w:val="12"/>
  </w:num>
  <w:num w:numId="8">
    <w:abstractNumId w:val="6"/>
  </w:num>
  <w:num w:numId="9">
    <w:abstractNumId w:val="5"/>
  </w:num>
  <w:num w:numId="10">
    <w:abstractNumId w:val="11"/>
  </w:num>
  <w:num w:numId="11">
    <w:abstractNumId w:val="1"/>
  </w:num>
  <w:num w:numId="12">
    <w:abstractNumId w:val="8"/>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xfev293re90pee5xbvdaxldw2tetp9xzaf&quot;&gt;My EndNote Library&lt;record-ids&gt;&lt;item&gt;341&lt;/item&gt;&lt;item&gt;343&lt;/item&gt;&lt;item&gt;345&lt;/item&gt;&lt;item&gt;346&lt;/item&gt;&lt;item&gt;350&lt;/item&gt;&lt;item&gt;353&lt;/item&gt;&lt;item&gt;355&lt;/item&gt;&lt;item&gt;358&lt;/item&gt;&lt;item&gt;363&lt;/item&gt;&lt;item&gt;364&lt;/item&gt;&lt;item&gt;375&lt;/item&gt;&lt;item&gt;376&lt;/item&gt;&lt;item&gt;380&lt;/item&gt;&lt;item&gt;848&lt;/item&gt;&lt;item&gt;1061&lt;/item&gt;&lt;item&gt;1081&lt;/item&gt;&lt;item&gt;1136&lt;/item&gt;&lt;item&gt;1140&lt;/item&gt;&lt;item&gt;1143&lt;/item&gt;&lt;item&gt;1163&lt;/item&gt;&lt;item&gt;1264&lt;/item&gt;&lt;item&gt;1266&lt;/item&gt;&lt;item&gt;1276&lt;/item&gt;&lt;item&gt;1279&lt;/item&gt;&lt;item&gt;1280&lt;/item&gt;&lt;item&gt;1281&lt;/item&gt;&lt;item&gt;1283&lt;/item&gt;&lt;item&gt;1285&lt;/item&gt;&lt;item&gt;1286&lt;/item&gt;&lt;item&gt;1287&lt;/item&gt;&lt;item&gt;1289&lt;/item&gt;&lt;item&gt;1294&lt;/item&gt;&lt;item&gt;1309&lt;/item&gt;&lt;item&gt;1375&lt;/item&gt;&lt;item&gt;1393&lt;/item&gt;&lt;item&gt;1400&lt;/item&gt;&lt;item&gt;1433&lt;/item&gt;&lt;item&gt;1441&lt;/item&gt;&lt;item&gt;1442&lt;/item&gt;&lt;item&gt;1449&lt;/item&gt;&lt;item&gt;1465&lt;/item&gt;&lt;item&gt;1639&lt;/item&gt;&lt;item&gt;1669&lt;/item&gt;&lt;item&gt;1697&lt;/item&gt;&lt;item&gt;1732&lt;/item&gt;&lt;item&gt;1767&lt;/item&gt;&lt;/record-ids&gt;&lt;/item&gt;&lt;/Libraries&gt;"/>
  </w:docVars>
  <w:rsids>
    <w:rsidRoot w:val="00D92390"/>
    <w:rsid w:val="00001F6F"/>
    <w:rsid w:val="00003179"/>
    <w:rsid w:val="000048E6"/>
    <w:rsid w:val="00006AEE"/>
    <w:rsid w:val="00010688"/>
    <w:rsid w:val="000116BD"/>
    <w:rsid w:val="0001174F"/>
    <w:rsid w:val="00012B71"/>
    <w:rsid w:val="0001633E"/>
    <w:rsid w:val="000176ED"/>
    <w:rsid w:val="00025094"/>
    <w:rsid w:val="000250D1"/>
    <w:rsid w:val="00026096"/>
    <w:rsid w:val="000261BD"/>
    <w:rsid w:val="00027C3D"/>
    <w:rsid w:val="00030E52"/>
    <w:rsid w:val="00031706"/>
    <w:rsid w:val="0003298B"/>
    <w:rsid w:val="00032FE3"/>
    <w:rsid w:val="000355BB"/>
    <w:rsid w:val="0003573F"/>
    <w:rsid w:val="00035878"/>
    <w:rsid w:val="00037320"/>
    <w:rsid w:val="00046BF8"/>
    <w:rsid w:val="00046E80"/>
    <w:rsid w:val="0004705A"/>
    <w:rsid w:val="000530F0"/>
    <w:rsid w:val="000534B4"/>
    <w:rsid w:val="0005519C"/>
    <w:rsid w:val="00056022"/>
    <w:rsid w:val="00057FC5"/>
    <w:rsid w:val="00061A25"/>
    <w:rsid w:val="0006296D"/>
    <w:rsid w:val="00063956"/>
    <w:rsid w:val="00063EE1"/>
    <w:rsid w:val="00067E57"/>
    <w:rsid w:val="000722D4"/>
    <w:rsid w:val="00073F62"/>
    <w:rsid w:val="00074EDE"/>
    <w:rsid w:val="00080BEC"/>
    <w:rsid w:val="000824B8"/>
    <w:rsid w:val="0008284D"/>
    <w:rsid w:val="000833D5"/>
    <w:rsid w:val="00085C14"/>
    <w:rsid w:val="0008620F"/>
    <w:rsid w:val="00086898"/>
    <w:rsid w:val="000906F9"/>
    <w:rsid w:val="00092088"/>
    <w:rsid w:val="00096893"/>
    <w:rsid w:val="00097418"/>
    <w:rsid w:val="000A02E5"/>
    <w:rsid w:val="000A0501"/>
    <w:rsid w:val="000A1895"/>
    <w:rsid w:val="000A5DF8"/>
    <w:rsid w:val="000A77F0"/>
    <w:rsid w:val="000A7E3A"/>
    <w:rsid w:val="000B184B"/>
    <w:rsid w:val="000B2608"/>
    <w:rsid w:val="000B2CA6"/>
    <w:rsid w:val="000B4261"/>
    <w:rsid w:val="000B4341"/>
    <w:rsid w:val="000B46F0"/>
    <w:rsid w:val="000C0D5E"/>
    <w:rsid w:val="000C26AE"/>
    <w:rsid w:val="000D5287"/>
    <w:rsid w:val="000E05E1"/>
    <w:rsid w:val="000E3A8A"/>
    <w:rsid w:val="000E4F85"/>
    <w:rsid w:val="000E690E"/>
    <w:rsid w:val="000E6A12"/>
    <w:rsid w:val="000F013C"/>
    <w:rsid w:val="000F140B"/>
    <w:rsid w:val="000F78E2"/>
    <w:rsid w:val="00101090"/>
    <w:rsid w:val="001014C1"/>
    <w:rsid w:val="001030D2"/>
    <w:rsid w:val="0010319E"/>
    <w:rsid w:val="00103F82"/>
    <w:rsid w:val="00105F97"/>
    <w:rsid w:val="0010630B"/>
    <w:rsid w:val="00121446"/>
    <w:rsid w:val="00122013"/>
    <w:rsid w:val="00123B5F"/>
    <w:rsid w:val="001268CD"/>
    <w:rsid w:val="00127F53"/>
    <w:rsid w:val="00130357"/>
    <w:rsid w:val="00130419"/>
    <w:rsid w:val="00130605"/>
    <w:rsid w:val="001338A7"/>
    <w:rsid w:val="00134529"/>
    <w:rsid w:val="00136C46"/>
    <w:rsid w:val="00137073"/>
    <w:rsid w:val="00137292"/>
    <w:rsid w:val="00137F90"/>
    <w:rsid w:val="0014285E"/>
    <w:rsid w:val="0014546F"/>
    <w:rsid w:val="0014679E"/>
    <w:rsid w:val="00146F20"/>
    <w:rsid w:val="0015116C"/>
    <w:rsid w:val="00155C5A"/>
    <w:rsid w:val="001607A1"/>
    <w:rsid w:val="0016344F"/>
    <w:rsid w:val="00164A76"/>
    <w:rsid w:val="00170743"/>
    <w:rsid w:val="00172792"/>
    <w:rsid w:val="00172AF5"/>
    <w:rsid w:val="0018073A"/>
    <w:rsid w:val="00181DC1"/>
    <w:rsid w:val="0019000A"/>
    <w:rsid w:val="001904A2"/>
    <w:rsid w:val="0019124F"/>
    <w:rsid w:val="00193725"/>
    <w:rsid w:val="00195596"/>
    <w:rsid w:val="00196803"/>
    <w:rsid w:val="00196842"/>
    <w:rsid w:val="00196EF2"/>
    <w:rsid w:val="00197659"/>
    <w:rsid w:val="0019798D"/>
    <w:rsid w:val="001A2867"/>
    <w:rsid w:val="001A3771"/>
    <w:rsid w:val="001A5056"/>
    <w:rsid w:val="001A531B"/>
    <w:rsid w:val="001A5D46"/>
    <w:rsid w:val="001A6928"/>
    <w:rsid w:val="001A7760"/>
    <w:rsid w:val="001B03FE"/>
    <w:rsid w:val="001B2332"/>
    <w:rsid w:val="001B2F88"/>
    <w:rsid w:val="001B35EC"/>
    <w:rsid w:val="001B4AE9"/>
    <w:rsid w:val="001B552F"/>
    <w:rsid w:val="001B772A"/>
    <w:rsid w:val="001B78AE"/>
    <w:rsid w:val="001C1A98"/>
    <w:rsid w:val="001C239F"/>
    <w:rsid w:val="001C2567"/>
    <w:rsid w:val="001C2ADB"/>
    <w:rsid w:val="001C374A"/>
    <w:rsid w:val="001C3BA8"/>
    <w:rsid w:val="001C3D41"/>
    <w:rsid w:val="001C5072"/>
    <w:rsid w:val="001C5C34"/>
    <w:rsid w:val="001C65EA"/>
    <w:rsid w:val="001D1D9F"/>
    <w:rsid w:val="001D20D9"/>
    <w:rsid w:val="001D2AA4"/>
    <w:rsid w:val="001D3D59"/>
    <w:rsid w:val="001D3DE6"/>
    <w:rsid w:val="001D5792"/>
    <w:rsid w:val="001E036A"/>
    <w:rsid w:val="001E5B1A"/>
    <w:rsid w:val="001F0602"/>
    <w:rsid w:val="001F266D"/>
    <w:rsid w:val="001F302F"/>
    <w:rsid w:val="001F3177"/>
    <w:rsid w:val="001F393B"/>
    <w:rsid w:val="001F4923"/>
    <w:rsid w:val="001F5D6A"/>
    <w:rsid w:val="001F6041"/>
    <w:rsid w:val="002002BD"/>
    <w:rsid w:val="002012B4"/>
    <w:rsid w:val="002029F1"/>
    <w:rsid w:val="00202E17"/>
    <w:rsid w:val="00203E32"/>
    <w:rsid w:val="00212C5B"/>
    <w:rsid w:val="002130EA"/>
    <w:rsid w:val="002137C4"/>
    <w:rsid w:val="002151EC"/>
    <w:rsid w:val="00221D39"/>
    <w:rsid w:val="002232FB"/>
    <w:rsid w:val="00224A82"/>
    <w:rsid w:val="00224E24"/>
    <w:rsid w:val="00236BA4"/>
    <w:rsid w:val="00237066"/>
    <w:rsid w:val="002401DF"/>
    <w:rsid w:val="002447D9"/>
    <w:rsid w:val="00246147"/>
    <w:rsid w:val="0024619D"/>
    <w:rsid w:val="002512B8"/>
    <w:rsid w:val="002514C1"/>
    <w:rsid w:val="00251793"/>
    <w:rsid w:val="00252034"/>
    <w:rsid w:val="00255E5A"/>
    <w:rsid w:val="00262D26"/>
    <w:rsid w:val="00263282"/>
    <w:rsid w:val="00263481"/>
    <w:rsid w:val="00263F43"/>
    <w:rsid w:val="00265183"/>
    <w:rsid w:val="00266137"/>
    <w:rsid w:val="002665F3"/>
    <w:rsid w:val="00270A97"/>
    <w:rsid w:val="00271869"/>
    <w:rsid w:val="00272931"/>
    <w:rsid w:val="0027413F"/>
    <w:rsid w:val="00274A8E"/>
    <w:rsid w:val="002777AC"/>
    <w:rsid w:val="00281B6B"/>
    <w:rsid w:val="00284B2C"/>
    <w:rsid w:val="00287ED2"/>
    <w:rsid w:val="0029106F"/>
    <w:rsid w:val="00292403"/>
    <w:rsid w:val="00295E84"/>
    <w:rsid w:val="00297B88"/>
    <w:rsid w:val="002A30EA"/>
    <w:rsid w:val="002A47BB"/>
    <w:rsid w:val="002A5957"/>
    <w:rsid w:val="002A7EFF"/>
    <w:rsid w:val="002B03AD"/>
    <w:rsid w:val="002B0554"/>
    <w:rsid w:val="002B14AB"/>
    <w:rsid w:val="002B4588"/>
    <w:rsid w:val="002C2E53"/>
    <w:rsid w:val="002C341C"/>
    <w:rsid w:val="002C3444"/>
    <w:rsid w:val="002C3F40"/>
    <w:rsid w:val="002C5643"/>
    <w:rsid w:val="002D1091"/>
    <w:rsid w:val="002D242C"/>
    <w:rsid w:val="002D28B4"/>
    <w:rsid w:val="002D48BF"/>
    <w:rsid w:val="002D6283"/>
    <w:rsid w:val="002D733E"/>
    <w:rsid w:val="002E0DB6"/>
    <w:rsid w:val="002E174C"/>
    <w:rsid w:val="002E24C0"/>
    <w:rsid w:val="002E363B"/>
    <w:rsid w:val="002E3C48"/>
    <w:rsid w:val="002E3C58"/>
    <w:rsid w:val="002E63F8"/>
    <w:rsid w:val="002E6AFC"/>
    <w:rsid w:val="002E6DE0"/>
    <w:rsid w:val="002E7707"/>
    <w:rsid w:val="002F114F"/>
    <w:rsid w:val="002F1897"/>
    <w:rsid w:val="002F2C3B"/>
    <w:rsid w:val="002F5561"/>
    <w:rsid w:val="003001F6"/>
    <w:rsid w:val="003011B4"/>
    <w:rsid w:val="003018A9"/>
    <w:rsid w:val="00303ACD"/>
    <w:rsid w:val="003046F3"/>
    <w:rsid w:val="0030561E"/>
    <w:rsid w:val="0030571C"/>
    <w:rsid w:val="003061BB"/>
    <w:rsid w:val="0030687D"/>
    <w:rsid w:val="00310389"/>
    <w:rsid w:val="0031400F"/>
    <w:rsid w:val="00315993"/>
    <w:rsid w:val="00316962"/>
    <w:rsid w:val="003176C0"/>
    <w:rsid w:val="0032009B"/>
    <w:rsid w:val="00320548"/>
    <w:rsid w:val="00321568"/>
    <w:rsid w:val="00321865"/>
    <w:rsid w:val="003246E0"/>
    <w:rsid w:val="00324DD8"/>
    <w:rsid w:val="00324EC3"/>
    <w:rsid w:val="00324F8A"/>
    <w:rsid w:val="00325108"/>
    <w:rsid w:val="003259D4"/>
    <w:rsid w:val="00330C6B"/>
    <w:rsid w:val="003320E2"/>
    <w:rsid w:val="0033565E"/>
    <w:rsid w:val="0033662D"/>
    <w:rsid w:val="0033768D"/>
    <w:rsid w:val="00340037"/>
    <w:rsid w:val="00340096"/>
    <w:rsid w:val="0034072B"/>
    <w:rsid w:val="00340EB6"/>
    <w:rsid w:val="00340F13"/>
    <w:rsid w:val="003420C2"/>
    <w:rsid w:val="0034217D"/>
    <w:rsid w:val="003438B4"/>
    <w:rsid w:val="00345273"/>
    <w:rsid w:val="003515FF"/>
    <w:rsid w:val="00357331"/>
    <w:rsid w:val="003603AB"/>
    <w:rsid w:val="003610D5"/>
    <w:rsid w:val="00361C9D"/>
    <w:rsid w:val="0036401C"/>
    <w:rsid w:val="00365CDB"/>
    <w:rsid w:val="00365EA5"/>
    <w:rsid w:val="00370400"/>
    <w:rsid w:val="00374B39"/>
    <w:rsid w:val="003759B2"/>
    <w:rsid w:val="00381BB1"/>
    <w:rsid w:val="003827BC"/>
    <w:rsid w:val="003842BD"/>
    <w:rsid w:val="00385385"/>
    <w:rsid w:val="00390692"/>
    <w:rsid w:val="00390B79"/>
    <w:rsid w:val="0039249A"/>
    <w:rsid w:val="00393E92"/>
    <w:rsid w:val="00393ECB"/>
    <w:rsid w:val="00394C47"/>
    <w:rsid w:val="0039556B"/>
    <w:rsid w:val="00396B1C"/>
    <w:rsid w:val="00396C16"/>
    <w:rsid w:val="0039714F"/>
    <w:rsid w:val="00397981"/>
    <w:rsid w:val="003A2B4E"/>
    <w:rsid w:val="003A3967"/>
    <w:rsid w:val="003A3A1E"/>
    <w:rsid w:val="003A3D57"/>
    <w:rsid w:val="003A57D7"/>
    <w:rsid w:val="003A5D12"/>
    <w:rsid w:val="003A7A65"/>
    <w:rsid w:val="003B1741"/>
    <w:rsid w:val="003B2392"/>
    <w:rsid w:val="003B4487"/>
    <w:rsid w:val="003B5398"/>
    <w:rsid w:val="003B757F"/>
    <w:rsid w:val="003C08CE"/>
    <w:rsid w:val="003C0B5C"/>
    <w:rsid w:val="003C3A4C"/>
    <w:rsid w:val="003C4658"/>
    <w:rsid w:val="003C54AA"/>
    <w:rsid w:val="003C55B3"/>
    <w:rsid w:val="003D2A26"/>
    <w:rsid w:val="003D353D"/>
    <w:rsid w:val="003D3EF7"/>
    <w:rsid w:val="003D41DA"/>
    <w:rsid w:val="003D42E1"/>
    <w:rsid w:val="003D498C"/>
    <w:rsid w:val="003D57D5"/>
    <w:rsid w:val="003D5E29"/>
    <w:rsid w:val="003D6C2B"/>
    <w:rsid w:val="003D7E95"/>
    <w:rsid w:val="003E3718"/>
    <w:rsid w:val="003E3E7A"/>
    <w:rsid w:val="003E40C7"/>
    <w:rsid w:val="003E5D00"/>
    <w:rsid w:val="003E7A28"/>
    <w:rsid w:val="003F2954"/>
    <w:rsid w:val="003F4131"/>
    <w:rsid w:val="003F6D2D"/>
    <w:rsid w:val="003F736A"/>
    <w:rsid w:val="003F7BDB"/>
    <w:rsid w:val="00401F87"/>
    <w:rsid w:val="004042DE"/>
    <w:rsid w:val="0040564F"/>
    <w:rsid w:val="00406371"/>
    <w:rsid w:val="00407378"/>
    <w:rsid w:val="0040761E"/>
    <w:rsid w:val="0041028A"/>
    <w:rsid w:val="00410397"/>
    <w:rsid w:val="00410A9B"/>
    <w:rsid w:val="00411427"/>
    <w:rsid w:val="00415C29"/>
    <w:rsid w:val="00421327"/>
    <w:rsid w:val="00423559"/>
    <w:rsid w:val="00423746"/>
    <w:rsid w:val="00424285"/>
    <w:rsid w:val="004251B6"/>
    <w:rsid w:val="004259DE"/>
    <w:rsid w:val="00426D73"/>
    <w:rsid w:val="0042712B"/>
    <w:rsid w:val="00430DBC"/>
    <w:rsid w:val="00435D09"/>
    <w:rsid w:val="004360F5"/>
    <w:rsid w:val="00436E3C"/>
    <w:rsid w:val="004405EE"/>
    <w:rsid w:val="00441501"/>
    <w:rsid w:val="00444143"/>
    <w:rsid w:val="00452D11"/>
    <w:rsid w:val="0046251E"/>
    <w:rsid w:val="00463EC3"/>
    <w:rsid w:val="00465F2C"/>
    <w:rsid w:val="00467412"/>
    <w:rsid w:val="0047120C"/>
    <w:rsid w:val="00471DDF"/>
    <w:rsid w:val="00473434"/>
    <w:rsid w:val="00473B66"/>
    <w:rsid w:val="00480BA3"/>
    <w:rsid w:val="00483B46"/>
    <w:rsid w:val="004873D8"/>
    <w:rsid w:val="0048755B"/>
    <w:rsid w:val="00487F5F"/>
    <w:rsid w:val="00490F07"/>
    <w:rsid w:val="00491188"/>
    <w:rsid w:val="00491225"/>
    <w:rsid w:val="00491B20"/>
    <w:rsid w:val="00492006"/>
    <w:rsid w:val="00492EF2"/>
    <w:rsid w:val="004959C8"/>
    <w:rsid w:val="00497913"/>
    <w:rsid w:val="004A1589"/>
    <w:rsid w:val="004A169B"/>
    <w:rsid w:val="004A20A8"/>
    <w:rsid w:val="004A7819"/>
    <w:rsid w:val="004B079A"/>
    <w:rsid w:val="004B1497"/>
    <w:rsid w:val="004B1619"/>
    <w:rsid w:val="004B20CB"/>
    <w:rsid w:val="004B7801"/>
    <w:rsid w:val="004B7F93"/>
    <w:rsid w:val="004C163A"/>
    <w:rsid w:val="004C1805"/>
    <w:rsid w:val="004C39DF"/>
    <w:rsid w:val="004C46F6"/>
    <w:rsid w:val="004C59EC"/>
    <w:rsid w:val="004C7B33"/>
    <w:rsid w:val="004D0A1A"/>
    <w:rsid w:val="004D1A36"/>
    <w:rsid w:val="004D1BD0"/>
    <w:rsid w:val="004D1D4C"/>
    <w:rsid w:val="004D2A1F"/>
    <w:rsid w:val="004D3671"/>
    <w:rsid w:val="004D6D90"/>
    <w:rsid w:val="004E17CC"/>
    <w:rsid w:val="004E2684"/>
    <w:rsid w:val="004E2B7C"/>
    <w:rsid w:val="004E4334"/>
    <w:rsid w:val="004E4D90"/>
    <w:rsid w:val="004E5731"/>
    <w:rsid w:val="004F2CAC"/>
    <w:rsid w:val="004F2CE9"/>
    <w:rsid w:val="004F2EFA"/>
    <w:rsid w:val="004F40E7"/>
    <w:rsid w:val="004F5009"/>
    <w:rsid w:val="004F7245"/>
    <w:rsid w:val="004F7AD4"/>
    <w:rsid w:val="00503417"/>
    <w:rsid w:val="005066FA"/>
    <w:rsid w:val="00506D43"/>
    <w:rsid w:val="0050775D"/>
    <w:rsid w:val="00516DCB"/>
    <w:rsid w:val="005171E4"/>
    <w:rsid w:val="0052142C"/>
    <w:rsid w:val="00522B32"/>
    <w:rsid w:val="0053096F"/>
    <w:rsid w:val="00530EFC"/>
    <w:rsid w:val="00531021"/>
    <w:rsid w:val="00531143"/>
    <w:rsid w:val="005321E3"/>
    <w:rsid w:val="005327CF"/>
    <w:rsid w:val="005350CF"/>
    <w:rsid w:val="00541279"/>
    <w:rsid w:val="00543BB7"/>
    <w:rsid w:val="00550123"/>
    <w:rsid w:val="00550DC4"/>
    <w:rsid w:val="00551248"/>
    <w:rsid w:val="0055322C"/>
    <w:rsid w:val="00553D30"/>
    <w:rsid w:val="005540FE"/>
    <w:rsid w:val="00554614"/>
    <w:rsid w:val="005553F0"/>
    <w:rsid w:val="0055548E"/>
    <w:rsid w:val="0055556F"/>
    <w:rsid w:val="00555EE5"/>
    <w:rsid w:val="0055745E"/>
    <w:rsid w:val="00560836"/>
    <w:rsid w:val="00561904"/>
    <w:rsid w:val="005619F2"/>
    <w:rsid w:val="005655A7"/>
    <w:rsid w:val="0056571E"/>
    <w:rsid w:val="0056727D"/>
    <w:rsid w:val="00567751"/>
    <w:rsid w:val="00567847"/>
    <w:rsid w:val="005717C6"/>
    <w:rsid w:val="00574D64"/>
    <w:rsid w:val="0057508F"/>
    <w:rsid w:val="0057553E"/>
    <w:rsid w:val="00576BCC"/>
    <w:rsid w:val="00581634"/>
    <w:rsid w:val="005820BE"/>
    <w:rsid w:val="00583030"/>
    <w:rsid w:val="00586394"/>
    <w:rsid w:val="00586DB2"/>
    <w:rsid w:val="00586FD6"/>
    <w:rsid w:val="00590888"/>
    <w:rsid w:val="00591A51"/>
    <w:rsid w:val="00593080"/>
    <w:rsid w:val="005936E5"/>
    <w:rsid w:val="00593F34"/>
    <w:rsid w:val="0059559D"/>
    <w:rsid w:val="00596F1D"/>
    <w:rsid w:val="00597AC9"/>
    <w:rsid w:val="005A0C95"/>
    <w:rsid w:val="005A11CA"/>
    <w:rsid w:val="005A1CBB"/>
    <w:rsid w:val="005A264A"/>
    <w:rsid w:val="005A2B50"/>
    <w:rsid w:val="005A325E"/>
    <w:rsid w:val="005A3B3F"/>
    <w:rsid w:val="005A50A4"/>
    <w:rsid w:val="005A6161"/>
    <w:rsid w:val="005A6591"/>
    <w:rsid w:val="005B094E"/>
    <w:rsid w:val="005B3E53"/>
    <w:rsid w:val="005B53FB"/>
    <w:rsid w:val="005B5D24"/>
    <w:rsid w:val="005B6E45"/>
    <w:rsid w:val="005B7FED"/>
    <w:rsid w:val="005C0315"/>
    <w:rsid w:val="005C10A7"/>
    <w:rsid w:val="005C28D3"/>
    <w:rsid w:val="005C484D"/>
    <w:rsid w:val="005C4FA3"/>
    <w:rsid w:val="005C5E32"/>
    <w:rsid w:val="005D08ED"/>
    <w:rsid w:val="005D2D4A"/>
    <w:rsid w:val="005D378F"/>
    <w:rsid w:val="005D3C10"/>
    <w:rsid w:val="005D4616"/>
    <w:rsid w:val="005D566F"/>
    <w:rsid w:val="005E6B48"/>
    <w:rsid w:val="005F3445"/>
    <w:rsid w:val="005F447D"/>
    <w:rsid w:val="006012EB"/>
    <w:rsid w:val="006020A9"/>
    <w:rsid w:val="006038F8"/>
    <w:rsid w:val="00603F1D"/>
    <w:rsid w:val="00605681"/>
    <w:rsid w:val="0060632C"/>
    <w:rsid w:val="00607A18"/>
    <w:rsid w:val="00607FAA"/>
    <w:rsid w:val="006113EA"/>
    <w:rsid w:val="00611F7E"/>
    <w:rsid w:val="00614A01"/>
    <w:rsid w:val="00615ABE"/>
    <w:rsid w:val="00616E8B"/>
    <w:rsid w:val="006241BF"/>
    <w:rsid w:val="00625719"/>
    <w:rsid w:val="006269FB"/>
    <w:rsid w:val="00626AC7"/>
    <w:rsid w:val="006270D7"/>
    <w:rsid w:val="006279C4"/>
    <w:rsid w:val="00627ABB"/>
    <w:rsid w:val="00630201"/>
    <w:rsid w:val="006309F1"/>
    <w:rsid w:val="00630CD8"/>
    <w:rsid w:val="006313D3"/>
    <w:rsid w:val="006318FE"/>
    <w:rsid w:val="00633973"/>
    <w:rsid w:val="00634075"/>
    <w:rsid w:val="00635F6E"/>
    <w:rsid w:val="00637A4C"/>
    <w:rsid w:val="00640D9D"/>
    <w:rsid w:val="0064108A"/>
    <w:rsid w:val="0064127F"/>
    <w:rsid w:val="00641D04"/>
    <w:rsid w:val="006437C2"/>
    <w:rsid w:val="00651C5E"/>
    <w:rsid w:val="0065300B"/>
    <w:rsid w:val="00656BFD"/>
    <w:rsid w:val="00661161"/>
    <w:rsid w:val="00662187"/>
    <w:rsid w:val="00662B85"/>
    <w:rsid w:val="00666FE1"/>
    <w:rsid w:val="00672A13"/>
    <w:rsid w:val="0067304F"/>
    <w:rsid w:val="00676897"/>
    <w:rsid w:val="0067723C"/>
    <w:rsid w:val="00680A1C"/>
    <w:rsid w:val="00681D73"/>
    <w:rsid w:val="00682E42"/>
    <w:rsid w:val="00683505"/>
    <w:rsid w:val="00683D30"/>
    <w:rsid w:val="0068532D"/>
    <w:rsid w:val="00693D8F"/>
    <w:rsid w:val="0069474F"/>
    <w:rsid w:val="00695021"/>
    <w:rsid w:val="006A185A"/>
    <w:rsid w:val="006A5106"/>
    <w:rsid w:val="006A5827"/>
    <w:rsid w:val="006A60C5"/>
    <w:rsid w:val="006B03A5"/>
    <w:rsid w:val="006B0BAE"/>
    <w:rsid w:val="006B269B"/>
    <w:rsid w:val="006B286F"/>
    <w:rsid w:val="006B3889"/>
    <w:rsid w:val="006B39DD"/>
    <w:rsid w:val="006B57AD"/>
    <w:rsid w:val="006B6AC9"/>
    <w:rsid w:val="006B7306"/>
    <w:rsid w:val="006B7397"/>
    <w:rsid w:val="006C0581"/>
    <w:rsid w:val="006C1509"/>
    <w:rsid w:val="006C1DF1"/>
    <w:rsid w:val="006C4956"/>
    <w:rsid w:val="006D1300"/>
    <w:rsid w:val="006D3466"/>
    <w:rsid w:val="006D4E83"/>
    <w:rsid w:val="006D5570"/>
    <w:rsid w:val="006D6376"/>
    <w:rsid w:val="006D666E"/>
    <w:rsid w:val="006E020E"/>
    <w:rsid w:val="006E0E77"/>
    <w:rsid w:val="006E3238"/>
    <w:rsid w:val="006E3D92"/>
    <w:rsid w:val="006E5187"/>
    <w:rsid w:val="006E7C1D"/>
    <w:rsid w:val="006F0790"/>
    <w:rsid w:val="006F1F42"/>
    <w:rsid w:val="006F3251"/>
    <w:rsid w:val="006F337C"/>
    <w:rsid w:val="006F3485"/>
    <w:rsid w:val="006F62ED"/>
    <w:rsid w:val="006F656C"/>
    <w:rsid w:val="00702E43"/>
    <w:rsid w:val="00703764"/>
    <w:rsid w:val="007048CD"/>
    <w:rsid w:val="00706F6E"/>
    <w:rsid w:val="007109A2"/>
    <w:rsid w:val="00710ADF"/>
    <w:rsid w:val="0071103F"/>
    <w:rsid w:val="00711D71"/>
    <w:rsid w:val="007159CB"/>
    <w:rsid w:val="0072166E"/>
    <w:rsid w:val="007218F4"/>
    <w:rsid w:val="00722639"/>
    <w:rsid w:val="007235AB"/>
    <w:rsid w:val="00726FD6"/>
    <w:rsid w:val="00727058"/>
    <w:rsid w:val="007306B4"/>
    <w:rsid w:val="00731494"/>
    <w:rsid w:val="007341D7"/>
    <w:rsid w:val="00734E2A"/>
    <w:rsid w:val="007448B3"/>
    <w:rsid w:val="0074579D"/>
    <w:rsid w:val="007471BA"/>
    <w:rsid w:val="00757D0F"/>
    <w:rsid w:val="00760287"/>
    <w:rsid w:val="007609C7"/>
    <w:rsid w:val="0076222B"/>
    <w:rsid w:val="0076371E"/>
    <w:rsid w:val="00766B01"/>
    <w:rsid w:val="00767A51"/>
    <w:rsid w:val="00767C3D"/>
    <w:rsid w:val="0077220F"/>
    <w:rsid w:val="00772454"/>
    <w:rsid w:val="00772B5C"/>
    <w:rsid w:val="0077681D"/>
    <w:rsid w:val="007769FF"/>
    <w:rsid w:val="00780E98"/>
    <w:rsid w:val="00783944"/>
    <w:rsid w:val="00786C7C"/>
    <w:rsid w:val="0079065B"/>
    <w:rsid w:val="00790AF5"/>
    <w:rsid w:val="007916A3"/>
    <w:rsid w:val="00791A3C"/>
    <w:rsid w:val="00793021"/>
    <w:rsid w:val="007964E4"/>
    <w:rsid w:val="007A2501"/>
    <w:rsid w:val="007A4E74"/>
    <w:rsid w:val="007A5521"/>
    <w:rsid w:val="007B0379"/>
    <w:rsid w:val="007B0CC9"/>
    <w:rsid w:val="007B11D2"/>
    <w:rsid w:val="007B1AD0"/>
    <w:rsid w:val="007B2C67"/>
    <w:rsid w:val="007B3784"/>
    <w:rsid w:val="007B5530"/>
    <w:rsid w:val="007B5C9A"/>
    <w:rsid w:val="007B6A56"/>
    <w:rsid w:val="007C0D4E"/>
    <w:rsid w:val="007C0E09"/>
    <w:rsid w:val="007C11C1"/>
    <w:rsid w:val="007C2094"/>
    <w:rsid w:val="007C3E64"/>
    <w:rsid w:val="007C4505"/>
    <w:rsid w:val="007C51FB"/>
    <w:rsid w:val="007C5534"/>
    <w:rsid w:val="007D0499"/>
    <w:rsid w:val="007D04D8"/>
    <w:rsid w:val="007D0926"/>
    <w:rsid w:val="007D26EB"/>
    <w:rsid w:val="007D465A"/>
    <w:rsid w:val="007D47A7"/>
    <w:rsid w:val="007D677D"/>
    <w:rsid w:val="007E032E"/>
    <w:rsid w:val="007E1E61"/>
    <w:rsid w:val="007E4A21"/>
    <w:rsid w:val="007E54B8"/>
    <w:rsid w:val="007E70C0"/>
    <w:rsid w:val="007F355B"/>
    <w:rsid w:val="007F532E"/>
    <w:rsid w:val="007F7E3F"/>
    <w:rsid w:val="00801E79"/>
    <w:rsid w:val="00805E87"/>
    <w:rsid w:val="0081022E"/>
    <w:rsid w:val="0081070B"/>
    <w:rsid w:val="00810932"/>
    <w:rsid w:val="00812A58"/>
    <w:rsid w:val="0081412E"/>
    <w:rsid w:val="0081475E"/>
    <w:rsid w:val="008153E4"/>
    <w:rsid w:val="00816BCA"/>
    <w:rsid w:val="008177F3"/>
    <w:rsid w:val="00820A6D"/>
    <w:rsid w:val="00820FAD"/>
    <w:rsid w:val="0082169B"/>
    <w:rsid w:val="008245F5"/>
    <w:rsid w:val="00827F69"/>
    <w:rsid w:val="0083119E"/>
    <w:rsid w:val="0083279C"/>
    <w:rsid w:val="0083431D"/>
    <w:rsid w:val="00835A30"/>
    <w:rsid w:val="00841A50"/>
    <w:rsid w:val="00843864"/>
    <w:rsid w:val="00844F68"/>
    <w:rsid w:val="00845784"/>
    <w:rsid w:val="0084676B"/>
    <w:rsid w:val="00846D15"/>
    <w:rsid w:val="00846EF5"/>
    <w:rsid w:val="00847FC0"/>
    <w:rsid w:val="00850035"/>
    <w:rsid w:val="00852A2C"/>
    <w:rsid w:val="00853C26"/>
    <w:rsid w:val="00853EFB"/>
    <w:rsid w:val="00857026"/>
    <w:rsid w:val="00860664"/>
    <w:rsid w:val="00867610"/>
    <w:rsid w:val="00867BF8"/>
    <w:rsid w:val="00870EDE"/>
    <w:rsid w:val="00871A28"/>
    <w:rsid w:val="00871E33"/>
    <w:rsid w:val="00876DA5"/>
    <w:rsid w:val="008770A9"/>
    <w:rsid w:val="00883A60"/>
    <w:rsid w:val="008851D8"/>
    <w:rsid w:val="00886DCF"/>
    <w:rsid w:val="00887A50"/>
    <w:rsid w:val="008913C3"/>
    <w:rsid w:val="00892186"/>
    <w:rsid w:val="008923A2"/>
    <w:rsid w:val="00893EE6"/>
    <w:rsid w:val="00894380"/>
    <w:rsid w:val="0089752C"/>
    <w:rsid w:val="008A364F"/>
    <w:rsid w:val="008A3782"/>
    <w:rsid w:val="008A4469"/>
    <w:rsid w:val="008A57E2"/>
    <w:rsid w:val="008B120B"/>
    <w:rsid w:val="008B2CD7"/>
    <w:rsid w:val="008B2DAD"/>
    <w:rsid w:val="008B4796"/>
    <w:rsid w:val="008B4BFC"/>
    <w:rsid w:val="008B7DD3"/>
    <w:rsid w:val="008C0526"/>
    <w:rsid w:val="008C06BC"/>
    <w:rsid w:val="008C1854"/>
    <w:rsid w:val="008C24FE"/>
    <w:rsid w:val="008C36B9"/>
    <w:rsid w:val="008C5DBA"/>
    <w:rsid w:val="008D1F08"/>
    <w:rsid w:val="008D2A8A"/>
    <w:rsid w:val="008D5774"/>
    <w:rsid w:val="008D695E"/>
    <w:rsid w:val="008D69E3"/>
    <w:rsid w:val="008E553F"/>
    <w:rsid w:val="008E5C14"/>
    <w:rsid w:val="008E5D58"/>
    <w:rsid w:val="008E74F9"/>
    <w:rsid w:val="008F006B"/>
    <w:rsid w:val="008F2C1E"/>
    <w:rsid w:val="008F349C"/>
    <w:rsid w:val="008F58F3"/>
    <w:rsid w:val="008F637C"/>
    <w:rsid w:val="008F6E46"/>
    <w:rsid w:val="009011BF"/>
    <w:rsid w:val="00901DD8"/>
    <w:rsid w:val="00907CEA"/>
    <w:rsid w:val="00910476"/>
    <w:rsid w:val="0091372E"/>
    <w:rsid w:val="00913889"/>
    <w:rsid w:val="009144AD"/>
    <w:rsid w:val="0091523B"/>
    <w:rsid w:val="0091634D"/>
    <w:rsid w:val="0091740E"/>
    <w:rsid w:val="00917E5A"/>
    <w:rsid w:val="00920C86"/>
    <w:rsid w:val="00921892"/>
    <w:rsid w:val="00922200"/>
    <w:rsid w:val="00922C01"/>
    <w:rsid w:val="00923054"/>
    <w:rsid w:val="009246F9"/>
    <w:rsid w:val="00931C3B"/>
    <w:rsid w:val="00934EBA"/>
    <w:rsid w:val="009350B5"/>
    <w:rsid w:val="009357F2"/>
    <w:rsid w:val="009357FA"/>
    <w:rsid w:val="00935BB1"/>
    <w:rsid w:val="00937A55"/>
    <w:rsid w:val="00940E53"/>
    <w:rsid w:val="00946636"/>
    <w:rsid w:val="00946725"/>
    <w:rsid w:val="00947C4F"/>
    <w:rsid w:val="009502D3"/>
    <w:rsid w:val="0095161A"/>
    <w:rsid w:val="009519B3"/>
    <w:rsid w:val="00951AE5"/>
    <w:rsid w:val="00954CB0"/>
    <w:rsid w:val="00955044"/>
    <w:rsid w:val="00955FF8"/>
    <w:rsid w:val="00957110"/>
    <w:rsid w:val="00960E1E"/>
    <w:rsid w:val="00960F3A"/>
    <w:rsid w:val="009617D8"/>
    <w:rsid w:val="009669F4"/>
    <w:rsid w:val="00970C80"/>
    <w:rsid w:val="00970D1B"/>
    <w:rsid w:val="00972A76"/>
    <w:rsid w:val="00974F85"/>
    <w:rsid w:val="00975F09"/>
    <w:rsid w:val="009765CD"/>
    <w:rsid w:val="00980BBA"/>
    <w:rsid w:val="00981F36"/>
    <w:rsid w:val="009839DD"/>
    <w:rsid w:val="00983D2F"/>
    <w:rsid w:val="009853D2"/>
    <w:rsid w:val="00985452"/>
    <w:rsid w:val="0098674D"/>
    <w:rsid w:val="00987291"/>
    <w:rsid w:val="00987604"/>
    <w:rsid w:val="009902B1"/>
    <w:rsid w:val="00991CF3"/>
    <w:rsid w:val="009945B4"/>
    <w:rsid w:val="00995174"/>
    <w:rsid w:val="00995EA8"/>
    <w:rsid w:val="0099632A"/>
    <w:rsid w:val="0099688B"/>
    <w:rsid w:val="00997532"/>
    <w:rsid w:val="009A00C6"/>
    <w:rsid w:val="009A0735"/>
    <w:rsid w:val="009A2573"/>
    <w:rsid w:val="009A2F90"/>
    <w:rsid w:val="009A379B"/>
    <w:rsid w:val="009B201E"/>
    <w:rsid w:val="009B20AE"/>
    <w:rsid w:val="009B7488"/>
    <w:rsid w:val="009B7A11"/>
    <w:rsid w:val="009C23F0"/>
    <w:rsid w:val="009C2E1C"/>
    <w:rsid w:val="009C2FEF"/>
    <w:rsid w:val="009C3B9B"/>
    <w:rsid w:val="009C6125"/>
    <w:rsid w:val="009D0B94"/>
    <w:rsid w:val="009D0E1B"/>
    <w:rsid w:val="009D0F7F"/>
    <w:rsid w:val="009D0FF9"/>
    <w:rsid w:val="009D26F5"/>
    <w:rsid w:val="009D6882"/>
    <w:rsid w:val="009E0989"/>
    <w:rsid w:val="009E4031"/>
    <w:rsid w:val="009E51BE"/>
    <w:rsid w:val="009E70FE"/>
    <w:rsid w:val="009E775E"/>
    <w:rsid w:val="009F0507"/>
    <w:rsid w:val="009F0B0F"/>
    <w:rsid w:val="009F47DF"/>
    <w:rsid w:val="009F7E4D"/>
    <w:rsid w:val="00A02153"/>
    <w:rsid w:val="00A041F1"/>
    <w:rsid w:val="00A12B33"/>
    <w:rsid w:val="00A130F7"/>
    <w:rsid w:val="00A14C20"/>
    <w:rsid w:val="00A15A56"/>
    <w:rsid w:val="00A15AB6"/>
    <w:rsid w:val="00A162AD"/>
    <w:rsid w:val="00A17B64"/>
    <w:rsid w:val="00A21613"/>
    <w:rsid w:val="00A21A2B"/>
    <w:rsid w:val="00A222CF"/>
    <w:rsid w:val="00A23092"/>
    <w:rsid w:val="00A24A42"/>
    <w:rsid w:val="00A25406"/>
    <w:rsid w:val="00A2564B"/>
    <w:rsid w:val="00A26663"/>
    <w:rsid w:val="00A26AFA"/>
    <w:rsid w:val="00A26B35"/>
    <w:rsid w:val="00A26B3C"/>
    <w:rsid w:val="00A27AC6"/>
    <w:rsid w:val="00A310F8"/>
    <w:rsid w:val="00A325A2"/>
    <w:rsid w:val="00A33008"/>
    <w:rsid w:val="00A337AD"/>
    <w:rsid w:val="00A36701"/>
    <w:rsid w:val="00A40956"/>
    <w:rsid w:val="00A4363D"/>
    <w:rsid w:val="00A43A7F"/>
    <w:rsid w:val="00A44474"/>
    <w:rsid w:val="00A444EC"/>
    <w:rsid w:val="00A4607B"/>
    <w:rsid w:val="00A47DF5"/>
    <w:rsid w:val="00A50183"/>
    <w:rsid w:val="00A53D75"/>
    <w:rsid w:val="00A54E89"/>
    <w:rsid w:val="00A5799E"/>
    <w:rsid w:val="00A61735"/>
    <w:rsid w:val="00A61784"/>
    <w:rsid w:val="00A667B8"/>
    <w:rsid w:val="00A66936"/>
    <w:rsid w:val="00A66BA5"/>
    <w:rsid w:val="00A67334"/>
    <w:rsid w:val="00A67B05"/>
    <w:rsid w:val="00A71908"/>
    <w:rsid w:val="00A71CBC"/>
    <w:rsid w:val="00A7399D"/>
    <w:rsid w:val="00A73C0D"/>
    <w:rsid w:val="00A749A7"/>
    <w:rsid w:val="00A80C6C"/>
    <w:rsid w:val="00A825ED"/>
    <w:rsid w:val="00A8263B"/>
    <w:rsid w:val="00A82CB1"/>
    <w:rsid w:val="00A8503E"/>
    <w:rsid w:val="00A86969"/>
    <w:rsid w:val="00A86978"/>
    <w:rsid w:val="00A86B4D"/>
    <w:rsid w:val="00A9157E"/>
    <w:rsid w:val="00A91A80"/>
    <w:rsid w:val="00A9203C"/>
    <w:rsid w:val="00A93A1B"/>
    <w:rsid w:val="00A946E7"/>
    <w:rsid w:val="00A950AA"/>
    <w:rsid w:val="00AA259C"/>
    <w:rsid w:val="00AA50D2"/>
    <w:rsid w:val="00AA52CE"/>
    <w:rsid w:val="00AA6D0F"/>
    <w:rsid w:val="00AA7563"/>
    <w:rsid w:val="00AA7A34"/>
    <w:rsid w:val="00AB0EF7"/>
    <w:rsid w:val="00AB2C87"/>
    <w:rsid w:val="00AB343C"/>
    <w:rsid w:val="00AB6EB4"/>
    <w:rsid w:val="00AB766F"/>
    <w:rsid w:val="00AC083E"/>
    <w:rsid w:val="00AC15DB"/>
    <w:rsid w:val="00AC18FB"/>
    <w:rsid w:val="00AC1A92"/>
    <w:rsid w:val="00AC42E3"/>
    <w:rsid w:val="00AC44B3"/>
    <w:rsid w:val="00AC4DB8"/>
    <w:rsid w:val="00AC650C"/>
    <w:rsid w:val="00AC6CE9"/>
    <w:rsid w:val="00AD041A"/>
    <w:rsid w:val="00AD1CB2"/>
    <w:rsid w:val="00AD2312"/>
    <w:rsid w:val="00AD2E4A"/>
    <w:rsid w:val="00AD3AFE"/>
    <w:rsid w:val="00AD778C"/>
    <w:rsid w:val="00AD7EF1"/>
    <w:rsid w:val="00AE0439"/>
    <w:rsid w:val="00AE24A9"/>
    <w:rsid w:val="00AE2887"/>
    <w:rsid w:val="00AE532B"/>
    <w:rsid w:val="00AE5C1F"/>
    <w:rsid w:val="00AE6186"/>
    <w:rsid w:val="00AF2E40"/>
    <w:rsid w:val="00AF6CDA"/>
    <w:rsid w:val="00AF6EB9"/>
    <w:rsid w:val="00B01E48"/>
    <w:rsid w:val="00B02A09"/>
    <w:rsid w:val="00B02AC8"/>
    <w:rsid w:val="00B02E06"/>
    <w:rsid w:val="00B06FE2"/>
    <w:rsid w:val="00B10792"/>
    <w:rsid w:val="00B109B4"/>
    <w:rsid w:val="00B12CDC"/>
    <w:rsid w:val="00B12E4B"/>
    <w:rsid w:val="00B13EFF"/>
    <w:rsid w:val="00B14C68"/>
    <w:rsid w:val="00B15F7C"/>
    <w:rsid w:val="00B16C8A"/>
    <w:rsid w:val="00B20468"/>
    <w:rsid w:val="00B208E2"/>
    <w:rsid w:val="00B234DB"/>
    <w:rsid w:val="00B23A44"/>
    <w:rsid w:val="00B24614"/>
    <w:rsid w:val="00B2686C"/>
    <w:rsid w:val="00B27E73"/>
    <w:rsid w:val="00B33E85"/>
    <w:rsid w:val="00B34374"/>
    <w:rsid w:val="00B345B9"/>
    <w:rsid w:val="00B35B59"/>
    <w:rsid w:val="00B40255"/>
    <w:rsid w:val="00B42028"/>
    <w:rsid w:val="00B42712"/>
    <w:rsid w:val="00B45586"/>
    <w:rsid w:val="00B45851"/>
    <w:rsid w:val="00B46C3C"/>
    <w:rsid w:val="00B46F91"/>
    <w:rsid w:val="00B47791"/>
    <w:rsid w:val="00B4784D"/>
    <w:rsid w:val="00B562A0"/>
    <w:rsid w:val="00B56ECC"/>
    <w:rsid w:val="00B63963"/>
    <w:rsid w:val="00B6427A"/>
    <w:rsid w:val="00B64D03"/>
    <w:rsid w:val="00B65152"/>
    <w:rsid w:val="00B65E7B"/>
    <w:rsid w:val="00B67820"/>
    <w:rsid w:val="00B729C9"/>
    <w:rsid w:val="00B73F32"/>
    <w:rsid w:val="00B740A5"/>
    <w:rsid w:val="00B75613"/>
    <w:rsid w:val="00B80FB1"/>
    <w:rsid w:val="00B8140D"/>
    <w:rsid w:val="00B82EC0"/>
    <w:rsid w:val="00B87955"/>
    <w:rsid w:val="00B90C66"/>
    <w:rsid w:val="00B90CFD"/>
    <w:rsid w:val="00B924AB"/>
    <w:rsid w:val="00B92E34"/>
    <w:rsid w:val="00B93B62"/>
    <w:rsid w:val="00B949FF"/>
    <w:rsid w:val="00B97261"/>
    <w:rsid w:val="00BA136F"/>
    <w:rsid w:val="00BA49F8"/>
    <w:rsid w:val="00BA54D5"/>
    <w:rsid w:val="00BA740E"/>
    <w:rsid w:val="00BB04CD"/>
    <w:rsid w:val="00BB0CE3"/>
    <w:rsid w:val="00BB2710"/>
    <w:rsid w:val="00BC01B1"/>
    <w:rsid w:val="00BC03E2"/>
    <w:rsid w:val="00BC07C4"/>
    <w:rsid w:val="00BC11B5"/>
    <w:rsid w:val="00BC1364"/>
    <w:rsid w:val="00BC2406"/>
    <w:rsid w:val="00BC4C01"/>
    <w:rsid w:val="00BC50A5"/>
    <w:rsid w:val="00BC56F1"/>
    <w:rsid w:val="00BC6AF7"/>
    <w:rsid w:val="00BC6CC5"/>
    <w:rsid w:val="00BD0183"/>
    <w:rsid w:val="00BD03AA"/>
    <w:rsid w:val="00BD09D1"/>
    <w:rsid w:val="00BD3B82"/>
    <w:rsid w:val="00BD6FED"/>
    <w:rsid w:val="00BE0E8B"/>
    <w:rsid w:val="00BE14DF"/>
    <w:rsid w:val="00BE3516"/>
    <w:rsid w:val="00BE425D"/>
    <w:rsid w:val="00BE5AFF"/>
    <w:rsid w:val="00BE6897"/>
    <w:rsid w:val="00BF3BF2"/>
    <w:rsid w:val="00BF4BD2"/>
    <w:rsid w:val="00C024FB"/>
    <w:rsid w:val="00C04018"/>
    <w:rsid w:val="00C04433"/>
    <w:rsid w:val="00C0628B"/>
    <w:rsid w:val="00C076D9"/>
    <w:rsid w:val="00C07EC7"/>
    <w:rsid w:val="00C12D5F"/>
    <w:rsid w:val="00C13A15"/>
    <w:rsid w:val="00C145DE"/>
    <w:rsid w:val="00C16D8B"/>
    <w:rsid w:val="00C1763F"/>
    <w:rsid w:val="00C17CD5"/>
    <w:rsid w:val="00C20305"/>
    <w:rsid w:val="00C23BDD"/>
    <w:rsid w:val="00C23E55"/>
    <w:rsid w:val="00C25898"/>
    <w:rsid w:val="00C277DE"/>
    <w:rsid w:val="00C27C1E"/>
    <w:rsid w:val="00C31B71"/>
    <w:rsid w:val="00C328F4"/>
    <w:rsid w:val="00C34114"/>
    <w:rsid w:val="00C3617B"/>
    <w:rsid w:val="00C36D67"/>
    <w:rsid w:val="00C3731D"/>
    <w:rsid w:val="00C37EA1"/>
    <w:rsid w:val="00C424CE"/>
    <w:rsid w:val="00C42EF6"/>
    <w:rsid w:val="00C44631"/>
    <w:rsid w:val="00C45474"/>
    <w:rsid w:val="00C46668"/>
    <w:rsid w:val="00C526D5"/>
    <w:rsid w:val="00C533C5"/>
    <w:rsid w:val="00C53E97"/>
    <w:rsid w:val="00C5615B"/>
    <w:rsid w:val="00C57480"/>
    <w:rsid w:val="00C577A9"/>
    <w:rsid w:val="00C62483"/>
    <w:rsid w:val="00C700F1"/>
    <w:rsid w:val="00C712EF"/>
    <w:rsid w:val="00C7388E"/>
    <w:rsid w:val="00C73B10"/>
    <w:rsid w:val="00C76DB6"/>
    <w:rsid w:val="00C772C8"/>
    <w:rsid w:val="00C829CC"/>
    <w:rsid w:val="00C82D0F"/>
    <w:rsid w:val="00C85F73"/>
    <w:rsid w:val="00C860B6"/>
    <w:rsid w:val="00C872E2"/>
    <w:rsid w:val="00C90A33"/>
    <w:rsid w:val="00C915EF"/>
    <w:rsid w:val="00C95C5D"/>
    <w:rsid w:val="00C96985"/>
    <w:rsid w:val="00C973A2"/>
    <w:rsid w:val="00CA22C3"/>
    <w:rsid w:val="00CA2B36"/>
    <w:rsid w:val="00CA3E94"/>
    <w:rsid w:val="00CA42D2"/>
    <w:rsid w:val="00CA4745"/>
    <w:rsid w:val="00CA558D"/>
    <w:rsid w:val="00CA6A04"/>
    <w:rsid w:val="00CA7AA3"/>
    <w:rsid w:val="00CB01A8"/>
    <w:rsid w:val="00CB09BD"/>
    <w:rsid w:val="00CB0BAA"/>
    <w:rsid w:val="00CB10AA"/>
    <w:rsid w:val="00CB2598"/>
    <w:rsid w:val="00CB5B46"/>
    <w:rsid w:val="00CB6635"/>
    <w:rsid w:val="00CC15BD"/>
    <w:rsid w:val="00CC16C2"/>
    <w:rsid w:val="00CC2357"/>
    <w:rsid w:val="00CC52BD"/>
    <w:rsid w:val="00CC664F"/>
    <w:rsid w:val="00CC6717"/>
    <w:rsid w:val="00CC6C83"/>
    <w:rsid w:val="00CD0A1F"/>
    <w:rsid w:val="00CD0FDF"/>
    <w:rsid w:val="00CD4CF3"/>
    <w:rsid w:val="00CD68A2"/>
    <w:rsid w:val="00CD7618"/>
    <w:rsid w:val="00CE2DDF"/>
    <w:rsid w:val="00CE3E13"/>
    <w:rsid w:val="00CE42E8"/>
    <w:rsid w:val="00CE4415"/>
    <w:rsid w:val="00CF0C4F"/>
    <w:rsid w:val="00CF322C"/>
    <w:rsid w:val="00CF41D4"/>
    <w:rsid w:val="00CF7AD1"/>
    <w:rsid w:val="00CF7C9A"/>
    <w:rsid w:val="00D00ADB"/>
    <w:rsid w:val="00D00D65"/>
    <w:rsid w:val="00D00FCF"/>
    <w:rsid w:val="00D0196B"/>
    <w:rsid w:val="00D0199E"/>
    <w:rsid w:val="00D01A31"/>
    <w:rsid w:val="00D02957"/>
    <w:rsid w:val="00D069FA"/>
    <w:rsid w:val="00D07502"/>
    <w:rsid w:val="00D12A34"/>
    <w:rsid w:val="00D15FD7"/>
    <w:rsid w:val="00D16569"/>
    <w:rsid w:val="00D17906"/>
    <w:rsid w:val="00D17F2D"/>
    <w:rsid w:val="00D21B60"/>
    <w:rsid w:val="00D21C1F"/>
    <w:rsid w:val="00D2524E"/>
    <w:rsid w:val="00D25EEA"/>
    <w:rsid w:val="00D267AA"/>
    <w:rsid w:val="00D31294"/>
    <w:rsid w:val="00D32B95"/>
    <w:rsid w:val="00D33B1C"/>
    <w:rsid w:val="00D34743"/>
    <w:rsid w:val="00D3498B"/>
    <w:rsid w:val="00D36177"/>
    <w:rsid w:val="00D3714F"/>
    <w:rsid w:val="00D37A2E"/>
    <w:rsid w:val="00D409DA"/>
    <w:rsid w:val="00D40A7D"/>
    <w:rsid w:val="00D4360A"/>
    <w:rsid w:val="00D50B97"/>
    <w:rsid w:val="00D54D22"/>
    <w:rsid w:val="00D55EE8"/>
    <w:rsid w:val="00D5618C"/>
    <w:rsid w:val="00D56908"/>
    <w:rsid w:val="00D60089"/>
    <w:rsid w:val="00D627D2"/>
    <w:rsid w:val="00D645EC"/>
    <w:rsid w:val="00D64CC5"/>
    <w:rsid w:val="00D6570D"/>
    <w:rsid w:val="00D716F9"/>
    <w:rsid w:val="00D73620"/>
    <w:rsid w:val="00D74474"/>
    <w:rsid w:val="00D74C5A"/>
    <w:rsid w:val="00D75749"/>
    <w:rsid w:val="00D76556"/>
    <w:rsid w:val="00D80000"/>
    <w:rsid w:val="00D80DD1"/>
    <w:rsid w:val="00D82016"/>
    <w:rsid w:val="00D83646"/>
    <w:rsid w:val="00D83E34"/>
    <w:rsid w:val="00D84A6D"/>
    <w:rsid w:val="00D84DE9"/>
    <w:rsid w:val="00D85B1B"/>
    <w:rsid w:val="00D865C0"/>
    <w:rsid w:val="00D87F9F"/>
    <w:rsid w:val="00D913EE"/>
    <w:rsid w:val="00D92390"/>
    <w:rsid w:val="00D92989"/>
    <w:rsid w:val="00D95206"/>
    <w:rsid w:val="00D975BA"/>
    <w:rsid w:val="00D97BD3"/>
    <w:rsid w:val="00D97E45"/>
    <w:rsid w:val="00DA1839"/>
    <w:rsid w:val="00DA51C0"/>
    <w:rsid w:val="00DA5EB7"/>
    <w:rsid w:val="00DA7445"/>
    <w:rsid w:val="00DB0823"/>
    <w:rsid w:val="00DB3C3B"/>
    <w:rsid w:val="00DB51DB"/>
    <w:rsid w:val="00DB561D"/>
    <w:rsid w:val="00DC39A3"/>
    <w:rsid w:val="00DC5B25"/>
    <w:rsid w:val="00DC7A30"/>
    <w:rsid w:val="00DD0382"/>
    <w:rsid w:val="00DD1D95"/>
    <w:rsid w:val="00DD5C15"/>
    <w:rsid w:val="00DD6E5F"/>
    <w:rsid w:val="00DD7338"/>
    <w:rsid w:val="00DE0B15"/>
    <w:rsid w:val="00DE0E0F"/>
    <w:rsid w:val="00DE1F0D"/>
    <w:rsid w:val="00DE29C8"/>
    <w:rsid w:val="00DE2B1D"/>
    <w:rsid w:val="00DE338F"/>
    <w:rsid w:val="00DE3590"/>
    <w:rsid w:val="00DE64C2"/>
    <w:rsid w:val="00DF0E73"/>
    <w:rsid w:val="00DF1696"/>
    <w:rsid w:val="00DF1ED5"/>
    <w:rsid w:val="00DF3B0D"/>
    <w:rsid w:val="00DF4E7A"/>
    <w:rsid w:val="00DF5775"/>
    <w:rsid w:val="00DF5D02"/>
    <w:rsid w:val="00E006C8"/>
    <w:rsid w:val="00E03C06"/>
    <w:rsid w:val="00E03E15"/>
    <w:rsid w:val="00E04B37"/>
    <w:rsid w:val="00E13017"/>
    <w:rsid w:val="00E15C52"/>
    <w:rsid w:val="00E17AEB"/>
    <w:rsid w:val="00E20347"/>
    <w:rsid w:val="00E2176D"/>
    <w:rsid w:val="00E228B3"/>
    <w:rsid w:val="00E23098"/>
    <w:rsid w:val="00E24676"/>
    <w:rsid w:val="00E24F61"/>
    <w:rsid w:val="00E305DD"/>
    <w:rsid w:val="00E315A1"/>
    <w:rsid w:val="00E35D2B"/>
    <w:rsid w:val="00E360A7"/>
    <w:rsid w:val="00E43B58"/>
    <w:rsid w:val="00E46694"/>
    <w:rsid w:val="00E54762"/>
    <w:rsid w:val="00E54B6C"/>
    <w:rsid w:val="00E5763A"/>
    <w:rsid w:val="00E6085E"/>
    <w:rsid w:val="00E61411"/>
    <w:rsid w:val="00E62351"/>
    <w:rsid w:val="00E64337"/>
    <w:rsid w:val="00E7023D"/>
    <w:rsid w:val="00E7107B"/>
    <w:rsid w:val="00E74717"/>
    <w:rsid w:val="00E75332"/>
    <w:rsid w:val="00E80905"/>
    <w:rsid w:val="00E838C6"/>
    <w:rsid w:val="00E875CD"/>
    <w:rsid w:val="00E95C0C"/>
    <w:rsid w:val="00EA1278"/>
    <w:rsid w:val="00EA1B51"/>
    <w:rsid w:val="00EA4CB2"/>
    <w:rsid w:val="00EA5878"/>
    <w:rsid w:val="00EA5E99"/>
    <w:rsid w:val="00EB233E"/>
    <w:rsid w:val="00EB2B00"/>
    <w:rsid w:val="00EB3C35"/>
    <w:rsid w:val="00EC0086"/>
    <w:rsid w:val="00EC0CCB"/>
    <w:rsid w:val="00EC64E3"/>
    <w:rsid w:val="00EC7A76"/>
    <w:rsid w:val="00ED2B9A"/>
    <w:rsid w:val="00ED5A52"/>
    <w:rsid w:val="00ED7B55"/>
    <w:rsid w:val="00EE0E29"/>
    <w:rsid w:val="00EE0F92"/>
    <w:rsid w:val="00EE2FCC"/>
    <w:rsid w:val="00EE387A"/>
    <w:rsid w:val="00EE514B"/>
    <w:rsid w:val="00EE607C"/>
    <w:rsid w:val="00EE716D"/>
    <w:rsid w:val="00EE7B28"/>
    <w:rsid w:val="00EE7DC7"/>
    <w:rsid w:val="00EF3038"/>
    <w:rsid w:val="00EF40DC"/>
    <w:rsid w:val="00EF6251"/>
    <w:rsid w:val="00EF6BB5"/>
    <w:rsid w:val="00F00FA3"/>
    <w:rsid w:val="00F01AB4"/>
    <w:rsid w:val="00F034A6"/>
    <w:rsid w:val="00F03AC6"/>
    <w:rsid w:val="00F042A2"/>
    <w:rsid w:val="00F06A07"/>
    <w:rsid w:val="00F11A7F"/>
    <w:rsid w:val="00F135C2"/>
    <w:rsid w:val="00F14DC6"/>
    <w:rsid w:val="00F15EB6"/>
    <w:rsid w:val="00F17069"/>
    <w:rsid w:val="00F22A72"/>
    <w:rsid w:val="00F237DE"/>
    <w:rsid w:val="00F23E36"/>
    <w:rsid w:val="00F23FE5"/>
    <w:rsid w:val="00F24B8A"/>
    <w:rsid w:val="00F26440"/>
    <w:rsid w:val="00F310AF"/>
    <w:rsid w:val="00F31924"/>
    <w:rsid w:val="00F31B35"/>
    <w:rsid w:val="00F424BA"/>
    <w:rsid w:val="00F4293E"/>
    <w:rsid w:val="00F42E2E"/>
    <w:rsid w:val="00F46163"/>
    <w:rsid w:val="00F51F9A"/>
    <w:rsid w:val="00F52C56"/>
    <w:rsid w:val="00F54A5D"/>
    <w:rsid w:val="00F55AAF"/>
    <w:rsid w:val="00F5620A"/>
    <w:rsid w:val="00F56708"/>
    <w:rsid w:val="00F57F49"/>
    <w:rsid w:val="00F6034C"/>
    <w:rsid w:val="00F607FE"/>
    <w:rsid w:val="00F61427"/>
    <w:rsid w:val="00F62394"/>
    <w:rsid w:val="00F640B2"/>
    <w:rsid w:val="00F645F3"/>
    <w:rsid w:val="00F64712"/>
    <w:rsid w:val="00F6639C"/>
    <w:rsid w:val="00F669AD"/>
    <w:rsid w:val="00F67F79"/>
    <w:rsid w:val="00F7391C"/>
    <w:rsid w:val="00F742FA"/>
    <w:rsid w:val="00F77C2C"/>
    <w:rsid w:val="00F81109"/>
    <w:rsid w:val="00F820C3"/>
    <w:rsid w:val="00F82E8D"/>
    <w:rsid w:val="00F84599"/>
    <w:rsid w:val="00F853E7"/>
    <w:rsid w:val="00F85C1B"/>
    <w:rsid w:val="00F905ED"/>
    <w:rsid w:val="00F91A3A"/>
    <w:rsid w:val="00F935AB"/>
    <w:rsid w:val="00F94ABB"/>
    <w:rsid w:val="00F94DDC"/>
    <w:rsid w:val="00F968C5"/>
    <w:rsid w:val="00FA2A30"/>
    <w:rsid w:val="00FA436F"/>
    <w:rsid w:val="00FA7809"/>
    <w:rsid w:val="00FA7D58"/>
    <w:rsid w:val="00FB015F"/>
    <w:rsid w:val="00FB2BB7"/>
    <w:rsid w:val="00FB420C"/>
    <w:rsid w:val="00FB4CBC"/>
    <w:rsid w:val="00FB5361"/>
    <w:rsid w:val="00FB7BFD"/>
    <w:rsid w:val="00FB7CDB"/>
    <w:rsid w:val="00FC46C4"/>
    <w:rsid w:val="00FC5F62"/>
    <w:rsid w:val="00FC6444"/>
    <w:rsid w:val="00FD00F2"/>
    <w:rsid w:val="00FD149D"/>
    <w:rsid w:val="00FD2157"/>
    <w:rsid w:val="00FD6604"/>
    <w:rsid w:val="00FD6AC8"/>
    <w:rsid w:val="00FD6DCC"/>
    <w:rsid w:val="00FE239C"/>
    <w:rsid w:val="00FE2F1A"/>
    <w:rsid w:val="00FE5534"/>
    <w:rsid w:val="00FF09D3"/>
    <w:rsid w:val="00FF0A65"/>
    <w:rsid w:val="00FF1A2D"/>
    <w:rsid w:val="00FF2C2F"/>
    <w:rsid w:val="00FF5DDF"/>
    <w:rsid w:val="00FF6F8E"/>
    <w:rsid w:val="00FF74CA"/>
    <w:rsid w:val="00FF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BDCC"/>
  <w15:docId w15:val="{4F79BD3A-E8BB-456F-AC4D-C5E4F957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07C"/>
    <w:pPr>
      <w:spacing w:after="200" w:line="276" w:lineRule="auto"/>
    </w:pPr>
  </w:style>
  <w:style w:type="paragraph" w:styleId="berschrift1">
    <w:name w:val="heading 1"/>
    <w:basedOn w:val="Standard"/>
    <w:next w:val="Standard"/>
    <w:link w:val="berschrift1Zchn"/>
    <w:uiPriority w:val="9"/>
    <w:qFormat/>
    <w:rsid w:val="007E7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9D26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678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D92390"/>
    <w:rPr>
      <w:i/>
      <w:iCs/>
      <w:color w:val="404040" w:themeColor="text1" w:themeTint="BF"/>
    </w:rPr>
  </w:style>
  <w:style w:type="paragraph" w:customStyle="1" w:styleId="EndNoteBibliographyTitle">
    <w:name w:val="EndNote Bibliography Title"/>
    <w:basedOn w:val="Standard"/>
    <w:link w:val="EndNoteBibliographyTitleZchn"/>
    <w:rsid w:val="0003573F"/>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03573F"/>
    <w:rPr>
      <w:rFonts w:ascii="Calibri" w:hAnsi="Calibri"/>
      <w:noProof/>
      <w:lang w:val="en-US"/>
    </w:rPr>
  </w:style>
  <w:style w:type="paragraph" w:customStyle="1" w:styleId="EndNoteBibliography">
    <w:name w:val="EndNote Bibliography"/>
    <w:basedOn w:val="Standard"/>
    <w:link w:val="EndNoteBibliographyZchn"/>
    <w:rsid w:val="0003573F"/>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03573F"/>
    <w:rPr>
      <w:rFonts w:ascii="Calibri" w:hAnsi="Calibri"/>
      <w:noProof/>
      <w:lang w:val="en-US"/>
    </w:rPr>
  </w:style>
  <w:style w:type="character" w:customStyle="1" w:styleId="apple-converted-space">
    <w:name w:val="apple-converted-space"/>
    <w:basedOn w:val="Absatz-Standardschriftart"/>
    <w:rsid w:val="006F656C"/>
  </w:style>
  <w:style w:type="character" w:styleId="Hyperlink">
    <w:name w:val="Hyperlink"/>
    <w:basedOn w:val="Absatz-Standardschriftart"/>
    <w:uiPriority w:val="99"/>
    <w:unhideWhenUsed/>
    <w:rsid w:val="00130357"/>
    <w:rPr>
      <w:color w:val="0000FF"/>
      <w:u w:val="single"/>
    </w:rPr>
  </w:style>
  <w:style w:type="character" w:customStyle="1" w:styleId="berschrift2Zchn">
    <w:name w:val="Überschrift 2 Zchn"/>
    <w:basedOn w:val="Absatz-Standardschriftart"/>
    <w:link w:val="berschrift2"/>
    <w:uiPriority w:val="9"/>
    <w:rsid w:val="009D26F5"/>
    <w:rPr>
      <w:rFonts w:ascii="Times New Roman" w:eastAsia="Times New Roman" w:hAnsi="Times New Roman" w:cs="Times New Roman"/>
      <w:b/>
      <w:bCs/>
      <w:sz w:val="36"/>
      <w:szCs w:val="36"/>
      <w:lang w:eastAsia="de-DE"/>
    </w:rPr>
  </w:style>
  <w:style w:type="character" w:customStyle="1" w:styleId="taglemma">
    <w:name w:val="tag_lemma"/>
    <w:basedOn w:val="Absatz-Standardschriftart"/>
    <w:rsid w:val="009D26F5"/>
  </w:style>
  <w:style w:type="paragraph" w:styleId="Listenabsatz">
    <w:name w:val="List Paragraph"/>
    <w:basedOn w:val="Standard"/>
    <w:uiPriority w:val="34"/>
    <w:qFormat/>
    <w:rsid w:val="00A86978"/>
    <w:pPr>
      <w:ind w:left="720"/>
      <w:contextualSpacing/>
    </w:pPr>
  </w:style>
  <w:style w:type="character" w:styleId="Hervorhebung">
    <w:name w:val="Emphasis"/>
    <w:basedOn w:val="Absatz-Standardschriftart"/>
    <w:uiPriority w:val="20"/>
    <w:qFormat/>
    <w:rsid w:val="002512B8"/>
    <w:rPr>
      <w:i/>
      <w:iCs/>
    </w:rPr>
  </w:style>
  <w:style w:type="character" w:styleId="Platzhaltertext">
    <w:name w:val="Placeholder Text"/>
    <w:basedOn w:val="Absatz-Standardschriftart"/>
    <w:uiPriority w:val="99"/>
    <w:semiHidden/>
    <w:rsid w:val="00DB0823"/>
    <w:rPr>
      <w:color w:val="808080"/>
    </w:rPr>
  </w:style>
  <w:style w:type="character" w:customStyle="1" w:styleId="berschrift1Zchn">
    <w:name w:val="Überschrift 1 Zchn"/>
    <w:basedOn w:val="Absatz-Standardschriftart"/>
    <w:link w:val="berschrift1"/>
    <w:uiPriority w:val="9"/>
    <w:rsid w:val="007E70C0"/>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CB01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1A8"/>
    <w:rPr>
      <w:rFonts w:ascii="Segoe UI" w:hAnsi="Segoe UI" w:cs="Segoe UI"/>
      <w:sz w:val="18"/>
      <w:szCs w:val="18"/>
    </w:rPr>
  </w:style>
  <w:style w:type="character" w:styleId="Zeilennummer">
    <w:name w:val="line number"/>
    <w:basedOn w:val="Absatz-Standardschriftart"/>
    <w:uiPriority w:val="99"/>
    <w:semiHidden/>
    <w:unhideWhenUsed/>
    <w:rsid w:val="00073F62"/>
  </w:style>
  <w:style w:type="character" w:customStyle="1" w:styleId="berschrift3Zchn">
    <w:name w:val="Überschrift 3 Zchn"/>
    <w:basedOn w:val="Absatz-Standardschriftart"/>
    <w:link w:val="berschrift3"/>
    <w:uiPriority w:val="9"/>
    <w:semiHidden/>
    <w:rsid w:val="00567847"/>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4405EE"/>
    <w:rPr>
      <w:sz w:val="16"/>
      <w:szCs w:val="16"/>
    </w:rPr>
  </w:style>
  <w:style w:type="paragraph" w:styleId="Kommentartext">
    <w:name w:val="annotation text"/>
    <w:basedOn w:val="Standard"/>
    <w:link w:val="KommentartextZchn"/>
    <w:uiPriority w:val="99"/>
    <w:semiHidden/>
    <w:unhideWhenUsed/>
    <w:rsid w:val="004405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05EE"/>
    <w:rPr>
      <w:sz w:val="20"/>
      <w:szCs w:val="20"/>
    </w:rPr>
  </w:style>
  <w:style w:type="paragraph" w:styleId="Kommentarthema">
    <w:name w:val="annotation subject"/>
    <w:basedOn w:val="Kommentartext"/>
    <w:next w:val="Kommentartext"/>
    <w:link w:val="KommentarthemaZchn"/>
    <w:uiPriority w:val="99"/>
    <w:semiHidden/>
    <w:unhideWhenUsed/>
    <w:rsid w:val="004405EE"/>
    <w:rPr>
      <w:b/>
      <w:bCs/>
    </w:rPr>
  </w:style>
  <w:style w:type="character" w:customStyle="1" w:styleId="KommentarthemaZchn">
    <w:name w:val="Kommentarthema Zchn"/>
    <w:basedOn w:val="KommentartextZchn"/>
    <w:link w:val="Kommentarthema"/>
    <w:uiPriority w:val="99"/>
    <w:semiHidden/>
    <w:rsid w:val="004405EE"/>
    <w:rPr>
      <w:b/>
      <w:bCs/>
      <w:sz w:val="20"/>
      <w:szCs w:val="20"/>
    </w:rPr>
  </w:style>
  <w:style w:type="paragraph" w:styleId="berarbeitung">
    <w:name w:val="Revision"/>
    <w:hidden/>
    <w:uiPriority w:val="99"/>
    <w:semiHidden/>
    <w:rsid w:val="007C0D4E"/>
    <w:pPr>
      <w:spacing w:after="0" w:line="240" w:lineRule="auto"/>
    </w:pPr>
  </w:style>
  <w:style w:type="paragraph" w:styleId="Kopfzeile">
    <w:name w:val="header"/>
    <w:basedOn w:val="Standard"/>
    <w:link w:val="KopfzeileZchn"/>
    <w:uiPriority w:val="99"/>
    <w:unhideWhenUsed/>
    <w:rsid w:val="002447D9"/>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2447D9"/>
  </w:style>
  <w:style w:type="paragraph" w:styleId="Fuzeile">
    <w:name w:val="footer"/>
    <w:basedOn w:val="Standard"/>
    <w:link w:val="FuzeileZchn"/>
    <w:uiPriority w:val="99"/>
    <w:unhideWhenUsed/>
    <w:rsid w:val="002447D9"/>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2447D9"/>
  </w:style>
  <w:style w:type="table" w:styleId="Tabellenraster">
    <w:name w:val="Table Grid"/>
    <w:basedOn w:val="NormaleTabelle"/>
    <w:uiPriority w:val="39"/>
    <w:rsid w:val="0029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C13A15"/>
    <w:pPr>
      <w:spacing w:after="0" w:line="240" w:lineRule="auto"/>
    </w:pPr>
    <w:rPr>
      <w:rFonts w:ascii="Helvetica" w:hAnsi="Helvetica" w:cs="Times New Roman"/>
      <w:color w:val="000000"/>
      <w:sz w:val="18"/>
      <w:szCs w:val="18"/>
      <w:lang w:eastAsia="de-DE"/>
    </w:rPr>
  </w:style>
  <w:style w:type="paragraph" w:styleId="Titel">
    <w:name w:val="Title"/>
    <w:basedOn w:val="Standard"/>
    <w:next w:val="Standard"/>
    <w:link w:val="TitelZchn"/>
    <w:uiPriority w:val="10"/>
    <w:qFormat/>
    <w:rsid w:val="007E54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E54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89482">
      <w:bodyDiv w:val="1"/>
      <w:marLeft w:val="0"/>
      <w:marRight w:val="0"/>
      <w:marTop w:val="0"/>
      <w:marBottom w:val="0"/>
      <w:divBdr>
        <w:top w:val="none" w:sz="0" w:space="0" w:color="auto"/>
        <w:left w:val="none" w:sz="0" w:space="0" w:color="auto"/>
        <w:bottom w:val="none" w:sz="0" w:space="0" w:color="auto"/>
        <w:right w:val="none" w:sz="0" w:space="0" w:color="auto"/>
      </w:divBdr>
    </w:div>
    <w:div w:id="1252736214">
      <w:bodyDiv w:val="1"/>
      <w:marLeft w:val="0"/>
      <w:marRight w:val="0"/>
      <w:marTop w:val="0"/>
      <w:marBottom w:val="0"/>
      <w:divBdr>
        <w:top w:val="none" w:sz="0" w:space="0" w:color="auto"/>
        <w:left w:val="none" w:sz="0" w:space="0" w:color="auto"/>
        <w:bottom w:val="none" w:sz="0" w:space="0" w:color="auto"/>
        <w:right w:val="none" w:sz="0" w:space="0" w:color="auto"/>
      </w:divBdr>
    </w:div>
    <w:div w:id="1401950366">
      <w:bodyDiv w:val="1"/>
      <w:marLeft w:val="0"/>
      <w:marRight w:val="0"/>
      <w:marTop w:val="0"/>
      <w:marBottom w:val="0"/>
      <w:divBdr>
        <w:top w:val="none" w:sz="0" w:space="0" w:color="auto"/>
        <w:left w:val="none" w:sz="0" w:space="0" w:color="auto"/>
        <w:bottom w:val="none" w:sz="0" w:space="0" w:color="auto"/>
        <w:right w:val="none" w:sz="0" w:space="0" w:color="auto"/>
      </w:divBdr>
    </w:div>
    <w:div w:id="1963263714">
      <w:bodyDiv w:val="1"/>
      <w:marLeft w:val="0"/>
      <w:marRight w:val="0"/>
      <w:marTop w:val="0"/>
      <w:marBottom w:val="0"/>
      <w:divBdr>
        <w:top w:val="none" w:sz="0" w:space="0" w:color="auto"/>
        <w:left w:val="none" w:sz="0" w:space="0" w:color="auto"/>
        <w:bottom w:val="none" w:sz="0" w:space="0" w:color="auto"/>
        <w:right w:val="none" w:sz="0" w:space="0" w:color="auto"/>
      </w:divBdr>
    </w:div>
    <w:div w:id="21020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0874ABC483429A9987A50CF83F558D"/>
        <w:category>
          <w:name w:val="Allgemein"/>
          <w:gallery w:val="placeholder"/>
        </w:category>
        <w:types>
          <w:type w:val="bbPlcHdr"/>
        </w:types>
        <w:behaviors>
          <w:behavior w:val="content"/>
        </w:behaviors>
        <w:guid w:val="{B39F644F-1333-4728-BA03-41D8B92493BB}"/>
      </w:docPartPr>
      <w:docPartBody>
        <w:p w:rsidR="00F47843" w:rsidRDefault="00704560" w:rsidP="00704560">
          <w:pPr>
            <w:pStyle w:val="A50874ABC483429A9987A50CF83F558D"/>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0"/>
    <w:rsid w:val="000F02FD"/>
    <w:rsid w:val="00293744"/>
    <w:rsid w:val="003B3CC5"/>
    <w:rsid w:val="00546F42"/>
    <w:rsid w:val="005E6780"/>
    <w:rsid w:val="00704560"/>
    <w:rsid w:val="007D4DBA"/>
    <w:rsid w:val="007D6357"/>
    <w:rsid w:val="00851EE6"/>
    <w:rsid w:val="00953CCB"/>
    <w:rsid w:val="00B3309D"/>
    <w:rsid w:val="00BD2B7B"/>
    <w:rsid w:val="00D47B80"/>
    <w:rsid w:val="00F47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50874ABC483429A9987A50CF83F558D">
    <w:name w:val="A50874ABC483429A9987A50CF83F558D"/>
    <w:rsid w:val="00704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50B0-A060-4B43-AF78-526A0315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795</Words>
  <Characters>5010</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AIT Austrian Institute of Technology GmbH</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7</cp:revision>
  <cp:lastPrinted>2018-02-18T20:47:00Z</cp:lastPrinted>
  <dcterms:created xsi:type="dcterms:W3CDTF">2019-03-08T14:56:00Z</dcterms:created>
  <dcterms:modified xsi:type="dcterms:W3CDTF">2019-03-08T16:20:00Z</dcterms:modified>
</cp:coreProperties>
</file>