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927D5" w14:textId="0F5A062A" w:rsidR="00ED4A0C" w:rsidRPr="00137F42" w:rsidRDefault="00B74365" w:rsidP="00C80437">
      <w:pPr>
        <w:jc w:val="center"/>
        <w:rPr>
          <w:b/>
          <w:sz w:val="32"/>
          <w:szCs w:val="24"/>
          <w:u w:val="single"/>
          <w:lang w:val="en-US"/>
        </w:rPr>
      </w:pPr>
      <w:r w:rsidRPr="00137F42">
        <w:rPr>
          <w:b/>
          <w:sz w:val="32"/>
          <w:szCs w:val="24"/>
          <w:u w:val="single"/>
          <w:lang w:val="en-US"/>
        </w:rPr>
        <w:t>E-Supplement:</w:t>
      </w:r>
    </w:p>
    <w:p w14:paraId="6FC5B913" w14:textId="77777777" w:rsidR="00B74365" w:rsidRDefault="00B74365" w:rsidP="00096C0E">
      <w:pPr>
        <w:rPr>
          <w:b/>
          <w:u w:val="single"/>
          <w:lang w:val="en-US"/>
        </w:rPr>
      </w:pPr>
    </w:p>
    <w:p w14:paraId="29D6FB22" w14:textId="00291F81" w:rsidR="00563383" w:rsidRPr="00E57B2D" w:rsidRDefault="0065095D" w:rsidP="00096C0E">
      <w:pPr>
        <w:spacing w:after="0"/>
        <w:jc w:val="both"/>
        <w:rPr>
          <w:rFonts w:cs="Calibri"/>
          <w:b/>
          <w:bCs/>
          <w:caps/>
          <w:sz w:val="24"/>
          <w:szCs w:val="24"/>
          <w:u w:val="single"/>
          <w:lang w:val="en-US" w:eastAsia="de-DE"/>
        </w:rPr>
      </w:pPr>
      <w:r w:rsidRPr="00E57B2D">
        <w:rPr>
          <w:rFonts w:cs="Calibri"/>
          <w:b/>
          <w:bCs/>
          <w:caps/>
          <w:sz w:val="24"/>
          <w:szCs w:val="24"/>
          <w:u w:val="single"/>
          <w:lang w:val="en-US" w:eastAsia="de-DE"/>
        </w:rPr>
        <w:t>Laboratory findings:</w:t>
      </w:r>
    </w:p>
    <w:p w14:paraId="5D02D130" w14:textId="77777777" w:rsidR="00305D15" w:rsidRDefault="00305D15" w:rsidP="002777FF">
      <w:pPr>
        <w:spacing w:after="0"/>
        <w:jc w:val="both"/>
        <w:rPr>
          <w:rFonts w:asciiTheme="majorHAnsi" w:hAnsiTheme="majorHAnsi"/>
          <w:u w:val="single"/>
          <w:lang w:val="en-US"/>
        </w:rPr>
      </w:pPr>
    </w:p>
    <w:p w14:paraId="7930832C" w14:textId="77777777" w:rsidR="00305D15" w:rsidRDefault="00305D15" w:rsidP="00305D15">
      <w:pPr>
        <w:spacing w:after="0"/>
        <w:jc w:val="both"/>
        <w:rPr>
          <w:rFonts w:asciiTheme="majorHAnsi" w:hAnsiTheme="majorHAnsi"/>
          <w:u w:val="single"/>
          <w:lang w:val="en-US"/>
        </w:rPr>
      </w:pPr>
      <w:r w:rsidRPr="00E57B2D">
        <w:rPr>
          <w:rFonts w:asciiTheme="majorHAnsi" w:hAnsiTheme="majorHAnsi"/>
          <w:u w:val="single"/>
          <w:lang w:val="en-US"/>
        </w:rPr>
        <w:t>Immunophenotyping</w:t>
      </w:r>
    </w:p>
    <w:p w14:paraId="552529DE" w14:textId="203D6CC0" w:rsidR="00305D15" w:rsidRPr="00DF0158" w:rsidRDefault="00305D15" w:rsidP="00305D15">
      <w:pPr>
        <w:spacing w:after="0"/>
        <w:jc w:val="both"/>
        <w:rPr>
          <w:rFonts w:asciiTheme="majorHAnsi" w:hAnsiTheme="majorHAnsi"/>
          <w:lang w:val="en-US"/>
        </w:rPr>
      </w:pPr>
      <w:r w:rsidRPr="00DF0158">
        <w:rPr>
          <w:rFonts w:asciiTheme="majorHAnsi" w:hAnsiTheme="majorHAnsi"/>
          <w:lang w:val="en-US"/>
        </w:rPr>
        <w:t xml:space="preserve">The immune status of the patient </w:t>
      </w:r>
      <w:r>
        <w:rPr>
          <w:rFonts w:asciiTheme="majorHAnsi" w:hAnsiTheme="majorHAnsi"/>
          <w:lang w:val="en-US"/>
        </w:rPr>
        <w:t>showed a</w:t>
      </w:r>
      <w:r w:rsidRPr="00DF0158">
        <w:rPr>
          <w:rFonts w:asciiTheme="majorHAnsi" w:hAnsiTheme="majorHAnsi"/>
          <w:lang w:val="en-US"/>
        </w:rPr>
        <w:t xml:space="preserve"> mild lymphocytopenia (CD4</w:t>
      </w:r>
      <w:r w:rsidRPr="00DF0158">
        <w:rPr>
          <w:rFonts w:asciiTheme="majorHAnsi" w:hAnsiTheme="majorHAnsi"/>
          <w:vertAlign w:val="superscript"/>
          <w:lang w:val="en-US"/>
        </w:rPr>
        <w:t>+</w:t>
      </w:r>
      <w:r w:rsidRPr="00DF0158">
        <w:rPr>
          <w:rFonts w:asciiTheme="majorHAnsi" w:hAnsiTheme="majorHAnsi"/>
          <w:lang w:val="en-US"/>
        </w:rPr>
        <w:t xml:space="preserve"> T-cells: 414/µl; CD8</w:t>
      </w:r>
      <w:r w:rsidRPr="00DF0158">
        <w:rPr>
          <w:rFonts w:asciiTheme="majorHAnsi" w:hAnsiTheme="majorHAnsi"/>
          <w:vertAlign w:val="superscript"/>
          <w:lang w:val="en-US"/>
        </w:rPr>
        <w:t>+</w:t>
      </w:r>
      <w:r w:rsidRPr="00DF0158">
        <w:rPr>
          <w:rFonts w:asciiTheme="majorHAnsi" w:hAnsiTheme="majorHAnsi"/>
          <w:lang w:val="en-US"/>
        </w:rPr>
        <w:t xml:space="preserve"> T-cells: 335/µl; CD19</w:t>
      </w:r>
      <w:r w:rsidRPr="00DF0158">
        <w:rPr>
          <w:rFonts w:asciiTheme="majorHAnsi" w:hAnsiTheme="majorHAnsi"/>
          <w:vertAlign w:val="superscript"/>
          <w:lang w:val="en-US"/>
        </w:rPr>
        <w:t>+</w:t>
      </w:r>
      <w:r w:rsidRPr="00DF0158">
        <w:rPr>
          <w:rFonts w:asciiTheme="majorHAnsi" w:hAnsiTheme="majorHAnsi"/>
          <w:lang w:val="en-US"/>
        </w:rPr>
        <w:t xml:space="preserve"> B-cells: 141/µl; CD3</w:t>
      </w:r>
      <w:r w:rsidRPr="00DF0158">
        <w:rPr>
          <w:rFonts w:asciiTheme="majorHAnsi" w:hAnsiTheme="majorHAnsi"/>
          <w:vertAlign w:val="superscript"/>
          <w:lang w:val="en-US"/>
        </w:rPr>
        <w:t>-</w:t>
      </w:r>
      <w:r w:rsidRPr="00DF0158">
        <w:rPr>
          <w:rFonts w:asciiTheme="majorHAnsi" w:hAnsiTheme="majorHAnsi"/>
          <w:lang w:val="en-US"/>
        </w:rPr>
        <w:t>CD56</w:t>
      </w:r>
      <w:r w:rsidRPr="00DF0158">
        <w:rPr>
          <w:rFonts w:asciiTheme="majorHAnsi" w:hAnsiTheme="majorHAnsi"/>
          <w:vertAlign w:val="superscript"/>
          <w:lang w:val="en-US"/>
        </w:rPr>
        <w:t>+</w:t>
      </w:r>
      <w:r w:rsidRPr="00DF0158">
        <w:rPr>
          <w:rFonts w:asciiTheme="majorHAnsi" w:hAnsiTheme="majorHAnsi"/>
          <w:lang w:val="en-US"/>
        </w:rPr>
        <w:t>NK-cells: 91/µl). No gross shift in the proportion of na</w:t>
      </w:r>
      <w:r>
        <w:rPr>
          <w:rFonts w:asciiTheme="majorHAnsi" w:hAnsiTheme="majorHAnsi"/>
          <w:lang w:val="en-US"/>
        </w:rPr>
        <w:t>i</w:t>
      </w:r>
      <w:r w:rsidRPr="00DF0158">
        <w:rPr>
          <w:rFonts w:asciiTheme="majorHAnsi" w:hAnsiTheme="majorHAnsi"/>
          <w:lang w:val="en-US"/>
        </w:rPr>
        <w:t xml:space="preserve">ve, memory, effector or activated T-cells was evident. Remarkably, 80% of the circulating B-cells were </w:t>
      </w:r>
      <w:proofErr w:type="spellStart"/>
      <w:r w:rsidRPr="00DF0158">
        <w:rPr>
          <w:rFonts w:asciiTheme="majorHAnsi" w:hAnsiTheme="majorHAnsi"/>
          <w:lang w:val="en-US"/>
        </w:rPr>
        <w:t>plasmablasts</w:t>
      </w:r>
      <w:proofErr w:type="spellEnd"/>
      <w:r w:rsidRPr="00DF0158">
        <w:rPr>
          <w:rFonts w:asciiTheme="majorHAnsi" w:hAnsiTheme="majorHAnsi"/>
          <w:lang w:val="en-US"/>
        </w:rPr>
        <w:t xml:space="preserve"> (CD19</w:t>
      </w:r>
      <w:r w:rsidRPr="00DF0158">
        <w:rPr>
          <w:rFonts w:asciiTheme="majorHAnsi" w:hAnsiTheme="majorHAnsi"/>
          <w:vertAlign w:val="superscript"/>
          <w:lang w:val="en-US"/>
        </w:rPr>
        <w:t>+</w:t>
      </w:r>
      <w:r w:rsidRPr="00DF0158">
        <w:rPr>
          <w:rFonts w:asciiTheme="majorHAnsi" w:hAnsiTheme="majorHAnsi"/>
          <w:lang w:val="en-US"/>
        </w:rPr>
        <w:t>, CD20</w:t>
      </w:r>
      <w:r w:rsidRPr="00DF0158">
        <w:rPr>
          <w:rFonts w:asciiTheme="majorHAnsi" w:hAnsiTheme="majorHAnsi"/>
          <w:vertAlign w:val="superscript"/>
          <w:lang w:val="en-US"/>
        </w:rPr>
        <w:t>+/-</w:t>
      </w:r>
      <w:r w:rsidRPr="00DF0158">
        <w:rPr>
          <w:rFonts w:asciiTheme="majorHAnsi" w:hAnsiTheme="majorHAnsi"/>
          <w:lang w:val="en-US"/>
        </w:rPr>
        <w:t>,</w:t>
      </w:r>
      <w:r>
        <w:rPr>
          <w:rFonts w:asciiTheme="majorHAnsi" w:hAnsiTheme="majorHAnsi"/>
          <w:lang w:val="en-US"/>
        </w:rPr>
        <w:t xml:space="preserve"> </w:t>
      </w:r>
      <w:proofErr w:type="spellStart"/>
      <w:r w:rsidRPr="00DF0158">
        <w:rPr>
          <w:rFonts w:asciiTheme="majorHAnsi" w:hAnsiTheme="majorHAnsi"/>
          <w:lang w:val="en-US"/>
        </w:rPr>
        <w:t>IgD</w:t>
      </w:r>
      <w:proofErr w:type="spellEnd"/>
      <w:r w:rsidRPr="00DF0158">
        <w:rPr>
          <w:rFonts w:asciiTheme="majorHAnsi" w:hAnsiTheme="majorHAnsi"/>
          <w:vertAlign w:val="superscript"/>
          <w:lang w:val="en-US"/>
        </w:rPr>
        <w:t>-</w:t>
      </w:r>
      <w:r w:rsidRPr="00DF0158">
        <w:rPr>
          <w:rFonts w:asciiTheme="majorHAnsi" w:hAnsiTheme="majorHAnsi"/>
          <w:lang w:val="en-US"/>
        </w:rPr>
        <w:t>, CD24</w:t>
      </w:r>
      <w:r w:rsidRPr="00DF0158">
        <w:rPr>
          <w:rFonts w:asciiTheme="majorHAnsi" w:hAnsiTheme="majorHAnsi"/>
          <w:vertAlign w:val="superscript"/>
          <w:lang w:val="en-US"/>
        </w:rPr>
        <w:t>+++</w:t>
      </w:r>
      <w:r w:rsidRPr="00DF0158">
        <w:rPr>
          <w:rFonts w:asciiTheme="majorHAnsi" w:hAnsiTheme="majorHAnsi"/>
          <w:lang w:val="en-US"/>
        </w:rPr>
        <w:t>, CD38</w:t>
      </w:r>
      <w:r w:rsidRPr="00DF0158">
        <w:rPr>
          <w:rFonts w:asciiTheme="majorHAnsi" w:hAnsiTheme="majorHAnsi"/>
          <w:vertAlign w:val="superscript"/>
          <w:lang w:val="en-US"/>
        </w:rPr>
        <w:t>+++</w:t>
      </w:r>
      <w:r w:rsidRPr="00DF0158">
        <w:rPr>
          <w:rFonts w:asciiTheme="majorHAnsi" w:hAnsiTheme="majorHAnsi"/>
          <w:lang w:val="en-US"/>
        </w:rPr>
        <w:t>). Na</w:t>
      </w:r>
      <w:r>
        <w:rPr>
          <w:rFonts w:asciiTheme="majorHAnsi" w:hAnsiTheme="majorHAnsi"/>
          <w:lang w:val="en-US"/>
        </w:rPr>
        <w:t>i</w:t>
      </w:r>
      <w:r w:rsidRPr="00DF0158">
        <w:rPr>
          <w:rFonts w:asciiTheme="majorHAnsi" w:hAnsiTheme="majorHAnsi"/>
          <w:lang w:val="en-US"/>
        </w:rPr>
        <w:t>ve (4/µl) and transitional (not detectable) B-cells were almost absent.</w:t>
      </w:r>
      <w:r>
        <w:rPr>
          <w:rFonts w:asciiTheme="majorHAnsi" w:hAnsiTheme="majorHAnsi"/>
          <w:lang w:val="en-US"/>
        </w:rPr>
        <w:t xml:space="preserve"> The low or missing expression of CD20 on </w:t>
      </w:r>
      <w:proofErr w:type="spellStart"/>
      <w:r>
        <w:rPr>
          <w:rFonts w:asciiTheme="majorHAnsi" w:hAnsiTheme="majorHAnsi"/>
          <w:lang w:val="en-US"/>
        </w:rPr>
        <w:t>plasmablasts</w:t>
      </w:r>
      <w:proofErr w:type="spellEnd"/>
      <w:r>
        <w:rPr>
          <w:rFonts w:asciiTheme="majorHAnsi" w:hAnsiTheme="majorHAnsi"/>
          <w:lang w:val="en-US"/>
        </w:rPr>
        <w:t xml:space="preserve"> mocks a B-cell deficiency, if this marker is used to characterize B-cells. </w:t>
      </w:r>
      <w:r w:rsidRPr="00DF0158">
        <w:rPr>
          <w:rFonts w:asciiTheme="majorHAnsi" w:hAnsiTheme="majorHAnsi"/>
          <w:lang w:val="en-US"/>
        </w:rPr>
        <w:t xml:space="preserve"> CD56</w:t>
      </w:r>
      <w:r w:rsidRPr="00DF0158">
        <w:rPr>
          <w:rFonts w:asciiTheme="majorHAnsi" w:hAnsiTheme="majorHAnsi"/>
          <w:vertAlign w:val="superscript"/>
          <w:lang w:val="en-US"/>
        </w:rPr>
        <w:t>high</w:t>
      </w:r>
      <w:r w:rsidRPr="00DF0158">
        <w:rPr>
          <w:rFonts w:asciiTheme="majorHAnsi" w:hAnsiTheme="majorHAnsi"/>
          <w:lang w:val="en-US"/>
        </w:rPr>
        <w:t xml:space="preserve"> NK-cells were absent and a high proportion (44%) of the CD56</w:t>
      </w:r>
      <w:r w:rsidRPr="00DF0158">
        <w:rPr>
          <w:rFonts w:asciiTheme="majorHAnsi" w:hAnsiTheme="majorHAnsi"/>
          <w:vertAlign w:val="superscript"/>
          <w:lang w:val="en-US"/>
        </w:rPr>
        <w:t>dim</w:t>
      </w:r>
      <w:r w:rsidRPr="00DF0158">
        <w:rPr>
          <w:rFonts w:asciiTheme="majorHAnsi" w:hAnsiTheme="majorHAnsi"/>
          <w:lang w:val="en-US"/>
        </w:rPr>
        <w:t xml:space="preserve"> population was CD16</w:t>
      </w:r>
      <w:r w:rsidRPr="00DF0158">
        <w:rPr>
          <w:rFonts w:asciiTheme="majorHAnsi" w:hAnsiTheme="majorHAnsi"/>
          <w:vertAlign w:val="superscript"/>
          <w:lang w:val="en-US"/>
        </w:rPr>
        <w:t>-</w:t>
      </w:r>
      <w:r w:rsidRPr="00DF0158">
        <w:rPr>
          <w:rFonts w:asciiTheme="majorHAnsi" w:hAnsiTheme="majorHAnsi"/>
          <w:lang w:val="en-US"/>
        </w:rPr>
        <w:t xml:space="preserve">. The patient showed a massive </w:t>
      </w:r>
      <w:proofErr w:type="spellStart"/>
      <w:r w:rsidRPr="00DF0158">
        <w:rPr>
          <w:rFonts w:asciiTheme="majorHAnsi" w:hAnsiTheme="majorHAnsi"/>
          <w:lang w:val="en-US"/>
        </w:rPr>
        <w:t>monocytopenia</w:t>
      </w:r>
      <w:proofErr w:type="spellEnd"/>
      <w:r w:rsidRPr="00DF0158">
        <w:rPr>
          <w:rFonts w:asciiTheme="majorHAnsi" w:hAnsiTheme="majorHAnsi"/>
          <w:lang w:val="en-US"/>
        </w:rPr>
        <w:t xml:space="preserve"> (4/µl), as has been reported during the entire period of observation. In addition, no myeloid (</w:t>
      </w:r>
      <w:proofErr w:type="spellStart"/>
      <w:r w:rsidRPr="00DF0158">
        <w:rPr>
          <w:rFonts w:asciiTheme="majorHAnsi" w:hAnsiTheme="majorHAnsi"/>
          <w:lang w:val="en-US"/>
        </w:rPr>
        <w:t>lin</w:t>
      </w:r>
      <w:proofErr w:type="spellEnd"/>
      <w:r w:rsidRPr="00DF0158">
        <w:rPr>
          <w:rFonts w:asciiTheme="majorHAnsi" w:hAnsiTheme="majorHAnsi"/>
          <w:vertAlign w:val="superscript"/>
          <w:lang w:val="en-US"/>
        </w:rPr>
        <w:t>-</w:t>
      </w:r>
      <w:r w:rsidRPr="00DF0158">
        <w:rPr>
          <w:rFonts w:asciiTheme="majorHAnsi" w:hAnsiTheme="majorHAnsi"/>
          <w:lang w:val="en-US"/>
        </w:rPr>
        <w:t>, HLA-DR</w:t>
      </w:r>
      <w:r w:rsidRPr="00DF0158">
        <w:rPr>
          <w:rFonts w:asciiTheme="majorHAnsi" w:hAnsiTheme="majorHAnsi"/>
          <w:vertAlign w:val="superscript"/>
          <w:lang w:val="en-US"/>
        </w:rPr>
        <w:t>+</w:t>
      </w:r>
      <w:r w:rsidRPr="00DF0158">
        <w:rPr>
          <w:rFonts w:asciiTheme="majorHAnsi" w:hAnsiTheme="majorHAnsi"/>
          <w:lang w:val="en-US"/>
        </w:rPr>
        <w:t>, CD11c</w:t>
      </w:r>
      <w:r w:rsidRPr="00DF0158">
        <w:rPr>
          <w:rFonts w:asciiTheme="majorHAnsi" w:hAnsiTheme="majorHAnsi"/>
          <w:vertAlign w:val="superscript"/>
          <w:lang w:val="en-US"/>
        </w:rPr>
        <w:t>+</w:t>
      </w:r>
      <w:r w:rsidRPr="00DF0158">
        <w:rPr>
          <w:rFonts w:asciiTheme="majorHAnsi" w:hAnsiTheme="majorHAnsi"/>
          <w:lang w:val="en-US"/>
        </w:rPr>
        <w:t>, CD123</w:t>
      </w:r>
      <w:r w:rsidRPr="00DF0158">
        <w:rPr>
          <w:rFonts w:asciiTheme="majorHAnsi" w:hAnsiTheme="majorHAnsi"/>
          <w:vertAlign w:val="superscript"/>
          <w:lang w:val="en-US"/>
        </w:rPr>
        <w:t>-/+</w:t>
      </w:r>
      <w:r w:rsidRPr="00DF0158">
        <w:rPr>
          <w:rFonts w:asciiTheme="majorHAnsi" w:hAnsiTheme="majorHAnsi"/>
          <w:lang w:val="en-US"/>
        </w:rPr>
        <w:t>) or plasmacytoid (</w:t>
      </w:r>
      <w:proofErr w:type="spellStart"/>
      <w:r w:rsidRPr="00DF0158">
        <w:rPr>
          <w:rFonts w:asciiTheme="majorHAnsi" w:hAnsiTheme="majorHAnsi"/>
          <w:lang w:val="en-US"/>
        </w:rPr>
        <w:t>lin</w:t>
      </w:r>
      <w:proofErr w:type="spellEnd"/>
      <w:r w:rsidRPr="00DF0158">
        <w:rPr>
          <w:rFonts w:asciiTheme="majorHAnsi" w:hAnsiTheme="majorHAnsi"/>
          <w:vertAlign w:val="superscript"/>
          <w:lang w:val="en-US"/>
        </w:rPr>
        <w:t>-</w:t>
      </w:r>
      <w:r w:rsidRPr="00DF0158">
        <w:rPr>
          <w:rFonts w:asciiTheme="majorHAnsi" w:hAnsiTheme="majorHAnsi"/>
          <w:lang w:val="en-US"/>
        </w:rPr>
        <w:t>, HLA-DR</w:t>
      </w:r>
      <w:r w:rsidRPr="00DF0158">
        <w:rPr>
          <w:rFonts w:asciiTheme="majorHAnsi" w:hAnsiTheme="majorHAnsi"/>
          <w:vertAlign w:val="superscript"/>
          <w:lang w:val="en-US"/>
        </w:rPr>
        <w:t>+</w:t>
      </w:r>
      <w:r w:rsidRPr="00DF0158">
        <w:rPr>
          <w:rFonts w:asciiTheme="majorHAnsi" w:hAnsiTheme="majorHAnsi"/>
          <w:lang w:val="en-US"/>
        </w:rPr>
        <w:t>, CD11c</w:t>
      </w:r>
      <w:r w:rsidRPr="00DF0158">
        <w:rPr>
          <w:rFonts w:asciiTheme="majorHAnsi" w:hAnsiTheme="majorHAnsi"/>
          <w:vertAlign w:val="superscript"/>
          <w:lang w:val="en-US"/>
        </w:rPr>
        <w:t>-</w:t>
      </w:r>
      <w:r w:rsidRPr="00DF0158">
        <w:rPr>
          <w:rFonts w:asciiTheme="majorHAnsi" w:hAnsiTheme="majorHAnsi"/>
          <w:lang w:val="en-US"/>
        </w:rPr>
        <w:t>, CD123</w:t>
      </w:r>
      <w:r w:rsidRPr="00DF0158">
        <w:rPr>
          <w:rFonts w:asciiTheme="majorHAnsi" w:hAnsiTheme="majorHAnsi"/>
          <w:vertAlign w:val="superscript"/>
          <w:lang w:val="en-US"/>
        </w:rPr>
        <w:t>++</w:t>
      </w:r>
      <w:r w:rsidRPr="00DF0158">
        <w:rPr>
          <w:rFonts w:asciiTheme="majorHAnsi" w:hAnsiTheme="majorHAnsi"/>
          <w:lang w:val="en-US"/>
        </w:rPr>
        <w:t xml:space="preserve">) dendritic cells could be detected in the peripheral blood. The frequency of </w:t>
      </w:r>
      <w:proofErr w:type="spellStart"/>
      <w:r w:rsidRPr="00DF0158">
        <w:rPr>
          <w:rFonts w:asciiTheme="majorHAnsi" w:hAnsiTheme="majorHAnsi"/>
          <w:lang w:val="en-US"/>
        </w:rPr>
        <w:t>T</w:t>
      </w:r>
      <w:r w:rsidRPr="00DF0158">
        <w:rPr>
          <w:rFonts w:asciiTheme="majorHAnsi" w:hAnsiTheme="majorHAnsi"/>
          <w:vertAlign w:val="subscript"/>
          <w:lang w:val="en-US"/>
        </w:rPr>
        <w:t>regs</w:t>
      </w:r>
      <w:proofErr w:type="spellEnd"/>
      <w:r w:rsidRPr="00DF0158">
        <w:rPr>
          <w:rFonts w:asciiTheme="majorHAnsi" w:hAnsiTheme="majorHAnsi"/>
          <w:lang w:val="en-US"/>
        </w:rPr>
        <w:t xml:space="preserve"> (as defined as CD4</w:t>
      </w:r>
      <w:r w:rsidRPr="00DF0158">
        <w:rPr>
          <w:rFonts w:asciiTheme="majorHAnsi" w:hAnsiTheme="majorHAnsi"/>
          <w:vertAlign w:val="superscript"/>
          <w:lang w:val="en-US"/>
        </w:rPr>
        <w:t>+</w:t>
      </w:r>
      <w:r w:rsidRPr="00DF0158">
        <w:rPr>
          <w:rFonts w:asciiTheme="majorHAnsi" w:hAnsiTheme="majorHAnsi"/>
          <w:lang w:val="en-US"/>
        </w:rPr>
        <w:t>, CD25</w:t>
      </w:r>
      <w:r w:rsidRPr="00DF0158">
        <w:rPr>
          <w:rFonts w:asciiTheme="majorHAnsi" w:hAnsiTheme="majorHAnsi"/>
          <w:vertAlign w:val="superscript"/>
          <w:lang w:val="en-US"/>
        </w:rPr>
        <w:t>+</w:t>
      </w:r>
      <w:r w:rsidRPr="00DF0158">
        <w:rPr>
          <w:rFonts w:asciiTheme="majorHAnsi" w:hAnsiTheme="majorHAnsi"/>
          <w:lang w:val="en-US"/>
        </w:rPr>
        <w:t>, CD127</w:t>
      </w:r>
      <w:r w:rsidRPr="00DF0158">
        <w:rPr>
          <w:rFonts w:asciiTheme="majorHAnsi" w:hAnsiTheme="majorHAnsi"/>
          <w:vertAlign w:val="superscript"/>
          <w:lang w:val="en-US"/>
        </w:rPr>
        <w:t>-</w:t>
      </w:r>
      <w:r w:rsidRPr="00DF0158">
        <w:rPr>
          <w:rFonts w:asciiTheme="majorHAnsi" w:hAnsiTheme="majorHAnsi"/>
          <w:lang w:val="en-US"/>
        </w:rPr>
        <w:t>, CD45R0</w:t>
      </w:r>
      <w:r w:rsidRPr="00DF0158">
        <w:rPr>
          <w:rFonts w:asciiTheme="majorHAnsi" w:hAnsiTheme="majorHAnsi"/>
          <w:vertAlign w:val="superscript"/>
          <w:lang w:val="en-US"/>
        </w:rPr>
        <w:t>+</w:t>
      </w:r>
      <w:r w:rsidRPr="00DF0158">
        <w:rPr>
          <w:rFonts w:asciiTheme="majorHAnsi" w:hAnsiTheme="majorHAnsi"/>
          <w:lang w:val="en-US"/>
        </w:rPr>
        <w:t xml:space="preserve"> and CCR4</w:t>
      </w:r>
      <w:r w:rsidRPr="00DF0158">
        <w:rPr>
          <w:rFonts w:asciiTheme="majorHAnsi" w:hAnsiTheme="majorHAnsi"/>
          <w:vertAlign w:val="superscript"/>
          <w:lang w:val="en-US"/>
        </w:rPr>
        <w:t>+</w:t>
      </w:r>
      <w:r w:rsidRPr="00DF0158">
        <w:rPr>
          <w:rFonts w:asciiTheme="majorHAnsi" w:hAnsiTheme="majorHAnsi"/>
          <w:lang w:val="en-US"/>
        </w:rPr>
        <w:t xml:space="preserve">) in the peripheral blood was reduced: 14/µl compared to 45±15/µl in healthy controls. Therefore, the phenotype was compatible with the previously described </w:t>
      </w:r>
      <w:proofErr w:type="spellStart"/>
      <w:r w:rsidRPr="00DF0158">
        <w:rPr>
          <w:rFonts w:asciiTheme="majorHAnsi" w:hAnsiTheme="majorHAnsi"/>
          <w:lang w:val="en-US"/>
        </w:rPr>
        <w:t>MonoM</w:t>
      </w:r>
      <w:r>
        <w:rPr>
          <w:rFonts w:asciiTheme="majorHAnsi" w:hAnsiTheme="majorHAnsi"/>
          <w:lang w:val="en-US"/>
        </w:rPr>
        <w:t>AC</w:t>
      </w:r>
      <w:proofErr w:type="spellEnd"/>
      <w:r w:rsidRPr="00DF0158">
        <w:rPr>
          <w:rFonts w:asciiTheme="majorHAnsi" w:hAnsiTheme="majorHAnsi"/>
          <w:lang w:val="en-US"/>
        </w:rPr>
        <w:t xml:space="preserve"> syndrome caused by GATA2 mutations.</w:t>
      </w:r>
    </w:p>
    <w:p w14:paraId="1253623A" w14:textId="77777777" w:rsidR="00137F42" w:rsidRDefault="00137F42" w:rsidP="002777FF">
      <w:pPr>
        <w:spacing w:after="0"/>
        <w:jc w:val="both"/>
        <w:rPr>
          <w:rFonts w:asciiTheme="majorHAnsi" w:hAnsiTheme="majorHAnsi"/>
          <w:u w:val="single"/>
          <w:lang w:val="en-US"/>
        </w:rPr>
      </w:pPr>
    </w:p>
    <w:p w14:paraId="23EC0824" w14:textId="77777777" w:rsidR="00137F42" w:rsidRPr="00E57B2D" w:rsidRDefault="00137F42" w:rsidP="00137F42">
      <w:pPr>
        <w:spacing w:after="0"/>
        <w:rPr>
          <w:rFonts w:asciiTheme="majorHAnsi" w:hAnsiTheme="majorHAnsi"/>
          <w:u w:val="single"/>
          <w:lang w:val="en-US"/>
        </w:rPr>
      </w:pPr>
      <w:r w:rsidRPr="00BA3A48">
        <w:rPr>
          <w:rFonts w:asciiTheme="majorHAnsi" w:hAnsiTheme="majorHAnsi"/>
          <w:u w:val="single"/>
          <w:lang w:val="en-US"/>
        </w:rPr>
        <w:t>Diagnostic sequencing of the GATA2 gene (PCR)</w:t>
      </w:r>
    </w:p>
    <w:p w14:paraId="310101FB" w14:textId="77777777" w:rsidR="00137F42" w:rsidRPr="00BA3A48" w:rsidRDefault="00137F42" w:rsidP="00137F42">
      <w:pPr>
        <w:jc w:val="both"/>
        <w:rPr>
          <w:rFonts w:asciiTheme="majorHAnsi" w:hAnsiTheme="majorHAnsi"/>
          <w:lang w:val="en-US" w:eastAsia="de-DE"/>
        </w:rPr>
      </w:pPr>
      <w:r w:rsidRPr="00BA3A48">
        <w:rPr>
          <w:rFonts w:asciiTheme="majorHAnsi" w:hAnsiTheme="majorHAnsi" w:cs="Calibri"/>
          <w:lang w:val="en-US" w:eastAsia="de-DE"/>
        </w:rPr>
        <w:t>A heterozygote mutation “c.1143+1G&gt;A;</w:t>
      </w:r>
      <w:r>
        <w:rPr>
          <w:rFonts w:asciiTheme="majorHAnsi" w:hAnsiTheme="majorHAnsi" w:cs="Calibri"/>
          <w:lang w:val="en-US" w:eastAsia="de-DE"/>
        </w:rPr>
        <w:t xml:space="preserve"> </w:t>
      </w:r>
      <w:r w:rsidRPr="00BA3A48">
        <w:rPr>
          <w:rFonts w:asciiTheme="majorHAnsi" w:hAnsiTheme="majorHAnsi" w:cs="Calibri"/>
          <w:lang w:val="en-US" w:eastAsia="de-DE"/>
        </w:rPr>
        <w:t xml:space="preserve">p.?” was proven in the GATA2 area. </w:t>
      </w:r>
      <w:r w:rsidRPr="00BA3A48">
        <w:rPr>
          <w:rFonts w:asciiTheme="majorHAnsi" w:hAnsiTheme="majorHAnsi"/>
          <w:lang w:val="en" w:eastAsia="de-DE"/>
        </w:rPr>
        <w:t>The mutation affects the splice donor area in Intron 4</w:t>
      </w:r>
      <w:r>
        <w:rPr>
          <w:rFonts w:asciiTheme="majorHAnsi" w:hAnsiTheme="majorHAnsi"/>
          <w:lang w:val="en" w:eastAsia="de-DE"/>
        </w:rPr>
        <w:t xml:space="preserve"> and </w:t>
      </w:r>
      <w:r w:rsidRPr="00BA3A48">
        <w:rPr>
          <w:rFonts w:asciiTheme="majorHAnsi" w:hAnsiTheme="majorHAnsi"/>
          <w:lang w:val="en" w:eastAsia="de-DE"/>
        </w:rPr>
        <w:t xml:space="preserve">will most likely lead to loss of the splice donor </w:t>
      </w:r>
      <w:r>
        <w:rPr>
          <w:rFonts w:asciiTheme="majorHAnsi" w:hAnsiTheme="majorHAnsi"/>
          <w:lang w:val="en" w:eastAsia="de-DE"/>
        </w:rPr>
        <w:t>area</w:t>
      </w:r>
      <w:r w:rsidRPr="00BA3A48">
        <w:rPr>
          <w:rFonts w:asciiTheme="majorHAnsi" w:hAnsiTheme="majorHAnsi"/>
          <w:lang w:val="en" w:eastAsia="de-DE"/>
        </w:rPr>
        <w:t xml:space="preserve"> and so presumably leads to aberrant splicing to a GATA2 haploinsufficiency.</w:t>
      </w:r>
      <w:r>
        <w:rPr>
          <w:rFonts w:asciiTheme="majorHAnsi" w:hAnsiTheme="majorHAnsi"/>
          <w:lang w:val="en" w:eastAsia="de-DE"/>
        </w:rPr>
        <w:t xml:space="preserve"> </w:t>
      </w:r>
      <w:r w:rsidRPr="00BA3A48">
        <w:rPr>
          <w:rFonts w:asciiTheme="majorHAnsi" w:hAnsiTheme="majorHAnsi"/>
          <w:lang w:val="en" w:eastAsia="de-DE"/>
        </w:rPr>
        <w:t xml:space="preserve">This mutation has not been described in the </w:t>
      </w:r>
      <w:r w:rsidRPr="00427D5D">
        <w:rPr>
          <w:rFonts w:asciiTheme="majorHAnsi" w:hAnsiTheme="majorHAnsi"/>
          <w:lang w:val="en" w:eastAsia="de-DE"/>
        </w:rPr>
        <w:t>literature</w:t>
      </w:r>
      <w:r>
        <w:rPr>
          <w:rFonts w:asciiTheme="majorHAnsi" w:hAnsiTheme="majorHAnsi"/>
          <w:lang w:val="en" w:eastAsia="de-DE"/>
        </w:rPr>
        <w:t>.</w:t>
      </w:r>
    </w:p>
    <w:p w14:paraId="617F35BD" w14:textId="47F902CF" w:rsidR="00E57B2D" w:rsidRDefault="00137F42" w:rsidP="002777FF">
      <w:pPr>
        <w:spacing w:after="0"/>
        <w:jc w:val="both"/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br/>
      </w:r>
      <w:r w:rsidR="0065095D" w:rsidRPr="00E57B2D">
        <w:rPr>
          <w:rFonts w:asciiTheme="majorHAnsi" w:hAnsiTheme="majorHAnsi"/>
          <w:u w:val="single"/>
          <w:lang w:val="en-US"/>
        </w:rPr>
        <w:t>Gene expression</w:t>
      </w:r>
    </w:p>
    <w:p w14:paraId="00153069" w14:textId="3A91500D" w:rsidR="0049255C" w:rsidRDefault="0065095D" w:rsidP="002777FF">
      <w:pPr>
        <w:spacing w:after="0"/>
        <w:jc w:val="both"/>
        <w:rPr>
          <w:rFonts w:asciiTheme="majorHAnsi" w:hAnsiTheme="majorHAnsi"/>
          <w:lang w:val="en-US"/>
        </w:rPr>
      </w:pPr>
      <w:r w:rsidRPr="00DF0158">
        <w:rPr>
          <w:rFonts w:asciiTheme="majorHAnsi" w:hAnsiTheme="majorHAnsi"/>
          <w:lang w:val="en-US"/>
        </w:rPr>
        <w:t xml:space="preserve">Compatible with the reduced numbers of myeloid cells in the periphery, the expression of inflammatory cytokines was severely impaired after stimulation of whole blood by 1ng/ml </w:t>
      </w:r>
      <w:r w:rsidRPr="00FB4F1F">
        <w:rPr>
          <w:rFonts w:asciiTheme="majorHAnsi" w:hAnsiTheme="majorHAnsi"/>
          <w:lang w:val="en-US"/>
        </w:rPr>
        <w:t>LPS (</w:t>
      </w:r>
      <w:r w:rsidR="00213FAD">
        <w:rPr>
          <w:rFonts w:asciiTheme="majorHAnsi" w:hAnsiTheme="majorHAnsi"/>
          <w:lang w:val="en-US"/>
        </w:rPr>
        <w:t>e-Figure 1a</w:t>
      </w:r>
      <w:r w:rsidRPr="00FB4F1F">
        <w:rPr>
          <w:rFonts w:asciiTheme="majorHAnsi" w:hAnsiTheme="majorHAnsi"/>
          <w:lang w:val="en-US"/>
        </w:rPr>
        <w:t>). Likewise the myeloid cell-dependent induction of the perforin and granzyme B genes in NK cells after LPS stimulation was missing (data not shown). Although quantitatively present, T-cell function was also impaired, as indicated by a reduced induction of several T-cell specific cytokine genes after PMA/Ionomycin stimulation. This was observed for both Th1 and Th2 cytokines, whereas the expression of IL17 and IL22 genes was only slightly reduced (</w:t>
      </w:r>
      <w:r w:rsidR="00213FAD">
        <w:rPr>
          <w:rFonts w:asciiTheme="majorHAnsi" w:hAnsiTheme="majorHAnsi"/>
          <w:lang w:val="en-US"/>
        </w:rPr>
        <w:t>e-Figure 1</w:t>
      </w:r>
      <w:r w:rsidR="00257CA6" w:rsidRPr="00FB4F1F">
        <w:rPr>
          <w:rFonts w:asciiTheme="majorHAnsi" w:hAnsiTheme="majorHAnsi"/>
          <w:lang w:val="en-US"/>
        </w:rPr>
        <w:t>b</w:t>
      </w:r>
      <w:r w:rsidRPr="00FB4F1F">
        <w:rPr>
          <w:rFonts w:asciiTheme="majorHAnsi" w:hAnsiTheme="majorHAnsi"/>
          <w:lang w:val="en-US"/>
        </w:rPr>
        <w:t>).</w:t>
      </w:r>
    </w:p>
    <w:p w14:paraId="1BBE8B13" w14:textId="77777777" w:rsidR="00E57B2D" w:rsidRDefault="00E57B2D" w:rsidP="002777FF">
      <w:pPr>
        <w:spacing w:after="0"/>
        <w:jc w:val="both"/>
        <w:rPr>
          <w:rFonts w:asciiTheme="majorHAnsi" w:hAnsiTheme="majorHAnsi"/>
          <w:lang w:val="en-US"/>
        </w:rPr>
      </w:pPr>
      <w:bookmarkStart w:id="0" w:name="_GoBack"/>
      <w:bookmarkEnd w:id="0"/>
    </w:p>
    <w:p w14:paraId="64E26FBF" w14:textId="778C573C" w:rsidR="00E57B2D" w:rsidRPr="002777FF" w:rsidRDefault="00DD24C1" w:rsidP="00D152EF">
      <w:pPr>
        <w:spacing w:after="0"/>
        <w:jc w:val="both"/>
        <w:rPr>
          <w:rFonts w:cs="Calibri"/>
          <w:u w:val="single"/>
          <w:lang w:val="en-US" w:eastAsia="de-DE"/>
        </w:rPr>
      </w:pPr>
      <w:r>
        <w:rPr>
          <w:rFonts w:cs="Calibri"/>
          <w:u w:val="single"/>
          <w:lang w:val="en-US" w:eastAsia="de-DE"/>
        </w:rPr>
        <w:t>Microbiology</w:t>
      </w:r>
    </w:p>
    <w:p w14:paraId="36BB8985" w14:textId="77777777" w:rsidR="00D152EF" w:rsidRDefault="00D152EF" w:rsidP="00A926D5">
      <w:pPr>
        <w:spacing w:after="0"/>
        <w:jc w:val="both"/>
        <w:rPr>
          <w:rFonts w:cs="Calibri"/>
          <w:lang w:val="en-US" w:eastAsia="de-DE"/>
        </w:rPr>
      </w:pPr>
      <w:r w:rsidRPr="009C572E">
        <w:rPr>
          <w:rFonts w:cs="Calibri"/>
          <w:lang w:val="en-US" w:eastAsia="de-DE"/>
        </w:rPr>
        <w:t>The patient</w:t>
      </w:r>
      <w:r>
        <w:rPr>
          <w:rFonts w:cs="Calibri"/>
          <w:lang w:val="en-US" w:eastAsia="de-DE"/>
        </w:rPr>
        <w:t>’</w:t>
      </w:r>
      <w:r w:rsidRPr="009C572E">
        <w:rPr>
          <w:rFonts w:cs="Calibri"/>
          <w:lang w:val="en-US" w:eastAsia="de-DE"/>
        </w:rPr>
        <w:t xml:space="preserve">s isolates were studied phenotypically and by molecular methods. </w:t>
      </w:r>
      <w:r w:rsidR="007F1BB3" w:rsidRPr="009C572E">
        <w:rPr>
          <w:rFonts w:cs="Calibri"/>
          <w:lang w:val="en-US" w:eastAsia="de-DE"/>
        </w:rPr>
        <w:t>Max</w:t>
      </w:r>
      <w:r w:rsidR="007210DF" w:rsidRPr="009C572E">
        <w:rPr>
          <w:rFonts w:cs="Calibri"/>
          <w:lang w:val="en-US" w:eastAsia="de-DE"/>
        </w:rPr>
        <w:t xml:space="preserve">imum </w:t>
      </w:r>
      <w:r w:rsidR="007F1BB3" w:rsidRPr="009C572E">
        <w:rPr>
          <w:rFonts w:cs="Calibri"/>
          <w:lang w:val="en-US" w:eastAsia="de-DE"/>
        </w:rPr>
        <w:t xml:space="preserve">growth of the fungus was </w:t>
      </w:r>
      <w:r w:rsidR="007210DF" w:rsidRPr="009C572E">
        <w:rPr>
          <w:rFonts w:cs="Calibri"/>
          <w:lang w:val="en-US" w:eastAsia="de-DE"/>
        </w:rPr>
        <w:t xml:space="preserve">at </w:t>
      </w:r>
      <w:r w:rsidR="007F1BB3" w:rsidRPr="009C572E">
        <w:rPr>
          <w:rFonts w:cs="Calibri"/>
          <w:lang w:val="en-US" w:eastAsia="de-DE"/>
        </w:rPr>
        <w:t>37°C</w:t>
      </w:r>
      <w:r w:rsidR="007210DF" w:rsidRPr="009C572E">
        <w:rPr>
          <w:rFonts w:cs="Calibri"/>
          <w:lang w:val="en-US" w:eastAsia="de-DE"/>
        </w:rPr>
        <w:t xml:space="preserve">. It </w:t>
      </w:r>
      <w:r w:rsidR="007F1BB3" w:rsidRPr="009C572E">
        <w:rPr>
          <w:rFonts w:cs="Calibri"/>
          <w:lang w:val="en-US" w:eastAsia="de-DE"/>
        </w:rPr>
        <w:t>tolera</w:t>
      </w:r>
      <w:r w:rsidR="007210DF" w:rsidRPr="009C572E">
        <w:rPr>
          <w:rFonts w:cs="Calibri"/>
          <w:lang w:val="en-US" w:eastAsia="de-DE"/>
        </w:rPr>
        <w:t>ted</w:t>
      </w:r>
      <w:r w:rsidR="007F1BB3" w:rsidRPr="009C572E">
        <w:rPr>
          <w:rFonts w:cs="Calibri"/>
          <w:lang w:val="en-US" w:eastAsia="de-DE"/>
        </w:rPr>
        <w:t xml:space="preserve"> 0.1% cycloheximide, </w:t>
      </w:r>
      <w:r w:rsidR="007210DF" w:rsidRPr="009C572E">
        <w:rPr>
          <w:rFonts w:cs="Calibri"/>
          <w:lang w:val="en-US" w:eastAsia="de-DE"/>
        </w:rPr>
        <w:t xml:space="preserve">had </w:t>
      </w:r>
      <w:r w:rsidR="007F1BB3" w:rsidRPr="009C572E">
        <w:rPr>
          <w:rFonts w:cs="Calibri"/>
          <w:lang w:val="en-US" w:eastAsia="de-DE"/>
        </w:rPr>
        <w:t xml:space="preserve">urease activity, </w:t>
      </w:r>
      <w:r w:rsidR="007210DF" w:rsidRPr="009C572E">
        <w:rPr>
          <w:rFonts w:cs="Calibri"/>
          <w:lang w:val="en-US" w:eastAsia="de-DE"/>
        </w:rPr>
        <w:t xml:space="preserve">and </w:t>
      </w:r>
      <w:r w:rsidR="007F1BB3" w:rsidRPr="009C572E">
        <w:rPr>
          <w:rFonts w:cs="Calibri"/>
          <w:lang w:val="en-US" w:eastAsia="de-DE"/>
        </w:rPr>
        <w:t xml:space="preserve">no tolerance </w:t>
      </w:r>
      <w:r w:rsidR="007210DF" w:rsidRPr="009C572E">
        <w:rPr>
          <w:rFonts w:cs="Calibri"/>
          <w:lang w:val="en-US" w:eastAsia="de-DE"/>
        </w:rPr>
        <w:t xml:space="preserve">of </w:t>
      </w:r>
      <w:r w:rsidR="007F1BB3" w:rsidRPr="009C572E">
        <w:rPr>
          <w:rFonts w:cs="Calibri"/>
          <w:lang w:val="en-US" w:eastAsia="de-DE"/>
        </w:rPr>
        <w:t xml:space="preserve">NaCl 10%. In tissue as well as </w:t>
      </w:r>
      <w:r w:rsidR="007F1BB3" w:rsidRPr="009C572E">
        <w:rPr>
          <w:rFonts w:cs="Calibri"/>
          <w:i/>
          <w:lang w:val="en-US" w:eastAsia="de-DE"/>
        </w:rPr>
        <w:t>in vitro</w:t>
      </w:r>
      <w:r w:rsidR="007F1BB3" w:rsidRPr="009C572E">
        <w:rPr>
          <w:rFonts w:cs="Calibri"/>
          <w:lang w:val="en-US" w:eastAsia="de-DE"/>
        </w:rPr>
        <w:t xml:space="preserve"> on </w:t>
      </w:r>
      <w:proofErr w:type="spellStart"/>
      <w:r w:rsidR="007F1BB3" w:rsidRPr="009C572E">
        <w:rPr>
          <w:rFonts w:cs="Calibri"/>
          <w:lang w:val="en-US" w:eastAsia="de-DE"/>
        </w:rPr>
        <w:t>Sabouraud</w:t>
      </w:r>
      <w:proofErr w:type="spellEnd"/>
      <w:r w:rsidR="007F1BB3" w:rsidRPr="009C572E">
        <w:rPr>
          <w:rFonts w:cs="Calibri"/>
          <w:lang w:val="en-US" w:eastAsia="de-DE"/>
        </w:rPr>
        <w:t xml:space="preserve"> agar septate </w:t>
      </w:r>
      <w:proofErr w:type="spellStart"/>
      <w:r w:rsidR="007F1BB3" w:rsidRPr="009C572E">
        <w:rPr>
          <w:rFonts w:cs="Calibri"/>
          <w:lang w:val="en-US" w:eastAsia="de-DE"/>
        </w:rPr>
        <w:t>hyhae</w:t>
      </w:r>
      <w:proofErr w:type="spellEnd"/>
      <w:r w:rsidR="007210DF" w:rsidRPr="009C572E">
        <w:rPr>
          <w:rFonts w:cs="Calibri"/>
          <w:lang w:val="en-US" w:eastAsia="de-DE"/>
        </w:rPr>
        <w:t xml:space="preserve"> were produced</w:t>
      </w:r>
      <w:r w:rsidR="007F1BB3" w:rsidRPr="009C572E">
        <w:rPr>
          <w:rFonts w:cs="Calibri"/>
          <w:lang w:val="en-US" w:eastAsia="de-DE"/>
        </w:rPr>
        <w:t>, 1</w:t>
      </w:r>
      <w:r w:rsidR="007210DF" w:rsidRPr="009C572E">
        <w:rPr>
          <w:rFonts w:cs="Calibri"/>
          <w:lang w:val="en-US" w:eastAsia="de-DE"/>
        </w:rPr>
        <w:t>.</w:t>
      </w:r>
      <w:r w:rsidR="007F1BB3" w:rsidRPr="009C572E">
        <w:rPr>
          <w:rFonts w:cs="Calibri"/>
          <w:lang w:val="en-US" w:eastAsia="de-DE"/>
        </w:rPr>
        <w:t>5 – 4</w:t>
      </w:r>
      <w:r w:rsidR="007210DF" w:rsidRPr="009C572E">
        <w:rPr>
          <w:rFonts w:cs="Calibri"/>
          <w:lang w:val="en-US" w:eastAsia="de-DE"/>
        </w:rPr>
        <w:t>.0</w:t>
      </w:r>
      <w:r w:rsidR="007F1BB3" w:rsidRPr="009C572E">
        <w:rPr>
          <w:rFonts w:cs="Calibri"/>
          <w:lang w:val="en-US" w:eastAsia="de-DE"/>
        </w:rPr>
        <w:t xml:space="preserve"> µm diameter, </w:t>
      </w:r>
      <w:r w:rsidR="007210DF" w:rsidRPr="009C572E">
        <w:rPr>
          <w:rFonts w:cs="Calibri"/>
          <w:lang w:val="en-US" w:eastAsia="de-DE"/>
        </w:rPr>
        <w:t xml:space="preserve">branched at </w:t>
      </w:r>
      <w:r w:rsidR="007F1BB3" w:rsidRPr="009C572E">
        <w:rPr>
          <w:rFonts w:cs="Calibri"/>
          <w:lang w:val="en-US" w:eastAsia="de-DE"/>
        </w:rPr>
        <w:t>45° - 90°C</w:t>
      </w:r>
      <w:r w:rsidR="007210DF" w:rsidRPr="009C572E">
        <w:rPr>
          <w:rFonts w:cs="Calibri"/>
          <w:lang w:val="en-US" w:eastAsia="de-DE"/>
        </w:rPr>
        <w:t>;</w:t>
      </w:r>
      <w:r w:rsidR="007F1BB3" w:rsidRPr="009C572E">
        <w:rPr>
          <w:rFonts w:cs="Calibri"/>
          <w:lang w:val="en-US" w:eastAsia="de-DE"/>
        </w:rPr>
        <w:t xml:space="preserve"> thick</w:t>
      </w:r>
      <w:r w:rsidR="007210DF" w:rsidRPr="009C572E">
        <w:rPr>
          <w:rFonts w:cs="Calibri"/>
          <w:lang w:val="en-US" w:eastAsia="de-DE"/>
        </w:rPr>
        <w:t>-</w:t>
      </w:r>
      <w:r w:rsidR="007F1BB3" w:rsidRPr="009C572E">
        <w:rPr>
          <w:rFonts w:cs="Calibri"/>
          <w:lang w:val="en-US" w:eastAsia="de-DE"/>
        </w:rPr>
        <w:t xml:space="preserve">walled </w:t>
      </w:r>
      <w:r w:rsidR="007210DF" w:rsidRPr="009C572E">
        <w:rPr>
          <w:rFonts w:cs="Calibri"/>
          <w:lang w:val="en-US" w:eastAsia="de-DE"/>
        </w:rPr>
        <w:t>chlamydospore-</w:t>
      </w:r>
      <w:r w:rsidR="007F1BB3" w:rsidRPr="009C572E">
        <w:rPr>
          <w:rFonts w:cs="Calibri"/>
          <w:lang w:val="en-US" w:eastAsia="de-DE"/>
        </w:rPr>
        <w:t>like structures</w:t>
      </w:r>
      <w:r w:rsidR="007210DF" w:rsidRPr="009C572E">
        <w:rPr>
          <w:rFonts w:cs="Calibri"/>
          <w:lang w:val="en-US" w:eastAsia="de-DE"/>
        </w:rPr>
        <w:t xml:space="preserve"> present;</w:t>
      </w:r>
      <w:r w:rsidR="007F1BB3" w:rsidRPr="009C572E">
        <w:rPr>
          <w:rFonts w:cs="Calibri"/>
          <w:lang w:val="en-US" w:eastAsia="de-DE"/>
        </w:rPr>
        <w:t xml:space="preserve"> conidia </w:t>
      </w:r>
      <w:r w:rsidR="007210DF" w:rsidRPr="009C572E">
        <w:rPr>
          <w:rFonts w:cs="Calibri"/>
          <w:lang w:val="en-US" w:eastAsia="de-DE"/>
        </w:rPr>
        <w:t xml:space="preserve">spherical </w:t>
      </w:r>
      <w:r w:rsidR="007F1BB3" w:rsidRPr="009C572E">
        <w:rPr>
          <w:rFonts w:cs="Calibri"/>
          <w:lang w:val="en-US" w:eastAsia="de-DE"/>
        </w:rPr>
        <w:t xml:space="preserve">to </w:t>
      </w:r>
      <w:r w:rsidR="007210DF" w:rsidRPr="009C572E">
        <w:rPr>
          <w:rFonts w:cs="Calibri"/>
          <w:lang w:val="en-US" w:eastAsia="de-DE"/>
        </w:rPr>
        <w:t>ovoidal</w:t>
      </w:r>
      <w:r w:rsidR="007F1BB3" w:rsidRPr="009C572E">
        <w:rPr>
          <w:rFonts w:cs="Calibri"/>
          <w:lang w:val="en-US" w:eastAsia="de-DE"/>
        </w:rPr>
        <w:t>, 5</w:t>
      </w:r>
      <w:r w:rsidR="007210DF" w:rsidRPr="009C572E">
        <w:rPr>
          <w:rFonts w:cs="Calibri"/>
          <w:lang w:val="en-US" w:eastAsia="de-DE"/>
        </w:rPr>
        <w:t>.0</w:t>
      </w:r>
      <w:r w:rsidR="007F1BB3" w:rsidRPr="009C572E">
        <w:rPr>
          <w:rFonts w:cs="Calibri"/>
          <w:lang w:val="en-US" w:eastAsia="de-DE"/>
        </w:rPr>
        <w:t>-7.5</w:t>
      </w:r>
      <w:r w:rsidR="007210DF" w:rsidRPr="009C572E">
        <w:rPr>
          <w:rFonts w:cs="Calibri"/>
          <w:lang w:val="en-US" w:eastAsia="de-DE"/>
        </w:rPr>
        <w:t xml:space="preserve"> </w:t>
      </w:r>
      <w:r w:rsidR="007F1BB3" w:rsidRPr="009C572E">
        <w:rPr>
          <w:rFonts w:cs="Calibri"/>
          <w:lang w:val="en-US" w:eastAsia="de-DE"/>
        </w:rPr>
        <w:t>µm</w:t>
      </w:r>
      <w:r w:rsidR="007210DF" w:rsidRPr="009C572E">
        <w:rPr>
          <w:rFonts w:cs="Calibri"/>
          <w:lang w:val="en-US" w:eastAsia="de-DE"/>
        </w:rPr>
        <w:t xml:space="preserve"> in length. </w:t>
      </w:r>
      <w:r w:rsidR="007F1BB3" w:rsidRPr="009C572E">
        <w:rPr>
          <w:rFonts w:cs="Calibri"/>
          <w:lang w:val="en-US" w:eastAsia="de-DE"/>
        </w:rPr>
        <w:t xml:space="preserve">Sequencing of parts of the 18S ribosomal RNA gene, the complete internal transcribed spacer 1, 5.8 S and ITS 2 genes and parts of the 28S rRNA genes resulted in a &gt; 3000 </w:t>
      </w:r>
      <w:proofErr w:type="spellStart"/>
      <w:r w:rsidR="007F1BB3" w:rsidRPr="009C572E">
        <w:rPr>
          <w:rFonts w:cs="Calibri"/>
          <w:lang w:val="en-US" w:eastAsia="de-DE"/>
        </w:rPr>
        <w:t>basepair</w:t>
      </w:r>
      <w:proofErr w:type="spellEnd"/>
      <w:r w:rsidR="007F1BB3" w:rsidRPr="009C572E">
        <w:rPr>
          <w:rFonts w:cs="Calibri"/>
          <w:lang w:val="en-US" w:eastAsia="de-DE"/>
        </w:rPr>
        <w:t xml:space="preserve"> long sequence. </w:t>
      </w:r>
      <w:r w:rsidRPr="009C572E">
        <w:rPr>
          <w:rFonts w:cs="Calibri"/>
          <w:lang w:val="en-US" w:eastAsia="de-DE"/>
        </w:rPr>
        <w:t xml:space="preserve">Cluster analysis in GenBank revealed a 99% identity with CBS 885.95 </w:t>
      </w:r>
      <w:proofErr w:type="spellStart"/>
      <w:r w:rsidRPr="009C572E">
        <w:rPr>
          <w:rFonts w:cs="Calibri"/>
          <w:i/>
          <w:lang w:val="en-US" w:eastAsia="de-DE"/>
        </w:rPr>
        <w:t>Knufia</w:t>
      </w:r>
      <w:proofErr w:type="spellEnd"/>
      <w:r w:rsidRPr="009C572E">
        <w:rPr>
          <w:rFonts w:cs="Calibri"/>
          <w:i/>
          <w:lang w:val="en-US" w:eastAsia="de-DE"/>
        </w:rPr>
        <w:t xml:space="preserve"> </w:t>
      </w:r>
      <w:proofErr w:type="spellStart"/>
      <w:r w:rsidRPr="009C572E">
        <w:rPr>
          <w:rFonts w:cs="Calibri"/>
          <w:i/>
          <w:lang w:val="en-US" w:eastAsia="de-DE"/>
        </w:rPr>
        <w:t>perforans</w:t>
      </w:r>
      <w:proofErr w:type="spellEnd"/>
      <w:r w:rsidRPr="009C572E">
        <w:rPr>
          <w:rFonts w:cs="Calibri"/>
          <w:lang w:val="en-US" w:eastAsia="de-DE"/>
        </w:rPr>
        <w:t>, with a max. score of 3083/3754 and a coverage of 69%.  Comparison with sequences deposited in the database of the CBS-KNAW Fungal Biodiversity Centre, Utrecht, The Netherlands (</w:t>
      </w:r>
      <w:hyperlink r:id="rId6" w:history="1">
        <w:r w:rsidRPr="009C572E">
          <w:rPr>
            <w:rStyle w:val="Hyperlink"/>
            <w:rFonts w:cs="Calibri"/>
            <w:lang w:val="en-US" w:eastAsia="de-DE"/>
          </w:rPr>
          <w:t>www.cbs.knaw.nl</w:t>
        </w:r>
      </w:hyperlink>
      <w:r w:rsidRPr="009C572E">
        <w:rPr>
          <w:rFonts w:cs="Calibri"/>
          <w:lang w:val="en-US" w:eastAsia="de-DE"/>
        </w:rPr>
        <w:t xml:space="preserve">) revealed 99.1% </w:t>
      </w:r>
      <w:r>
        <w:rPr>
          <w:rFonts w:cs="Calibri"/>
          <w:lang w:val="en-US" w:eastAsia="de-DE"/>
        </w:rPr>
        <w:t>large ribosomal subunit (</w:t>
      </w:r>
      <w:r w:rsidRPr="009C572E">
        <w:rPr>
          <w:rFonts w:cs="Calibri"/>
          <w:lang w:val="en-US" w:eastAsia="de-DE"/>
        </w:rPr>
        <w:t>LSU</w:t>
      </w:r>
      <w:r>
        <w:rPr>
          <w:rFonts w:cs="Calibri"/>
          <w:lang w:val="en-US" w:eastAsia="de-DE"/>
        </w:rPr>
        <w:t>)</w:t>
      </w:r>
      <w:r w:rsidRPr="009C572E">
        <w:rPr>
          <w:rFonts w:cs="Calibri"/>
          <w:lang w:val="en-US" w:eastAsia="de-DE"/>
        </w:rPr>
        <w:t xml:space="preserve"> and 96.5% </w:t>
      </w:r>
      <w:r>
        <w:rPr>
          <w:rFonts w:cs="Calibri"/>
          <w:lang w:val="en-US" w:eastAsia="de-DE"/>
        </w:rPr>
        <w:t>internal transcribed spacer region (</w:t>
      </w:r>
      <w:r w:rsidRPr="009C572E">
        <w:rPr>
          <w:rFonts w:cs="Calibri"/>
          <w:lang w:val="en-US" w:eastAsia="de-DE"/>
        </w:rPr>
        <w:t>ITS</w:t>
      </w:r>
      <w:r>
        <w:rPr>
          <w:rFonts w:cs="Calibri"/>
          <w:lang w:val="en-US" w:eastAsia="de-DE"/>
        </w:rPr>
        <w:t>)</w:t>
      </w:r>
      <w:r w:rsidRPr="009C572E">
        <w:rPr>
          <w:rFonts w:cs="Calibri"/>
          <w:lang w:val="en-US" w:eastAsia="de-DE"/>
        </w:rPr>
        <w:t xml:space="preserve"> similarity with CBS 457.67, the type strain of </w:t>
      </w:r>
      <w:proofErr w:type="spellStart"/>
      <w:r w:rsidRPr="009C572E">
        <w:rPr>
          <w:rFonts w:cs="Calibri"/>
          <w:i/>
          <w:lang w:val="en-US" w:eastAsia="de-DE"/>
        </w:rPr>
        <w:t>Arthrocladium</w:t>
      </w:r>
      <w:proofErr w:type="spellEnd"/>
      <w:r w:rsidRPr="009C572E">
        <w:rPr>
          <w:rFonts w:cs="Calibri"/>
          <w:i/>
          <w:lang w:val="en-US" w:eastAsia="de-DE"/>
        </w:rPr>
        <w:t xml:space="preserve"> </w:t>
      </w:r>
      <w:proofErr w:type="spellStart"/>
      <w:r w:rsidRPr="009C572E">
        <w:rPr>
          <w:rFonts w:cs="Calibri"/>
          <w:i/>
          <w:lang w:val="en-US" w:eastAsia="de-DE"/>
        </w:rPr>
        <w:t>caudatum</w:t>
      </w:r>
      <w:proofErr w:type="spellEnd"/>
      <w:r w:rsidRPr="009C572E">
        <w:rPr>
          <w:rFonts w:cs="Calibri"/>
          <w:lang w:val="en-US" w:eastAsia="de-DE"/>
        </w:rPr>
        <w:t xml:space="preserve">. In an unpublished research database of black fungi maintained at CBS for research </w:t>
      </w:r>
      <w:r w:rsidRPr="009C572E">
        <w:rPr>
          <w:rFonts w:cs="Calibri"/>
          <w:lang w:val="en-US" w:eastAsia="de-DE"/>
        </w:rPr>
        <w:lastRenderedPageBreak/>
        <w:t xml:space="preserve">purposes the strains formed a monophyletic group with three unnamed </w:t>
      </w:r>
      <w:proofErr w:type="spellStart"/>
      <w:r w:rsidRPr="009C572E">
        <w:rPr>
          <w:rFonts w:cs="Calibri"/>
          <w:i/>
          <w:lang w:val="en-US" w:eastAsia="de-DE"/>
        </w:rPr>
        <w:t>Exophiala</w:t>
      </w:r>
      <w:proofErr w:type="spellEnd"/>
      <w:r w:rsidRPr="009C572E">
        <w:rPr>
          <w:rFonts w:cs="Calibri"/>
          <w:lang w:val="en-US" w:eastAsia="de-DE"/>
        </w:rPr>
        <w:t xml:space="preserve"> isolates from Brazilian coconut shells at </w:t>
      </w:r>
      <w:r w:rsidRPr="00DE36BB">
        <w:rPr>
          <w:rFonts w:cs="Calibri"/>
          <w:lang w:val="en-US" w:eastAsia="de-DE"/>
        </w:rPr>
        <w:t>levels of 98-99% ITS similarity. Descriptions of these fungi as novel species</w:t>
      </w:r>
      <w:r>
        <w:rPr>
          <w:rFonts w:cs="Calibri"/>
          <w:lang w:val="en-US" w:eastAsia="de-DE"/>
        </w:rPr>
        <w:t xml:space="preserve"> </w:t>
      </w:r>
      <w:r w:rsidRPr="00DE36BB">
        <w:rPr>
          <w:rFonts w:cs="Calibri"/>
          <w:lang w:val="en-US" w:eastAsia="de-DE"/>
        </w:rPr>
        <w:t>are submitted</w:t>
      </w:r>
      <w:r>
        <w:rPr>
          <w:rFonts w:cs="Calibri"/>
          <w:lang w:val="en-US" w:eastAsia="de-DE"/>
        </w:rPr>
        <w:t>.</w:t>
      </w:r>
    </w:p>
    <w:p w14:paraId="7523AAD3" w14:textId="77777777" w:rsidR="00D152EF" w:rsidRDefault="00D152EF" w:rsidP="00D152EF">
      <w:pPr>
        <w:spacing w:after="0"/>
        <w:jc w:val="both"/>
        <w:rPr>
          <w:rFonts w:cs="Calibri"/>
          <w:lang w:val="en-US" w:eastAsia="de-DE"/>
        </w:rPr>
      </w:pPr>
    </w:p>
    <w:p w14:paraId="3CE0C8BD" w14:textId="77777777" w:rsidR="00D152EF" w:rsidRDefault="00D152EF" w:rsidP="00D152EF">
      <w:pPr>
        <w:spacing w:after="0"/>
        <w:jc w:val="both"/>
        <w:rPr>
          <w:rFonts w:cs="Calibri"/>
          <w:lang w:val="en-US" w:eastAsia="de-DE"/>
        </w:rPr>
      </w:pPr>
    </w:p>
    <w:p w14:paraId="4B19F72F" w14:textId="745D5DB4" w:rsidR="00E57B2D" w:rsidRPr="00E57B2D" w:rsidRDefault="00E57B2D" w:rsidP="00D152EF">
      <w:pPr>
        <w:spacing w:after="0"/>
        <w:jc w:val="both"/>
        <w:rPr>
          <w:rFonts w:cs="Calibri"/>
          <w:b/>
          <w:sz w:val="24"/>
          <w:szCs w:val="24"/>
          <w:u w:val="single"/>
          <w:lang w:val="en-US" w:eastAsia="de-DE"/>
        </w:rPr>
      </w:pPr>
      <w:r w:rsidRPr="00E57B2D">
        <w:rPr>
          <w:rFonts w:cs="Calibri"/>
          <w:b/>
          <w:sz w:val="24"/>
          <w:szCs w:val="24"/>
          <w:u w:val="single"/>
          <w:lang w:val="en-US" w:eastAsia="de-DE"/>
        </w:rPr>
        <w:t>Methods</w:t>
      </w:r>
    </w:p>
    <w:p w14:paraId="0ACF3B13" w14:textId="77777777" w:rsidR="00E57B2D" w:rsidRDefault="00E57B2D" w:rsidP="002777FF">
      <w:pPr>
        <w:spacing w:after="0"/>
        <w:jc w:val="both"/>
        <w:rPr>
          <w:rFonts w:cs="Calibri"/>
          <w:b/>
          <w:lang w:val="en-US" w:eastAsia="de-DE"/>
        </w:rPr>
      </w:pPr>
    </w:p>
    <w:p w14:paraId="5DD26427" w14:textId="77777777" w:rsidR="007F1BB3" w:rsidRPr="00E57B2D" w:rsidRDefault="007F1BB3" w:rsidP="002777FF">
      <w:pPr>
        <w:spacing w:after="0"/>
        <w:jc w:val="both"/>
        <w:rPr>
          <w:rFonts w:cs="Calibri"/>
          <w:u w:val="single"/>
          <w:lang w:val="en-US" w:eastAsia="de-DE"/>
        </w:rPr>
      </w:pPr>
      <w:r w:rsidRPr="00E57B2D">
        <w:rPr>
          <w:rFonts w:cs="Calibri"/>
          <w:u w:val="single"/>
          <w:lang w:val="en-US" w:eastAsia="de-DE"/>
        </w:rPr>
        <w:t xml:space="preserve">Susceptibility testing </w:t>
      </w:r>
    </w:p>
    <w:p w14:paraId="539871C2" w14:textId="4977D051" w:rsidR="007F1BB3" w:rsidRDefault="007F1BB3" w:rsidP="002777FF">
      <w:pPr>
        <w:spacing w:after="0"/>
        <w:jc w:val="both"/>
        <w:rPr>
          <w:rFonts w:cs="Calibri"/>
          <w:sz w:val="20"/>
          <w:lang w:val="en-US" w:eastAsia="de-DE"/>
        </w:rPr>
      </w:pPr>
      <w:r w:rsidRPr="009C572E">
        <w:rPr>
          <w:rFonts w:cs="Calibri"/>
          <w:lang w:val="en-US" w:eastAsia="de-DE"/>
        </w:rPr>
        <w:t xml:space="preserve">Antifungal susceptibility testing according to the CLSI M38-A2 guidelines was possible after repeated </w:t>
      </w:r>
      <w:proofErr w:type="spellStart"/>
      <w:r w:rsidRPr="009C572E">
        <w:rPr>
          <w:rFonts w:cs="Calibri"/>
          <w:lang w:val="en-US" w:eastAsia="de-DE"/>
        </w:rPr>
        <w:t>subculturing</w:t>
      </w:r>
      <w:proofErr w:type="spellEnd"/>
      <w:r w:rsidRPr="009C572E">
        <w:rPr>
          <w:rFonts w:cs="Calibri"/>
          <w:lang w:val="en-US" w:eastAsia="de-DE"/>
        </w:rPr>
        <w:t xml:space="preserve"> of the isolate to stimulate formation of conidia. Minimal inhibitory concentrations (µg/ml) after an incubation of 72 h at 35°C were: amphotericin B 0.5, itraconazole 0.125, </w:t>
      </w:r>
      <w:proofErr w:type="spellStart"/>
      <w:r w:rsidRPr="009C572E">
        <w:rPr>
          <w:rFonts w:cs="Calibri"/>
          <w:lang w:val="en-US" w:eastAsia="de-DE"/>
        </w:rPr>
        <w:t>posaconazole</w:t>
      </w:r>
      <w:proofErr w:type="spellEnd"/>
      <w:r w:rsidRPr="009C572E">
        <w:rPr>
          <w:rFonts w:cs="Calibri"/>
          <w:lang w:val="en-US" w:eastAsia="de-DE"/>
        </w:rPr>
        <w:t xml:space="preserve"> 0.125 and voriconazole 1.</w:t>
      </w:r>
      <w:r>
        <w:rPr>
          <w:rFonts w:cs="Calibri"/>
          <w:lang w:val="en-US" w:eastAsia="de-DE"/>
        </w:rPr>
        <w:t xml:space="preserve"> </w:t>
      </w:r>
    </w:p>
    <w:p w14:paraId="2C53BC89" w14:textId="77777777" w:rsidR="00A81862" w:rsidRDefault="00A81862" w:rsidP="002777FF">
      <w:pPr>
        <w:spacing w:after="0"/>
        <w:ind w:left="360"/>
        <w:jc w:val="both"/>
        <w:rPr>
          <w:rFonts w:cs="Calibri"/>
          <w:b/>
          <w:lang w:val="en-US" w:eastAsia="de-DE"/>
        </w:rPr>
      </w:pPr>
    </w:p>
    <w:p w14:paraId="286CCD0D" w14:textId="77777777" w:rsidR="0065095D" w:rsidRPr="00E57B2D" w:rsidRDefault="0065095D" w:rsidP="002777FF">
      <w:pPr>
        <w:spacing w:after="0"/>
        <w:jc w:val="both"/>
        <w:rPr>
          <w:rFonts w:cs="Calibri"/>
          <w:u w:val="single"/>
          <w:lang w:val="en-US" w:eastAsia="de-DE"/>
        </w:rPr>
      </w:pPr>
      <w:r w:rsidRPr="00E57B2D">
        <w:rPr>
          <w:rFonts w:cs="Calibri"/>
          <w:u w:val="single"/>
          <w:lang w:val="en-US" w:eastAsia="de-DE"/>
        </w:rPr>
        <w:t>Flow cytometry</w:t>
      </w:r>
    </w:p>
    <w:p w14:paraId="71033E24" w14:textId="6E0E573D" w:rsidR="0065095D" w:rsidRPr="00856DB6" w:rsidRDefault="0065095D" w:rsidP="002777FF">
      <w:pPr>
        <w:spacing w:after="0"/>
        <w:jc w:val="both"/>
        <w:rPr>
          <w:rFonts w:cs="Calibri"/>
          <w:lang w:val="en-US" w:eastAsia="de-DE"/>
        </w:rPr>
      </w:pPr>
      <w:r w:rsidRPr="00856DB6">
        <w:rPr>
          <w:rFonts w:cs="Calibri"/>
          <w:lang w:val="en-US" w:eastAsia="de-DE"/>
        </w:rPr>
        <w:t xml:space="preserve">Comprehensive analysis of leukocyte subpopulations was performed using the following 4 </w:t>
      </w:r>
      <w:r w:rsidR="00304222">
        <w:rPr>
          <w:rFonts w:cs="Calibri"/>
          <w:lang w:val="en-US" w:eastAsia="de-DE"/>
        </w:rPr>
        <w:t xml:space="preserve">ENTIRE-HIPC </w:t>
      </w:r>
      <w:r w:rsidRPr="00856DB6">
        <w:rPr>
          <w:rFonts w:cs="Calibri"/>
          <w:lang w:val="en-US" w:eastAsia="de-DE"/>
        </w:rPr>
        <w:t>panels by 8-color flow</w:t>
      </w:r>
      <w:r w:rsidR="00470527">
        <w:rPr>
          <w:rFonts w:cs="Calibri"/>
          <w:lang w:val="en-US" w:eastAsia="de-DE"/>
        </w:rPr>
        <w:t xml:space="preserve"> </w:t>
      </w:r>
      <w:r w:rsidRPr="00856DB6">
        <w:rPr>
          <w:rFonts w:cs="Calibri"/>
          <w:lang w:val="en-US" w:eastAsia="de-DE"/>
        </w:rPr>
        <w:t xml:space="preserve">cytometry: T-cell-panel: CD45; CCR7; CD4; CD45RA; CD38; CD8; CD3; HLA-DR; </w:t>
      </w:r>
      <w:proofErr w:type="spellStart"/>
      <w:r w:rsidRPr="00856DB6">
        <w:rPr>
          <w:rFonts w:cs="Calibri"/>
          <w:lang w:val="en-US" w:eastAsia="de-DE"/>
        </w:rPr>
        <w:t>Treg</w:t>
      </w:r>
      <w:proofErr w:type="spellEnd"/>
      <w:r w:rsidRPr="00856DB6">
        <w:rPr>
          <w:rFonts w:cs="Calibri"/>
          <w:lang w:val="en-US" w:eastAsia="de-DE"/>
        </w:rPr>
        <w:t xml:space="preserve">-panel: CD45; CD25; CD4; CCR4; CD127; CD45R0; CD3; HLA-DR ; B-cell-panel: CD45; CD24; CD19; </w:t>
      </w:r>
      <w:proofErr w:type="spellStart"/>
      <w:r w:rsidRPr="00856DB6">
        <w:rPr>
          <w:rFonts w:cs="Calibri"/>
          <w:lang w:val="en-US" w:eastAsia="de-DE"/>
        </w:rPr>
        <w:t>IgD</w:t>
      </w:r>
      <w:proofErr w:type="spellEnd"/>
      <w:r w:rsidRPr="00856DB6">
        <w:rPr>
          <w:rFonts w:cs="Calibri"/>
          <w:lang w:val="en-US" w:eastAsia="de-DE"/>
        </w:rPr>
        <w:t>; CD38; CD20; CD27; CD3; Innate-panel: CD45; CD56; CD123; CD11c; CD16; CD3+CD19+CD20 (dump); CD14; HLA-DR</w:t>
      </w:r>
      <w:sdt>
        <w:sdtPr>
          <w:rPr>
            <w:rFonts w:cs="Calibri"/>
            <w:lang w:val="en-US" w:eastAsia="de-DE"/>
          </w:rPr>
          <w:id w:val="-939605272"/>
          <w:citation/>
        </w:sdtPr>
        <w:sdtEndPr>
          <w:rPr>
            <w:vertAlign w:val="subscript"/>
          </w:rPr>
        </w:sdtEndPr>
        <w:sdtContent>
          <w:r w:rsidR="004A322B" w:rsidRPr="004A322B">
            <w:rPr>
              <w:rFonts w:cs="Calibri"/>
              <w:vertAlign w:val="subscript"/>
              <w:lang w:val="en-US" w:eastAsia="de-DE"/>
            </w:rPr>
            <w:fldChar w:fldCharType="begin"/>
          </w:r>
          <w:r w:rsidR="004A322B" w:rsidRPr="004A322B">
            <w:rPr>
              <w:rFonts w:cs="Calibri"/>
              <w:vertAlign w:val="subscript"/>
              <w:lang w:val="en-US" w:eastAsia="de-DE"/>
            </w:rPr>
            <w:instrText xml:space="preserve"> CITATION Mae \l 1031 </w:instrText>
          </w:r>
          <w:r w:rsidR="004A322B" w:rsidRPr="004A322B">
            <w:rPr>
              <w:rFonts w:cs="Calibri"/>
              <w:vertAlign w:val="subscript"/>
              <w:lang w:val="en-US" w:eastAsia="de-DE"/>
            </w:rPr>
            <w:fldChar w:fldCharType="separate"/>
          </w:r>
          <w:r w:rsidR="00487B00">
            <w:rPr>
              <w:rFonts w:cs="Calibri"/>
              <w:noProof/>
              <w:vertAlign w:val="subscript"/>
              <w:lang w:val="en-US" w:eastAsia="de-DE"/>
            </w:rPr>
            <w:t xml:space="preserve"> </w:t>
          </w:r>
          <w:r w:rsidR="00487B00" w:rsidRPr="00487B00">
            <w:rPr>
              <w:rFonts w:cs="Calibri"/>
              <w:noProof/>
              <w:lang w:val="en-US" w:eastAsia="de-DE"/>
            </w:rPr>
            <w:t>(19)</w:t>
          </w:r>
          <w:r w:rsidR="004A322B" w:rsidRPr="004A322B">
            <w:rPr>
              <w:rFonts w:cs="Calibri"/>
              <w:vertAlign w:val="subscript"/>
              <w:lang w:val="en-US" w:eastAsia="de-DE"/>
            </w:rPr>
            <w:fldChar w:fldCharType="end"/>
          </w:r>
        </w:sdtContent>
      </w:sdt>
      <w:r w:rsidRPr="00856DB6">
        <w:rPr>
          <w:rFonts w:cs="Calibri"/>
          <w:lang w:val="en-US" w:eastAsia="de-DE"/>
        </w:rPr>
        <w:t>. Briefly 100</w:t>
      </w:r>
      <w:r w:rsidR="00470527">
        <w:rPr>
          <w:rFonts w:cs="Calibri"/>
          <w:lang w:val="en-US" w:eastAsia="de-DE"/>
        </w:rPr>
        <w:t xml:space="preserve"> </w:t>
      </w:r>
      <w:r w:rsidRPr="00856DB6">
        <w:rPr>
          <w:rFonts w:cs="Calibri"/>
          <w:lang w:val="en-US" w:eastAsia="de-DE"/>
        </w:rPr>
        <w:t>µl of whole blood was added to the panel tubes with pre-mixed antibodies and incubated for 30 minutes at room temperature in the dark with light agitation. After red cell lysis, cells were fixed and analyzed on a LSR-II instrument.</w:t>
      </w:r>
      <w:r w:rsidR="00304222">
        <w:rPr>
          <w:rFonts w:cs="Calibri"/>
          <w:lang w:val="en-US" w:eastAsia="de-DE"/>
        </w:rPr>
        <w:t xml:space="preserve"> A detailed description of the methods can be downloaded at </w:t>
      </w:r>
      <w:r w:rsidR="00304222" w:rsidRPr="00304222">
        <w:rPr>
          <w:rFonts w:cs="Calibri"/>
          <w:lang w:val="en-US" w:eastAsia="de-DE"/>
        </w:rPr>
        <w:t>http://entire-net.eu/sops-and-cats</w:t>
      </w:r>
      <w:r w:rsidR="00304222">
        <w:rPr>
          <w:rFonts w:cs="Calibri"/>
          <w:lang w:val="en-US" w:eastAsia="de-DE"/>
        </w:rPr>
        <w:t>.</w:t>
      </w:r>
    </w:p>
    <w:p w14:paraId="69261E62" w14:textId="77777777" w:rsidR="00E57B2D" w:rsidRDefault="00E57B2D" w:rsidP="002777FF">
      <w:pPr>
        <w:spacing w:after="0"/>
        <w:jc w:val="both"/>
        <w:rPr>
          <w:rFonts w:cs="Calibri"/>
          <w:b/>
          <w:lang w:val="en-US" w:eastAsia="de-DE"/>
        </w:rPr>
      </w:pPr>
    </w:p>
    <w:p w14:paraId="2473E3CA" w14:textId="012E52AB" w:rsidR="0065095D" w:rsidRPr="00E57B2D" w:rsidRDefault="0065095D" w:rsidP="002777FF">
      <w:pPr>
        <w:spacing w:after="0"/>
        <w:jc w:val="both"/>
        <w:rPr>
          <w:rFonts w:cs="Calibri"/>
          <w:u w:val="single"/>
          <w:lang w:val="en-US" w:eastAsia="de-DE"/>
        </w:rPr>
      </w:pPr>
      <w:r w:rsidRPr="00E57B2D">
        <w:rPr>
          <w:rFonts w:cs="Calibri"/>
          <w:u w:val="single"/>
          <w:lang w:val="en-US" w:eastAsia="de-DE"/>
        </w:rPr>
        <w:t>Real-Time RT-PCR quantification</w:t>
      </w:r>
    </w:p>
    <w:p w14:paraId="0CF687D7" w14:textId="77777777" w:rsidR="0065095D" w:rsidRPr="00856DB6" w:rsidRDefault="0065095D" w:rsidP="002777FF">
      <w:pPr>
        <w:spacing w:after="0"/>
        <w:jc w:val="both"/>
        <w:rPr>
          <w:rFonts w:cs="Calibri"/>
          <w:lang w:val="en-US" w:eastAsia="de-DE"/>
        </w:rPr>
      </w:pPr>
      <w:r w:rsidRPr="00856DB6">
        <w:rPr>
          <w:rFonts w:cs="Calibri"/>
          <w:lang w:val="en-US" w:eastAsia="de-DE"/>
        </w:rPr>
        <w:t xml:space="preserve">1 ml of heparinized whole blood was incubated with 1 ml RPMI1640 or RPMI1640 containing either 100 ng/ml PMA and 5 µg/ml ionomycin (Sigma) or 1 ng/ml LPS (Sigma) for 3 </w:t>
      </w:r>
      <w:proofErr w:type="spellStart"/>
      <w:r w:rsidRPr="00856DB6">
        <w:rPr>
          <w:rFonts w:cs="Calibri"/>
          <w:lang w:val="en-US" w:eastAsia="de-DE"/>
        </w:rPr>
        <w:t>hrs</w:t>
      </w:r>
      <w:proofErr w:type="spellEnd"/>
      <w:r w:rsidRPr="00856DB6">
        <w:rPr>
          <w:rFonts w:cs="Calibri"/>
          <w:lang w:val="en-US" w:eastAsia="de-DE"/>
        </w:rPr>
        <w:t xml:space="preserve"> at 37°. After red cell lysis, mRNA was isolated with the </w:t>
      </w:r>
      <w:proofErr w:type="spellStart"/>
      <w:r w:rsidRPr="00856DB6">
        <w:rPr>
          <w:rFonts w:cs="Calibri"/>
          <w:lang w:val="en-US" w:eastAsia="de-DE"/>
        </w:rPr>
        <w:t>MagNA</w:t>
      </w:r>
      <w:proofErr w:type="spellEnd"/>
      <w:r w:rsidRPr="00856DB6">
        <w:rPr>
          <w:rFonts w:cs="Calibri"/>
          <w:lang w:val="en-US" w:eastAsia="de-DE"/>
        </w:rPr>
        <w:t xml:space="preserve">-Pure-LC device using the standard protocol for cells. mRNA was reverse-transcribed using avian </w:t>
      </w:r>
      <w:proofErr w:type="spellStart"/>
      <w:r w:rsidRPr="00856DB6">
        <w:rPr>
          <w:rFonts w:cs="Calibri"/>
          <w:lang w:val="en-US" w:eastAsia="de-DE"/>
        </w:rPr>
        <w:t>myeloblastosis</w:t>
      </w:r>
      <w:proofErr w:type="spellEnd"/>
      <w:r w:rsidRPr="00856DB6">
        <w:rPr>
          <w:rFonts w:cs="Calibri"/>
          <w:lang w:val="en-US" w:eastAsia="de-DE"/>
        </w:rPr>
        <w:t xml:space="preserve"> virus reverse-transcriptase and oligo-(dT) as a primer (First Strand cDNA synthesis kit; Roche Diagnostics) according to the manufacturer’s protocol in a thermocycler. After termination of the cDNA synthesis, the reaction mix was diluted to a final volume of 500 µL and stored at -20°C until analysis. Gene expression was quantified using real-time PCR with the </w:t>
      </w:r>
      <w:proofErr w:type="spellStart"/>
      <w:r w:rsidRPr="00856DB6">
        <w:rPr>
          <w:rFonts w:cs="Calibri"/>
          <w:lang w:val="en-US" w:eastAsia="de-DE"/>
        </w:rPr>
        <w:t>LightCycler</w:t>
      </w:r>
      <w:proofErr w:type="spellEnd"/>
      <w:r w:rsidRPr="00856DB6">
        <w:rPr>
          <w:rFonts w:cs="Calibri"/>
          <w:lang w:val="en-US" w:eastAsia="de-DE"/>
        </w:rPr>
        <w:t xml:space="preserve">. Target sequences were amplified using commercially available </w:t>
      </w:r>
      <w:proofErr w:type="spellStart"/>
      <w:r w:rsidRPr="00856DB6">
        <w:rPr>
          <w:rFonts w:cs="Calibri"/>
          <w:lang w:val="en-US" w:eastAsia="de-DE"/>
        </w:rPr>
        <w:t>LightCycler</w:t>
      </w:r>
      <w:proofErr w:type="spellEnd"/>
      <w:r w:rsidRPr="00856DB6">
        <w:rPr>
          <w:rFonts w:cs="Calibri"/>
          <w:lang w:val="en-US" w:eastAsia="de-DE"/>
        </w:rPr>
        <w:t xml:space="preserve"> Primer Sets (Search-LC, Heidelberg, Germany) with the </w:t>
      </w:r>
      <w:proofErr w:type="spellStart"/>
      <w:r w:rsidRPr="00856DB6">
        <w:rPr>
          <w:rFonts w:cs="Calibri"/>
          <w:lang w:val="en-US" w:eastAsia="de-DE"/>
        </w:rPr>
        <w:t>LightCycler</w:t>
      </w:r>
      <w:proofErr w:type="spellEnd"/>
      <w:r w:rsidRPr="00856DB6">
        <w:rPr>
          <w:rFonts w:cs="Calibri"/>
          <w:lang w:val="en-US" w:eastAsia="de-DE"/>
        </w:rPr>
        <w:t xml:space="preserve"> FastStart DNA </w:t>
      </w:r>
      <w:proofErr w:type="spellStart"/>
      <w:r w:rsidRPr="00856DB6">
        <w:rPr>
          <w:rFonts w:cs="Calibri"/>
          <w:lang w:val="en-US" w:eastAsia="de-DE"/>
        </w:rPr>
        <w:t>Sybr</w:t>
      </w:r>
      <w:proofErr w:type="spellEnd"/>
      <w:r w:rsidRPr="00856DB6">
        <w:rPr>
          <w:rFonts w:cs="Calibri"/>
          <w:lang w:val="en-US" w:eastAsia="de-DE"/>
        </w:rPr>
        <w:t xml:space="preserve"> Green I Kit (Roche Diagnostics) according to the manufacturer’s protocol. The transcript concentration for the measured genes was calculated from a virtual standard curve, obtained by plotting a known input concentration of a plasmid to the PCR cycle number at which the detected fluorescence intensity reaches a fixed value. mRNA input was normalized to the expression of the housekeeping gene PPIB (transcripts/1000 transcripts PPIB). </w:t>
      </w:r>
    </w:p>
    <w:p w14:paraId="0D1029A0" w14:textId="77777777" w:rsidR="00260E01" w:rsidRDefault="00260E01" w:rsidP="002777FF">
      <w:pPr>
        <w:spacing w:after="0"/>
        <w:jc w:val="both"/>
        <w:rPr>
          <w:rFonts w:cs="Calibri"/>
          <w:lang w:val="en-US" w:eastAsia="de-DE"/>
        </w:rPr>
      </w:pPr>
    </w:p>
    <w:p w14:paraId="58D707DC" w14:textId="77777777" w:rsidR="002777FF" w:rsidRDefault="002777FF" w:rsidP="002777FF">
      <w:pPr>
        <w:spacing w:after="0"/>
        <w:jc w:val="both"/>
        <w:rPr>
          <w:rFonts w:cs="Calibri"/>
          <w:lang w:val="en-US" w:eastAsia="de-DE"/>
        </w:rPr>
      </w:pPr>
    </w:p>
    <w:p w14:paraId="029378CF" w14:textId="48F8705E" w:rsidR="00894A21" w:rsidRPr="00B513FE" w:rsidRDefault="00894A21" w:rsidP="001F0A7E">
      <w:pPr>
        <w:jc w:val="both"/>
        <w:rPr>
          <w:b/>
          <w:sz w:val="24"/>
          <w:szCs w:val="24"/>
          <w:u w:val="single"/>
          <w:lang w:val="en-US"/>
        </w:rPr>
      </w:pPr>
      <w:r w:rsidRPr="00B513FE">
        <w:rPr>
          <w:b/>
          <w:sz w:val="24"/>
          <w:szCs w:val="24"/>
          <w:u w:val="single"/>
          <w:lang w:val="en-US"/>
        </w:rPr>
        <w:t>Figure Legend:</w:t>
      </w:r>
    </w:p>
    <w:p w14:paraId="452CBA28" w14:textId="1A1DAD58" w:rsidR="00894A21" w:rsidRPr="00894A21" w:rsidRDefault="00C80437" w:rsidP="008B4C73">
      <w:pPr>
        <w:tabs>
          <w:tab w:val="left" w:pos="993"/>
          <w:tab w:val="left" w:pos="1276"/>
        </w:tabs>
        <w:jc w:val="both"/>
        <w:rPr>
          <w:lang w:val="en-US"/>
        </w:rPr>
      </w:pPr>
      <w:r>
        <w:rPr>
          <w:lang w:val="en-US"/>
        </w:rPr>
        <w:t>E-Supplement-</w:t>
      </w:r>
      <w:r w:rsidR="00894A21" w:rsidRPr="00894A21">
        <w:rPr>
          <w:lang w:val="en-US"/>
        </w:rPr>
        <w:t xml:space="preserve">Figure </w:t>
      </w:r>
      <w:r>
        <w:rPr>
          <w:lang w:val="en-US"/>
        </w:rPr>
        <w:t>1</w:t>
      </w:r>
      <w:r w:rsidR="00681F0F">
        <w:rPr>
          <w:lang w:val="en-US"/>
        </w:rPr>
        <w:t>a</w:t>
      </w:r>
      <w:r w:rsidR="00894A21" w:rsidRPr="00894A21">
        <w:rPr>
          <w:lang w:val="en-US"/>
        </w:rPr>
        <w:t>:</w:t>
      </w:r>
      <w:r>
        <w:rPr>
          <w:lang w:val="en-US"/>
        </w:rPr>
        <w:t xml:space="preserve"> </w:t>
      </w:r>
      <w:r w:rsidR="00894A21" w:rsidRPr="00894A21">
        <w:rPr>
          <w:lang w:val="en-US"/>
        </w:rPr>
        <w:t>Immunophenotyping</w:t>
      </w:r>
      <w:r w:rsidR="00561E7F">
        <w:rPr>
          <w:lang w:val="en-US"/>
        </w:rPr>
        <w:t xml:space="preserve"> -</w:t>
      </w:r>
      <w:r w:rsidR="00894A21">
        <w:rPr>
          <w:lang w:val="en-US"/>
        </w:rPr>
        <w:t xml:space="preserve"> E</w:t>
      </w:r>
      <w:r w:rsidR="00894A21" w:rsidRPr="00DF0158">
        <w:rPr>
          <w:rFonts w:asciiTheme="majorHAnsi" w:hAnsiTheme="majorHAnsi"/>
          <w:lang w:val="en-US"/>
        </w:rPr>
        <w:t>xpression of inflammatory cytokines was severely impaired</w:t>
      </w:r>
      <w:r w:rsidR="00894A21">
        <w:rPr>
          <w:rFonts w:asciiTheme="majorHAnsi" w:hAnsiTheme="majorHAnsi"/>
          <w:lang w:val="en-US"/>
        </w:rPr>
        <w:t>.</w:t>
      </w:r>
    </w:p>
    <w:p w14:paraId="21F54580" w14:textId="5676814D" w:rsidR="00894A21" w:rsidRDefault="00C80437" w:rsidP="008B4C73">
      <w:pPr>
        <w:tabs>
          <w:tab w:val="left" w:pos="993"/>
          <w:tab w:val="left" w:pos="1276"/>
        </w:tabs>
        <w:jc w:val="both"/>
        <w:rPr>
          <w:rFonts w:asciiTheme="majorHAnsi" w:hAnsiTheme="majorHAnsi"/>
          <w:lang w:val="en-US"/>
        </w:rPr>
      </w:pPr>
      <w:r>
        <w:rPr>
          <w:lang w:val="en-US"/>
        </w:rPr>
        <w:t>E-Supplement-Figure 2</w:t>
      </w:r>
      <w:r w:rsidR="00681F0F">
        <w:rPr>
          <w:lang w:val="en-US"/>
        </w:rPr>
        <w:t>b</w:t>
      </w:r>
      <w:r w:rsidR="00894A21" w:rsidRPr="00894A21">
        <w:rPr>
          <w:lang w:val="en-US"/>
        </w:rPr>
        <w:t>:</w:t>
      </w:r>
      <w:r>
        <w:rPr>
          <w:lang w:val="en-US"/>
        </w:rPr>
        <w:t xml:space="preserve">  </w:t>
      </w:r>
      <w:r w:rsidR="00894A21" w:rsidRPr="00894A21">
        <w:rPr>
          <w:lang w:val="en-US"/>
        </w:rPr>
        <w:t>Immunophenotyping</w:t>
      </w:r>
      <w:r w:rsidR="00561E7F">
        <w:rPr>
          <w:lang w:val="en-US"/>
        </w:rPr>
        <w:t xml:space="preserve"> -</w:t>
      </w:r>
      <w:r w:rsidR="00894A21" w:rsidRPr="00894A21">
        <w:rPr>
          <w:lang w:val="en-US"/>
        </w:rPr>
        <w:t xml:space="preserve"> </w:t>
      </w:r>
      <w:r w:rsidR="00894A21">
        <w:rPr>
          <w:lang w:val="en-US"/>
        </w:rPr>
        <w:t>E</w:t>
      </w:r>
      <w:r w:rsidR="00894A21" w:rsidRPr="00DF0158">
        <w:rPr>
          <w:rFonts w:asciiTheme="majorHAnsi" w:hAnsiTheme="majorHAnsi"/>
          <w:lang w:val="en-US"/>
        </w:rPr>
        <w:t>xpression of IL17 and IL22 genes was only slightly reduced</w:t>
      </w:r>
      <w:r w:rsidR="00894A21">
        <w:rPr>
          <w:rFonts w:asciiTheme="majorHAnsi" w:hAnsiTheme="majorHAnsi"/>
          <w:lang w:val="en-US"/>
        </w:rPr>
        <w:t>.</w:t>
      </w:r>
    </w:p>
    <w:p w14:paraId="55B64681" w14:textId="1B4B3D71" w:rsidR="00427D5D" w:rsidRDefault="00427D5D">
      <w:pPr>
        <w:spacing w:after="0" w:line="240" w:lineRule="auto"/>
        <w:rPr>
          <w:rFonts w:asciiTheme="majorHAnsi" w:hAnsiTheme="majorHAnsi"/>
          <w:lang w:val="en-US"/>
        </w:rPr>
      </w:pPr>
    </w:p>
    <w:p w14:paraId="3080E30E" w14:textId="77777777" w:rsidR="00C80437" w:rsidRDefault="00C80437">
      <w:pPr>
        <w:spacing w:after="0" w:line="240" w:lineRule="auto"/>
        <w:rPr>
          <w:rFonts w:asciiTheme="majorHAnsi" w:hAnsiTheme="majorHAnsi"/>
          <w:lang w:val="en-US"/>
        </w:rPr>
      </w:pPr>
    </w:p>
    <w:p w14:paraId="5B93631B" w14:textId="77777777" w:rsidR="00C80437" w:rsidRDefault="00C80437">
      <w:pPr>
        <w:spacing w:after="0" w:line="240" w:lineRule="auto"/>
        <w:rPr>
          <w:rFonts w:asciiTheme="majorHAnsi" w:hAnsiTheme="majorHAnsi"/>
          <w:lang w:val="en-US"/>
        </w:rPr>
      </w:pPr>
    </w:p>
    <w:p w14:paraId="404DE68A" w14:textId="77777777" w:rsidR="00C80437" w:rsidRDefault="00C80437">
      <w:pPr>
        <w:spacing w:after="0" w:line="240" w:lineRule="auto"/>
        <w:rPr>
          <w:rFonts w:asciiTheme="majorHAnsi" w:hAnsiTheme="majorHAnsi"/>
          <w:lang w:val="en-US"/>
        </w:rPr>
      </w:pPr>
    </w:p>
    <w:p w14:paraId="5AAF4DD8" w14:textId="7821CC97" w:rsidR="00427D5D" w:rsidRDefault="00C80437" w:rsidP="00427D5D">
      <w:pPr>
        <w:tabs>
          <w:tab w:val="left" w:pos="993"/>
          <w:tab w:val="left" w:pos="1276"/>
        </w:tabs>
        <w:jc w:val="both"/>
        <w:rPr>
          <w:lang w:val="en-US"/>
        </w:rPr>
      </w:pPr>
      <w:r>
        <w:rPr>
          <w:lang w:val="en-US"/>
        </w:rPr>
        <w:lastRenderedPageBreak/>
        <w:t>E-Supplement-</w:t>
      </w:r>
      <w:r w:rsidR="00427D5D">
        <w:rPr>
          <w:lang w:val="en-US"/>
        </w:rPr>
        <w:t xml:space="preserve">Figure </w:t>
      </w:r>
      <w:r>
        <w:rPr>
          <w:lang w:val="en-US"/>
        </w:rPr>
        <w:t>1</w:t>
      </w:r>
      <w:r w:rsidR="00427D5D">
        <w:rPr>
          <w:lang w:val="en-US"/>
        </w:rPr>
        <w:t>a</w:t>
      </w:r>
    </w:p>
    <w:p w14:paraId="07F1AE1B" w14:textId="6699BBE4" w:rsidR="00427D5D" w:rsidRDefault="00427D5D" w:rsidP="00427D5D">
      <w:pPr>
        <w:tabs>
          <w:tab w:val="left" w:pos="993"/>
          <w:tab w:val="left" w:pos="1276"/>
        </w:tabs>
        <w:jc w:val="both"/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32CA0713" wp14:editId="4AA2BA75">
            <wp:extent cx="6116320" cy="362204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3a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6DED3" w14:textId="5FD7EEDF" w:rsidR="00427D5D" w:rsidRDefault="00427D5D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195C2BF4" w14:textId="0BAEFA38" w:rsidR="00427D5D" w:rsidRDefault="00C80437" w:rsidP="00427D5D">
      <w:pPr>
        <w:tabs>
          <w:tab w:val="left" w:pos="993"/>
          <w:tab w:val="left" w:pos="1276"/>
        </w:tabs>
        <w:jc w:val="both"/>
        <w:rPr>
          <w:lang w:val="en-US"/>
        </w:rPr>
      </w:pPr>
      <w:r>
        <w:rPr>
          <w:lang w:val="en-US"/>
        </w:rPr>
        <w:lastRenderedPageBreak/>
        <w:t>E-Supplement-Figure 1</w:t>
      </w:r>
      <w:r w:rsidR="00427D5D">
        <w:rPr>
          <w:lang w:val="en-US"/>
        </w:rPr>
        <w:t>b</w:t>
      </w:r>
    </w:p>
    <w:p w14:paraId="79F3CF14" w14:textId="39A139DA" w:rsidR="00427D5D" w:rsidRDefault="00427D5D" w:rsidP="008B4C73">
      <w:pPr>
        <w:tabs>
          <w:tab w:val="left" w:pos="993"/>
          <w:tab w:val="left" w:pos="1276"/>
        </w:tabs>
        <w:jc w:val="both"/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79353071" wp14:editId="64D70B90">
            <wp:extent cx="6116320" cy="362204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3b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37399" w14:textId="77777777" w:rsidR="00427D5D" w:rsidRDefault="00427D5D" w:rsidP="008B4C73">
      <w:pPr>
        <w:tabs>
          <w:tab w:val="left" w:pos="993"/>
          <w:tab w:val="left" w:pos="1276"/>
        </w:tabs>
        <w:jc w:val="both"/>
        <w:rPr>
          <w:lang w:val="en-US"/>
        </w:rPr>
      </w:pPr>
    </w:p>
    <w:p w14:paraId="1D537646" w14:textId="77777777" w:rsidR="00427D5D" w:rsidRDefault="00427D5D" w:rsidP="008B4C73">
      <w:pPr>
        <w:tabs>
          <w:tab w:val="left" w:pos="993"/>
          <w:tab w:val="left" w:pos="1276"/>
        </w:tabs>
        <w:jc w:val="both"/>
        <w:rPr>
          <w:lang w:val="en-US"/>
        </w:rPr>
      </w:pPr>
    </w:p>
    <w:p w14:paraId="25ED2011" w14:textId="77777777" w:rsidR="00427D5D" w:rsidRPr="00894A21" w:rsidRDefault="00427D5D" w:rsidP="008B4C73">
      <w:pPr>
        <w:tabs>
          <w:tab w:val="left" w:pos="993"/>
          <w:tab w:val="left" w:pos="1276"/>
        </w:tabs>
        <w:jc w:val="both"/>
        <w:rPr>
          <w:lang w:val="en-US"/>
        </w:rPr>
      </w:pPr>
    </w:p>
    <w:sectPr w:rsidR="00427D5D" w:rsidRPr="00894A21" w:rsidSect="00C77899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EDD"/>
    <w:multiLevelType w:val="hybridMultilevel"/>
    <w:tmpl w:val="9B4C46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7A47"/>
    <w:multiLevelType w:val="hybridMultilevel"/>
    <w:tmpl w:val="5C0A537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C1EC2"/>
    <w:multiLevelType w:val="hybridMultilevel"/>
    <w:tmpl w:val="654C7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6EC6"/>
    <w:multiLevelType w:val="hybridMultilevel"/>
    <w:tmpl w:val="DA322A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3DFF"/>
    <w:multiLevelType w:val="hybridMultilevel"/>
    <w:tmpl w:val="0226B0F2"/>
    <w:lvl w:ilvl="0" w:tplc="82102F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910F1"/>
    <w:multiLevelType w:val="hybridMultilevel"/>
    <w:tmpl w:val="E2A2E25E"/>
    <w:lvl w:ilvl="0" w:tplc="A3BE3B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0E"/>
    <w:rsid w:val="000042C8"/>
    <w:rsid w:val="00006502"/>
    <w:rsid w:val="00021F80"/>
    <w:rsid w:val="00040BBA"/>
    <w:rsid w:val="00047065"/>
    <w:rsid w:val="000478E9"/>
    <w:rsid w:val="00047ADC"/>
    <w:rsid w:val="00096C0E"/>
    <w:rsid w:val="000A67A1"/>
    <w:rsid w:val="000A74F5"/>
    <w:rsid w:val="000B1E38"/>
    <w:rsid w:val="000B4922"/>
    <w:rsid w:val="000C117A"/>
    <w:rsid w:val="000D2741"/>
    <w:rsid w:val="000E5E4B"/>
    <w:rsid w:val="000F0D60"/>
    <w:rsid w:val="00103E4E"/>
    <w:rsid w:val="001079B7"/>
    <w:rsid w:val="001129B5"/>
    <w:rsid w:val="00125304"/>
    <w:rsid w:val="00137F42"/>
    <w:rsid w:val="0014250D"/>
    <w:rsid w:val="00184551"/>
    <w:rsid w:val="00197014"/>
    <w:rsid w:val="001B1961"/>
    <w:rsid w:val="001B638F"/>
    <w:rsid w:val="001B73D0"/>
    <w:rsid w:val="001C6CBA"/>
    <w:rsid w:val="001C72B3"/>
    <w:rsid w:val="001D6230"/>
    <w:rsid w:val="001D70C8"/>
    <w:rsid w:val="001F0A7E"/>
    <w:rsid w:val="001F79C5"/>
    <w:rsid w:val="00202A48"/>
    <w:rsid w:val="0020379F"/>
    <w:rsid w:val="00204984"/>
    <w:rsid w:val="002107D8"/>
    <w:rsid w:val="00213FAD"/>
    <w:rsid w:val="00257CA6"/>
    <w:rsid w:val="00260E01"/>
    <w:rsid w:val="00261FC2"/>
    <w:rsid w:val="00273BFE"/>
    <w:rsid w:val="002777FF"/>
    <w:rsid w:val="00282B40"/>
    <w:rsid w:val="002913BE"/>
    <w:rsid w:val="00295A90"/>
    <w:rsid w:val="002A66D5"/>
    <w:rsid w:val="002B02EB"/>
    <w:rsid w:val="002B6777"/>
    <w:rsid w:val="002D03DE"/>
    <w:rsid w:val="002D6222"/>
    <w:rsid w:val="002D66F7"/>
    <w:rsid w:val="002E42AF"/>
    <w:rsid w:val="002F1F76"/>
    <w:rsid w:val="002F379E"/>
    <w:rsid w:val="002F51F0"/>
    <w:rsid w:val="00304222"/>
    <w:rsid w:val="00305D15"/>
    <w:rsid w:val="00315D7F"/>
    <w:rsid w:val="00324C3A"/>
    <w:rsid w:val="0033121A"/>
    <w:rsid w:val="0035205F"/>
    <w:rsid w:val="00360B76"/>
    <w:rsid w:val="00377700"/>
    <w:rsid w:val="00381179"/>
    <w:rsid w:val="003A1C3E"/>
    <w:rsid w:val="003A37ED"/>
    <w:rsid w:val="003A3E4E"/>
    <w:rsid w:val="003D6B4D"/>
    <w:rsid w:val="003F50A8"/>
    <w:rsid w:val="003F5F64"/>
    <w:rsid w:val="00404EAB"/>
    <w:rsid w:val="00427D5D"/>
    <w:rsid w:val="004451F6"/>
    <w:rsid w:val="0045167E"/>
    <w:rsid w:val="004630DB"/>
    <w:rsid w:val="0046645D"/>
    <w:rsid w:val="00470527"/>
    <w:rsid w:val="00470A32"/>
    <w:rsid w:val="00471B63"/>
    <w:rsid w:val="00487B00"/>
    <w:rsid w:val="0049167A"/>
    <w:rsid w:val="0049255C"/>
    <w:rsid w:val="00492C86"/>
    <w:rsid w:val="00492E74"/>
    <w:rsid w:val="004A322B"/>
    <w:rsid w:val="004A7E84"/>
    <w:rsid w:val="004F48CA"/>
    <w:rsid w:val="00504748"/>
    <w:rsid w:val="00512256"/>
    <w:rsid w:val="00515BB4"/>
    <w:rsid w:val="005167C0"/>
    <w:rsid w:val="005269FF"/>
    <w:rsid w:val="00527C60"/>
    <w:rsid w:val="00535E3E"/>
    <w:rsid w:val="00550B07"/>
    <w:rsid w:val="00552DEB"/>
    <w:rsid w:val="00557A2A"/>
    <w:rsid w:val="00561E7F"/>
    <w:rsid w:val="00563383"/>
    <w:rsid w:val="00567A6B"/>
    <w:rsid w:val="00574D88"/>
    <w:rsid w:val="005766AB"/>
    <w:rsid w:val="005A1573"/>
    <w:rsid w:val="005C4852"/>
    <w:rsid w:val="005C4F31"/>
    <w:rsid w:val="005D10CB"/>
    <w:rsid w:val="005E298D"/>
    <w:rsid w:val="005E7F17"/>
    <w:rsid w:val="005F471B"/>
    <w:rsid w:val="00621540"/>
    <w:rsid w:val="006366BA"/>
    <w:rsid w:val="006415B6"/>
    <w:rsid w:val="00644728"/>
    <w:rsid w:val="0065095D"/>
    <w:rsid w:val="00651C78"/>
    <w:rsid w:val="00651CCB"/>
    <w:rsid w:val="00655ED9"/>
    <w:rsid w:val="00657B3F"/>
    <w:rsid w:val="00672DB9"/>
    <w:rsid w:val="00673418"/>
    <w:rsid w:val="006743F0"/>
    <w:rsid w:val="00681F0F"/>
    <w:rsid w:val="006914DF"/>
    <w:rsid w:val="0069786E"/>
    <w:rsid w:val="00697CAE"/>
    <w:rsid w:val="006A3A0A"/>
    <w:rsid w:val="006C1745"/>
    <w:rsid w:val="006C7C66"/>
    <w:rsid w:val="006D7797"/>
    <w:rsid w:val="006E5DD2"/>
    <w:rsid w:val="006E5DF9"/>
    <w:rsid w:val="006F297A"/>
    <w:rsid w:val="006F69B6"/>
    <w:rsid w:val="00704B56"/>
    <w:rsid w:val="007210DF"/>
    <w:rsid w:val="007425BE"/>
    <w:rsid w:val="00743378"/>
    <w:rsid w:val="00755461"/>
    <w:rsid w:val="00766424"/>
    <w:rsid w:val="00794A39"/>
    <w:rsid w:val="007B2FC6"/>
    <w:rsid w:val="007B48D7"/>
    <w:rsid w:val="007C7D6B"/>
    <w:rsid w:val="007E2F7F"/>
    <w:rsid w:val="007F1BB3"/>
    <w:rsid w:val="007F3DA0"/>
    <w:rsid w:val="007F5388"/>
    <w:rsid w:val="0081522B"/>
    <w:rsid w:val="00831D13"/>
    <w:rsid w:val="008369C9"/>
    <w:rsid w:val="0085207B"/>
    <w:rsid w:val="00852ABB"/>
    <w:rsid w:val="00856DB6"/>
    <w:rsid w:val="00861661"/>
    <w:rsid w:val="00866FDD"/>
    <w:rsid w:val="00887F42"/>
    <w:rsid w:val="00894A21"/>
    <w:rsid w:val="00895DDD"/>
    <w:rsid w:val="008A1959"/>
    <w:rsid w:val="008B4C73"/>
    <w:rsid w:val="008C6600"/>
    <w:rsid w:val="008E777E"/>
    <w:rsid w:val="00910FE1"/>
    <w:rsid w:val="00911B6A"/>
    <w:rsid w:val="009153F3"/>
    <w:rsid w:val="009166C4"/>
    <w:rsid w:val="00923B1B"/>
    <w:rsid w:val="0093033C"/>
    <w:rsid w:val="00931EC0"/>
    <w:rsid w:val="00953A65"/>
    <w:rsid w:val="009738D7"/>
    <w:rsid w:val="00976E2F"/>
    <w:rsid w:val="00980054"/>
    <w:rsid w:val="009928C5"/>
    <w:rsid w:val="00993D8E"/>
    <w:rsid w:val="009B2FDF"/>
    <w:rsid w:val="009C572E"/>
    <w:rsid w:val="009F0C8E"/>
    <w:rsid w:val="00A022D2"/>
    <w:rsid w:val="00A1381A"/>
    <w:rsid w:val="00A1540D"/>
    <w:rsid w:val="00A46033"/>
    <w:rsid w:val="00A611F0"/>
    <w:rsid w:val="00A65ABF"/>
    <w:rsid w:val="00A717FC"/>
    <w:rsid w:val="00A81862"/>
    <w:rsid w:val="00A907A9"/>
    <w:rsid w:val="00A92593"/>
    <w:rsid w:val="00A926D5"/>
    <w:rsid w:val="00A944DF"/>
    <w:rsid w:val="00AA6F82"/>
    <w:rsid w:val="00AC3E5B"/>
    <w:rsid w:val="00AC6C03"/>
    <w:rsid w:val="00AC7828"/>
    <w:rsid w:val="00AD64CC"/>
    <w:rsid w:val="00AE3F70"/>
    <w:rsid w:val="00AF68B4"/>
    <w:rsid w:val="00B05F18"/>
    <w:rsid w:val="00B12E20"/>
    <w:rsid w:val="00B1638F"/>
    <w:rsid w:val="00B24A0C"/>
    <w:rsid w:val="00B467C3"/>
    <w:rsid w:val="00B513FE"/>
    <w:rsid w:val="00B5750E"/>
    <w:rsid w:val="00B728B9"/>
    <w:rsid w:val="00B74365"/>
    <w:rsid w:val="00B81664"/>
    <w:rsid w:val="00BA3A48"/>
    <w:rsid w:val="00BC4D78"/>
    <w:rsid w:val="00BD7333"/>
    <w:rsid w:val="00BE040B"/>
    <w:rsid w:val="00BE230E"/>
    <w:rsid w:val="00BE68BE"/>
    <w:rsid w:val="00BF3D53"/>
    <w:rsid w:val="00C070A4"/>
    <w:rsid w:val="00C30ED3"/>
    <w:rsid w:val="00C53A85"/>
    <w:rsid w:val="00C77899"/>
    <w:rsid w:val="00C7791C"/>
    <w:rsid w:val="00C80437"/>
    <w:rsid w:val="00C94500"/>
    <w:rsid w:val="00CA739C"/>
    <w:rsid w:val="00CB5BBB"/>
    <w:rsid w:val="00CE6E41"/>
    <w:rsid w:val="00D152EF"/>
    <w:rsid w:val="00D1553D"/>
    <w:rsid w:val="00D461A2"/>
    <w:rsid w:val="00D47892"/>
    <w:rsid w:val="00D66A2C"/>
    <w:rsid w:val="00D741FE"/>
    <w:rsid w:val="00D95108"/>
    <w:rsid w:val="00D95D3E"/>
    <w:rsid w:val="00DA29A5"/>
    <w:rsid w:val="00DC0DA3"/>
    <w:rsid w:val="00DD1BF9"/>
    <w:rsid w:val="00DD24C1"/>
    <w:rsid w:val="00DE13E5"/>
    <w:rsid w:val="00DF0591"/>
    <w:rsid w:val="00DF51DB"/>
    <w:rsid w:val="00E0623E"/>
    <w:rsid w:val="00E159F0"/>
    <w:rsid w:val="00E37C42"/>
    <w:rsid w:val="00E50BA9"/>
    <w:rsid w:val="00E56835"/>
    <w:rsid w:val="00E57B2D"/>
    <w:rsid w:val="00E700CD"/>
    <w:rsid w:val="00E8621A"/>
    <w:rsid w:val="00E9013F"/>
    <w:rsid w:val="00EA4476"/>
    <w:rsid w:val="00EA65D0"/>
    <w:rsid w:val="00ED3006"/>
    <w:rsid w:val="00ED4A0C"/>
    <w:rsid w:val="00EE21FE"/>
    <w:rsid w:val="00EE2D0C"/>
    <w:rsid w:val="00EE76BC"/>
    <w:rsid w:val="00EF16BA"/>
    <w:rsid w:val="00EF4C90"/>
    <w:rsid w:val="00F06A64"/>
    <w:rsid w:val="00F1345C"/>
    <w:rsid w:val="00F258E6"/>
    <w:rsid w:val="00F3188B"/>
    <w:rsid w:val="00F46C34"/>
    <w:rsid w:val="00F759EF"/>
    <w:rsid w:val="00F85851"/>
    <w:rsid w:val="00FB4F1F"/>
    <w:rsid w:val="00FB6C37"/>
    <w:rsid w:val="00FF5C6D"/>
    <w:rsid w:val="00FF68EA"/>
    <w:rsid w:val="00FF75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C829D"/>
  <w15:docId w15:val="{E4F520F9-6D65-4219-B02C-E237A2D2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C0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6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72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563383"/>
  </w:style>
  <w:style w:type="character" w:styleId="Fett">
    <w:name w:val="Strong"/>
    <w:basedOn w:val="Absatz-Standardschriftart"/>
    <w:uiPriority w:val="22"/>
    <w:qFormat/>
    <w:rsid w:val="00B24A0C"/>
    <w:rPr>
      <w:b/>
      <w:bCs/>
    </w:rPr>
  </w:style>
  <w:style w:type="paragraph" w:styleId="Listenabsatz">
    <w:name w:val="List Paragraph"/>
    <w:basedOn w:val="Standard"/>
    <w:uiPriority w:val="34"/>
    <w:qFormat/>
    <w:rsid w:val="00260E01"/>
    <w:pPr>
      <w:ind w:left="720"/>
      <w:contextualSpacing/>
    </w:pPr>
  </w:style>
  <w:style w:type="character" w:styleId="Hyperlink">
    <w:name w:val="Hyperlink"/>
    <w:uiPriority w:val="99"/>
    <w:unhideWhenUsed/>
    <w:rsid w:val="00EA65D0"/>
    <w:rPr>
      <w:color w:val="0000FF"/>
      <w:u w:val="single"/>
    </w:rPr>
  </w:style>
  <w:style w:type="character" w:customStyle="1" w:styleId="A3">
    <w:name w:val="A3"/>
    <w:uiPriority w:val="99"/>
    <w:rsid w:val="00EA65D0"/>
    <w:rPr>
      <w:rFonts w:cs="Myriad Pro SemiCond"/>
      <w:b/>
      <w:bCs/>
      <w:color w:val="000000"/>
      <w:sz w:val="52"/>
      <w:szCs w:val="52"/>
    </w:rPr>
  </w:style>
  <w:style w:type="character" w:customStyle="1" w:styleId="highlight">
    <w:name w:val="highlight"/>
    <w:basedOn w:val="Absatz-Standardschriftart"/>
    <w:rsid w:val="00EA65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9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95D"/>
    <w:rPr>
      <w:rFonts w:ascii="Lucida Grande" w:eastAsia="Times New Roman" w:hAnsi="Lucida Grande" w:cs="Lucida Grande"/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856DB6"/>
    <w:rPr>
      <w:rFonts w:ascii="Calibri" w:eastAsia="Times New Roman" w:hAnsi="Calibri" w:cs="Times New Roman"/>
      <w:sz w:val="22"/>
      <w:szCs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0B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0B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0B76"/>
    <w:rPr>
      <w:rFonts w:ascii="Calibri" w:eastAsia="Times New Roman" w:hAnsi="Calibri" w:cs="Times New Roman"/>
      <w:sz w:val="20"/>
      <w:szCs w:val="20"/>
      <w:lang w:val="de-DE"/>
    </w:rPr>
  </w:style>
  <w:style w:type="paragraph" w:styleId="Literaturverzeichnis">
    <w:name w:val="Bibliography"/>
    <w:basedOn w:val="Standard"/>
    <w:next w:val="Standard"/>
    <w:uiPriority w:val="37"/>
    <w:unhideWhenUsed/>
    <w:rsid w:val="00AA6F82"/>
  </w:style>
  <w:style w:type="character" w:customStyle="1" w:styleId="berschrift1Zchn">
    <w:name w:val="Überschrift 1 Zchn"/>
    <w:basedOn w:val="Absatz-Standardschriftart"/>
    <w:link w:val="berschrift1"/>
    <w:uiPriority w:val="9"/>
    <w:rsid w:val="00AA6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5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5B6"/>
    <w:rPr>
      <w:rFonts w:ascii="Calibri" w:eastAsia="Times New Roman" w:hAnsi="Calibri" w:cs="Times New Roman"/>
      <w:b/>
      <w:bCs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qFormat/>
    <w:rsid w:val="0093033C"/>
    <w:rPr>
      <w:b/>
      <w:bCs/>
      <w:smallCaps/>
      <w:color w:val="C0504D" w:themeColor="accent2"/>
      <w:spacing w:val="5"/>
      <w:u w:val="single"/>
    </w:rPr>
  </w:style>
  <w:style w:type="character" w:customStyle="1" w:styleId="shorttext">
    <w:name w:val="short_text"/>
    <w:basedOn w:val="Absatz-Standardschriftart"/>
    <w:rsid w:val="00BA3A48"/>
  </w:style>
  <w:style w:type="paragraph" w:styleId="Textkrper">
    <w:name w:val="Body Text"/>
    <w:basedOn w:val="Standard"/>
    <w:link w:val="TextkrperZchn"/>
    <w:uiPriority w:val="99"/>
    <w:semiHidden/>
    <w:unhideWhenUsed/>
    <w:rsid w:val="007B48D7"/>
    <w:pPr>
      <w:spacing w:after="0" w:line="240" w:lineRule="auto"/>
      <w:jc w:val="both"/>
    </w:pPr>
    <w:rPr>
      <w:rFonts w:ascii="Times New Roman" w:hAnsi="Times New Roman"/>
      <w:sz w:val="24"/>
      <w:szCs w:val="20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B48D7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72B3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1C7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tyles" Target="styles.xml"/><Relationship Id="rId7" Type="http://schemas.openxmlformats.org/officeDocument/2006/relationships/image" Target="media/image1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bs.knaw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>
  <b:Source>
    <b:Tag>Vin</b:Tag>
    <b:SourceType>ArticleInAPeriodical</b:SourceType>
    <b:Guid>{453C612C-0FDE-41D1-8361-9BB30CD1C774}</b:Guid>
    <b:Author>
      <b:Author>
        <b:NameList>
          <b:Person>
            <b:Last>Vinh DC</b:Last>
            <b:First>Patel</b:First>
            <b:Middle>SY, Uzel G, et al.</b:Middle>
          </b:Person>
        </b:NameList>
      </b:Author>
    </b:Author>
    <b:Title>Autosomal dominant and sporadic monocytopenia with susceptibility to mycobacteria, fungi, papillomaviruses, and myelodysplasia</b:Title>
    <b:PeriodicalTitle>Blood 2010 Feb 25; 115(8):1519-29. Epub 2009 Dec 29</b:PeriodicalTitle>
    <b:RefOrder>2</b:RefOrder>
  </b:Source>
  <b:Source>
    <b:Tag>Cal</b:Tag>
    <b:SourceType>ArticleInAPeriodical</b:SourceType>
    <b:Guid>{9B2F28EC-BAF1-4549-BFFB-D81E672A91F4}</b:Guid>
    <b:Author>
      <b:Author>
        <b:NameList>
          <b:Person>
            <b:Last>Calvo KR</b:Last>
            <b:First>Vinh</b:First>
            <b:Middle>DC, Maric I, Wang W, Noel P, Stetler-Stevenson M, Arthur DC, Raffeld M, Dutra A, Pak E, Myung K, Hsu AP, Hickstein DD, Pittaluga S, Holland SM</b:Middle>
          </b:Person>
        </b:NameList>
      </b:Author>
    </b:Author>
    <b:Title>Myelodysplasia in autosomal dominant and sporadic monocytopenia immunodeficiency syndrome: diagnostic features and clinical implications</b:Title>
    <b:PeriodicalTitle>Haematologica 96:1221-5</b:PeriodicalTitle>
    <b:RefOrder>6</b:RefOrder>
  </b:Source>
  <b:Source>
    <b:Tag>Cue</b:Tag>
    <b:SourceType>ArticleInAPeriodical</b:SourceType>
    <b:Guid>{668CE32F-3F34-4E7A-A316-3FCE99B799F9}</b:Guid>
    <b:Author>
      <b:Author>
        <b:NameList>
          <b:Person>
            <b:Last>Cuellar-Rodriguez J</b:Last>
            <b:First>Gea-Banacloche</b:First>
            <b:Middle>J, Freeman AF, et al.</b:Middle>
          </b:Person>
        </b:NameList>
      </b:Author>
    </b:Author>
    <b:Title>Successful allogeneic hematopoietic stem cell transplantation for GATA2 deficiency</b:Title>
    <b:PeriodicalTitle>Blood 2011 Sep 29; 118(13):3715-20. Epub 2011 Aug 3</b:PeriodicalTitle>
    <b:RefOrder>26</b:RefOrder>
  </b:Source>
  <b:Source>
    <b:Tag>Hsu</b:Tag>
    <b:SourceType>ArticleInAPeriodical</b:SourceType>
    <b:Guid>{417A6520-AD03-4456-BD53-E34E3DCAE075}</b:Guid>
    <b:Author>
      <b:Author>
        <b:NameList>
          <b:Person>
            <b:Last>Hsu AP</b:Last>
            <b:First>Sampaio</b:First>
            <b:Middle>EP, Khan J, Calvo KR, et al.</b:Middle>
          </b:Person>
        </b:NameList>
      </b:Author>
    </b:Author>
    <b:Title>Mutations in GATA2 are associated with the autosomal dominant and sporadic monocytopenia and mycobacterial infection (MonoMAC) syndrom</b:Title>
    <b:PeriodicalTitle>Blood 118:2653-5</b:PeriodicalTitle>
    <b:RefOrder>3</b:RefOrder>
  </b:Source>
  <b:Source>
    <b:Tag>Dic</b:Tag>
    <b:SourceType>ArticleInAPeriodical</b:SourceType>
    <b:Guid>{C19F949F-6E13-454F-BCCA-0197B009B27E}</b:Guid>
    <b:Author>
      <b:Author>
        <b:NameList>
          <b:Person>
            <b:Last>Dickinson RE</b:Last>
            <b:First>Griffin</b:First>
            <b:Middle>H, Bigley V, et al.</b:Middle>
          </b:Person>
        </b:NameList>
      </b:Author>
    </b:Author>
    <b:Title>Exome sequencing identifies GATA-2 mutation as the cause of dendritic cell, monocyte, B and NK lymphoid deficiency</b:Title>
    <b:PeriodicalTitle>Blood 2011 Sep 8; 118(10):2656-8. Epub 2011 Jul 15.</b:PeriodicalTitle>
    <b:RefOrder>24</b:RefOrder>
  </b:Source>
  <b:Source>
    <b:Tag>Sel</b:Tag>
    <b:SourceType>ArticleInAPeriodical</b:SourceType>
    <b:Guid>{7BCDBA1F-2A7C-4344-B0A5-6508762A88E9}</b:Guid>
    <b:Author>
      <b:Author>
        <b:NameList>
          <b:Person>
            <b:Last>Selvarangan R</b:Last>
            <b:First>Wu</b:First>
            <b:Middle>WK, Nguyen TT, et al.</b:Middle>
          </b:Person>
        </b:NameList>
      </b:Author>
    </b:Author>
    <b:Title>Characterization of a novel group of mycobacteria and proposal of Mycobacterium sherrisii sp. nov.</b:Title>
    <b:PeriodicalTitle>J Clin Microbiol 2004 Jan; 42(1):52-9</b:PeriodicalTitle>
    <b:RefOrder>9</b:RefOrder>
  </b:Source>
  <b:Source>
    <b:Tag>Gäm</b:Tag>
    <b:SourceType>ArticleInAPeriodical</b:SourceType>
    <b:Guid>{4352F94A-81E4-441D-A1EB-C65F7EA98F86}</b:Guid>
    <b:Author>
      <b:Author>
        <b:NameList>
          <b:Person>
            <b:Last>Gämperli A</b:Last>
            <b:First>Bosshard</b:First>
            <b:Middle>PP, Sigrist T, et al.</b:Middle>
          </b:Person>
        </b:NameList>
      </b:Author>
    </b:Author>
    <b:Title>Pulmonary Mycobacterium sherrisii infection in a human immunodeficiency virus type 1-infected patient</b:Title>
    <b:PeriodicalTitle>J Clin Microbiol 2005 Aug; 43(8):4283-5</b:PeriodicalTitle>
    <b:RefOrder>10</b:RefOrder>
  </b:Source>
  <b:Source>
    <b:Tag>Tor</b:Tag>
    <b:SourceType>ArticleInAPeriodical</b:SourceType>
    <b:Guid>{B03DA501-B976-4A92-A39C-454EFF6D1C0F}</b:Guid>
    <b:Author>
      <b:Author>
        <b:NameList>
          <b:Person>
            <b:Last>Tortoli E</b:Last>
            <b:First>Mariottini</b:First>
            <b:Middle>A, Mazzarelli G.</b:Middle>
          </b:Person>
        </b:NameList>
      </b:Author>
    </b:Author>
    <b:Title>Mycobacterium sherrisii isolation from a patient with pulmonary disease</b:Title>
    <b:PeriodicalTitle>Diagn Microbiol Infect Dis 2007 Feb; 57(2):221-3. Epub 2006 Aug 23</b:PeriodicalTitle>
    <b:RefOrder>11</b:RefOrder>
  </b:Source>
  <b:Source>
    <b:Tag>Gri</b:Tag>
    <b:SourceType>ArticleInAPeriodical</b:SourceType>
    <b:Guid>{0A541240-3718-4ADD-9996-6B31C1DECBAE}</b:Guid>
    <b:Author>
      <b:Author>
        <b:NameList>
          <b:Person>
            <b:Last>Griffith DE</b:Last>
            <b:First>Aksamit</b:First>
            <b:Middle>T, Brown-Elliott BA, et al.</b:Middle>
          </b:Person>
        </b:NameList>
      </b:Author>
    </b:Author>
    <b:Title>ATS Mycobacterial Diseases Subcommittee; American Thoracic Society; Infectious Disease Society of America. An official ATS/IDSA statement: diagnosis, treatment, and prevention of nontuberculous mycobacterial diseases</b:Title>
    <b:PeriodicalTitle>Am J Respir Crit Care Med 2007 Feb 15; 175(4):367-416</b:PeriodicalTitle>
    <b:RefOrder>8</b:RefOrder>
  </b:Source>
  <b:Source>
    <b:Tag>Lan</b:Tag>
    <b:SourceType>ArticleInAPeriodical</b:SourceType>
    <b:Guid>{38CF2570-E752-4078-B9A3-A37A394E9FA4}</b:Guid>
    <b:Author>
      <b:Author>
        <b:NameList>
          <b:Person>
            <b:Last>Lange C</b:Last>
            <b:First>Greinert</b:First>
            <b:Middle>U, Schaberg T</b:Middle>
          </b:Person>
        </b:NameList>
      </b:Author>
    </b:Author>
    <b:Title>Therapie von pulmonalen Infektionen durch nicht-tuberkulöse Mykobakterien</b:Title>
    <b:PeriodicalTitle>Pneumologe 201; 8:418–429. DOI 10.1007/s10405-011-0487-5, Springer-Verlag 2011.</b:PeriodicalTitle>
    <b:RefOrder>13</b:RefOrder>
  </b:Source>
  <b:Source>
    <b:Tag>Kan</b:Tag>
    <b:SourceType>ArticleInAPeriodical</b:SourceType>
    <b:Guid>{D72E710C-87DE-49A8-B44B-F0C3722582C5}</b:Guid>
    <b:Author>
      <b:Author>
        <b:NameList>
          <b:Person>
            <b:Last>Kantarcıoǧlu AS</b:Last>
            <b:First>de</b:First>
            <b:Middle>Hoog GS</b:Middle>
          </b:Person>
        </b:NameList>
      </b:Author>
    </b:Author>
    <b:Title>Infections of the central nervous system by melanized fungi: a review of cases presented between 1999 and 2004</b:Title>
    <b:PeriodicalTitle>Mycoses 2004 Feb; 47(1-2):4-13</b:PeriodicalTitle>
    <b:RefOrder>16</b:RefOrder>
  </b:Source>
  <b:Source>
    <b:Tag>Big</b:Tag>
    <b:SourceType>ArticleInAPeriodical</b:SourceType>
    <b:Guid>{A7CC029C-8558-4B9C-8464-2EB23C5DD5C1}</b:Guid>
    <b:Author>
      <b:Author>
        <b:NameList>
          <b:Person>
            <b:Last>Bigley V</b:Last>
            <b:First>Haniffa</b:First>
            <b:Middle>M, Doulatov S</b:Middle>
          </b:Person>
        </b:NameList>
      </b:Author>
    </b:Author>
    <b:Title>The human syndrom of dentritic cell, monocyte, B and NK lymphoid deficiency</b:Title>
    <b:PeriodicalTitle>J Exp Med 208:227-34</b:PeriodicalTitle>
    <b:RefOrder>17</b:RefOrder>
  </b:Source>
  <b:Source>
    <b:Tag>Mae</b:Tag>
    <b:SourceType>ArticleInAPeriodical</b:SourceType>
    <b:Guid>{35017B19-8E72-4864-97CB-79699B66E36B}</b:Guid>
    <b:Author>
      <b:Author>
        <b:NameList>
          <b:Person>
            <b:Last>Maecker HT</b:Last>
            <b:First>McCoy</b:First>
            <b:Middle>JP, Nussenblatt R</b:Middle>
          </b:Person>
        </b:NameList>
      </b:Author>
    </b:Author>
    <b:Title>Standardizing immunophenotyping for the Human Immunology Project</b:Title>
    <b:PeriodicalTitle>Nat Rev Immunol 12: 191-200</b:PeriodicalTitle>
    <b:RefOrder>19</b:RefOrder>
  </b:Source>
  <b:Source>
    <b:Tag>LiD</b:Tag>
    <b:SourceType>ArticleInAPeriodical</b:SourceType>
    <b:Guid>{5ACC1010-3579-452E-9A96-B6CA30501EB6}</b:Guid>
    <b:Title>Cerebral phaeohyphomycosis - a cure at what lengths?</b:Title>
    <b:Author>
      <b:Author>
        <b:NameList>
          <b:Person>
            <b:Last>Li DM</b:Last>
            <b:First>de</b:First>
            <b:Middle>Hoog GS</b:Middle>
          </b:Person>
        </b:NameList>
      </b:Author>
    </b:Author>
    <b:PeriodicalTitle>Lancet Infect Dis 9: 376-383 (2009)</b:PeriodicalTitle>
    <b:RefOrder>15</b:RefOrder>
  </b:Source>
  <b:Source>
    <b:Tag>Pap</b:Tag>
    <b:SourceType>ArticleInAPeriodical</b:SourceType>
    <b:Guid>{FB2A358D-B0DA-4DB6-BD98-BBB0A6895971}</b:Guid>
    <b:Title>New south african soil fungi</b:Title>
    <b:PeriodicalTitle>Trans. Br. mycol. Soc. 52(3), 483-489 (1969)</b:PeriodicalTitle>
    <b:Author>
      <b:Author>
        <b:NameList>
          <b:Person>
            <b:Last>Papendorf MC</b:Last>
          </b:Person>
        </b:NameList>
      </b:Author>
    </b:Author>
    <b:RefOrder>14</b:RefOrder>
  </b:Source>
  <b:Source>
    <b:Tag>Tsu</b:Tag>
    <b:SourceType>ArticleInAPeriodical</b:SourceType>
    <b:Guid>{82EE3E41-F906-48B9-AA3D-079ABC077460}</b:Guid>
    <b:Author>
      <b:Author>
        <b:NameList>
          <b:Person>
            <b:Last>Tsuneda A</b:Last>
            <b:First>Hambleton</b:First>
            <b:Middle>S, Currah RS</b:Middle>
          </b:Person>
        </b:NameList>
      </b:Author>
    </b:Author>
    <b:Title>The anamorph genus Knufia and its phylogenetically allied species in Coniosporium, Sarcinomyces, and Phaeococcomyces</b:Title>
    <b:PeriodicalTitle>Botany, Volume 89, Number 8, August 2011 , pp. 523-536(14)</b:PeriodicalTitle>
    <b:RefOrder>18</b:RefOrder>
  </b:Source>
  <b:Source>
    <b:Tag>Alv</b:Tag>
    <b:SourceType>ArticleInAPeriodical</b:SourceType>
    <b:Guid>{248A3982-BB0E-498B-B23D-54709BECBDA0}</b:Guid>
    <b:Author>
      <b:Author>
        <b:NameList>
          <b:Person>
            <b:Last>Alvarez B</b:Last>
            <b:First>Arcos</b:First>
            <b:Middle>J, Fernández-Guerrero ML</b:Middle>
          </b:Person>
        </b:NameList>
      </b:Author>
    </b:Author>
    <b:Title>Pulmonary infectious diseases in patients with primary immunodeficiency and those treated with biologic immunomodulating agents</b:Title>
    <b:PeriodicalTitle>Curr Opin Pulm Med. 2011 May;17(3):172-9. doi: 10.1097/MCP.0b013e3283455c0b</b:PeriodicalTitle>
    <b:RefOrder>27</b:RefOrder>
  </b:Source>
  <b:Source>
    <b:Tag>Amy</b:Tag>
    <b:SourceType>ArticleInAPeriodical</b:SourceType>
    <b:Guid>{5FCA0EEE-F61B-4A76-BE85-EB7E10023791}</b:Guid>
    <b:Author>
      <b:Author>
        <b:NameList>
          <b:Person>
            <b:Last>Amy P. Hsu</b:Last>
            <b:First>Kirby</b:First>
            <b:Middle>D. Johnson, E. Liana Falcone, Rajendran Sanalkumar, Lauren Sanchez, Dennis D. Hickstein, Jennifer Cuellar-Rodriguez, Jacob E. Lemieux, Christa S. Zerbe, Emery H. Bresnick and Steven M. Holland</b:Middle>
          </b:Person>
        </b:NameList>
      </b:Author>
    </b:Author>
    <b:Title>GATA2 haploinsufficiency caused by mutations in a conserved intronic element leads to MonoMAC syndrome</b:Title>
    <b:PeriodicalTitle>Blood First Edition paper, March 15, 2013; DOI 10.1182/blood-2012-08-452763</b:PeriodicalTitle>
    <b:RefOrder>7</b:RefOrder>
  </b:Source>
  <b:Source>
    <b:Tag>Lim</b:Tag>
    <b:SourceType>ArticleInAPeriodical</b:SourceType>
    <b:Guid>{74DD6597-1FC8-4C6E-B246-0051EA3FA80E}</b:Guid>
    <b:Author>
      <b:Author>
        <b:NameList>
          <b:Person>
            <b:Last>Lim KC</b:Last>
            <b:First>Hosoya</b:First>
            <b:Middle>T, Brandt W, et al.</b:Middle>
          </b:Person>
        </b:NameList>
      </b:Author>
    </b:Author>
    <b:Title>Conditional Gata2 inactivation results in HSC loss and lymphatic mispatterning.</b:Title>
    <b:PeriodicalTitle>J Clin Invest. 2012; 122(10):3705-3717</b:PeriodicalTitle>
    <b:RefOrder>4</b:RefOrder>
  </b:Source>
  <b:Source>
    <b:Tag>Ost</b:Tag>
    <b:SourceType>ArticleInAPeriodical</b:SourceType>
    <b:Guid>{C06ED068-673A-45AE-B1BC-05E90D9B2A97}</b:Guid>
    <b:Author>
      <b:Author>
        <b:NameList>
          <b:Person>
            <b:Last>Ostergaard P</b:Last>
            <b:First>Simpson</b:First>
            <b:Middle>MA, Connell FC, et al.</b:Middle>
          </b:Person>
        </b:NameList>
      </b:Author>
    </b:Author>
    <b:Title>Mutations in GATA2 cause primary lymphedema associated with a predisposition to acute myeloid leukemia (Emberger syndrome).</b:Title>
    <b:PeriodicalTitle>Nat Genet. 2011; 43(10):929-931.</b:PeriodicalTitle>
    <b:RefOrder>5</b:RefOrder>
  </b:Source>
  <b:Source>
    <b:Tag>Griffith</b:Tag>
    <b:SourceType>ArticleInAPeriodical</b:SourceType>
    <b:Guid>{1490A7F7-F67E-4EEA-82E1-78D97614C378}</b:Guid>
    <b:Author>
      <b:Author>
        <b:NameList>
          <b:Person>
            <b:Last>Griffith DE</b:Last>
            <b:First>Aksamit</b:First>
            <b:Middle>T, Brown-Elliott BA et al. on behalf of the ATS Mycobacterial Diseases Subcommittee</b:Middle>
          </b:Person>
        </b:NameList>
      </b:Author>
    </b:Author>
    <b:Title>An Official ATS/IDSA Statement: Diagnosis, Treatment, and Prevention of Nontuberculous Mycobacterial Diseases</b:Title>
    <b:PeriodicalTitle>Am J Respir Crit Care Med Vol 175. pp 367–416, 2007</b:PeriodicalTitle>
    <b:RefOrder>12</b:RefOrder>
  </b:Source>
  <b:Source>
    <b:Tag>Hsu_1</b:Tag>
    <b:SourceType>ArticleInAPeriodical</b:SourceType>
    <b:Guid>{0D12486C-F3E1-446C-A334-110B2D478C06}</b:Guid>
    <b:Author>
      <b:Author>
        <b:NameList>
          <b:Person>
            <b:Last>Hsu AP</b:Last>
            <b:First>McReynolds</b:First>
            <b:Middle>LJ, Holland SM</b:Middle>
          </b:Person>
        </b:NameList>
      </b:Author>
    </b:Author>
    <b:Title>GATA2 deficiency</b:Title>
    <b:PeriodicalTitle>Curr Opin Allergy Clin Immunol. 2014 Nov 13</b:PeriodicalTitle>
    <b:RefOrder>1</b:RefOrder>
  </b:Source>
  <b:Source>
    <b:Tag>Bon</b:Tag>
    <b:SourceType>ArticleInAPeriodical</b:SourceType>
    <b:Guid>{7EC5A1FC-941F-4D08-BBB2-53FCBD5D60FE}</b:Guid>
    <b:Author>
      <b:Author>
        <b:NameList>
          <b:Person>
            <b:Last>Bonifaz A</b:Last>
            <b:First>Davoudi</b:First>
            <b:Middle>MM, de Hoog GS et al.</b:Middle>
          </b:Person>
        </b:NameList>
      </b:Author>
    </b:Author>
    <b:Title>Severe disseminated phaeohyphomycosis in an immunocompetent patient caused by Veronaea botryosa</b:Title>
    <b:PeriodicalTitle>Mycopathologia 2013 175</b:PeriodicalTitle>
    <b:RefOrder>21</b:RefOrder>
  </b:Source>
  <b:Source>
    <b:Tag>Sut</b:Tag>
    <b:SourceType>ArticleInAPeriodical</b:SourceType>
    <b:Guid>{7A944659-6281-4401-83C2-CA4F5D0E21D7}</b:Guid>
    <b:Author>
      <b:Author>
        <b:NameList>
          <b:Person>
            <b:Last>Sutton DA</b:Last>
            <b:First>Slifkin</b:First>
            <b:Middle>M, Yakulis R et al</b:Middle>
          </b:Person>
        </b:NameList>
      </b:Author>
    </b:Author>
    <b:Title>U.S. case report of cerebral phaeohyphomycosis caused by Ramichloridium obovoideum (R. mackenziei): criteria for identification, therapy, and review of other known dematiaceous neurotropic taxa</b:Title>
    <b:PeriodicalTitle>J Clin Mcrobiol 1998 36: 708-715</b:PeriodicalTitle>
    <b:RefOrder>20</b:RefOrder>
  </b:Source>
  <b:Source>
    <b:Tag>Glo</b:Tag>
    <b:SourceType>ArticleInAPeriodical</b:SourceType>
    <b:Guid>{A2EBFF42-5D18-476E-95EC-362900F5A2EF}</b:Guid>
    <b:Author>
      <b:Author>
        <b:NameList>
          <b:Person>
            <b:Last>Glocker EO</b:Last>
            <b:First>Hennigs</b:First>
            <b:Middle>A, Nabavi M et al</b:Middle>
          </b:Person>
        </b:NameList>
      </b:Author>
    </b:Author>
    <b:Title>A homozygous CARD9 mutation in a family with susceptibility to fungal infections</b:Title>
    <b:PeriodicalTitle>N Engl J Med. 2009 361: 1727-1735</b:PeriodicalTitle>
    <b:RefOrder>22</b:RefOrder>
  </b:Source>
  <b:Source>
    <b:Tag>Wan1</b:Tag>
    <b:SourceType>ArticleInAPeriodical</b:SourceType>
    <b:Guid>{8EADF935-A673-4219-AA6C-57E91DF8887E}</b:Guid>
    <b:Author>
      <b:Author>
        <b:NameList>
          <b:Person>
            <b:Last>Wang X</b:Last>
            <b:First>Wang</b:First>
            <b:Middle>W, Lin Z et al</b:Middle>
          </b:Person>
        </b:NameList>
      </b:Author>
    </b:Author>
    <b:Title>CARD9 mutations linked to subcutaneous phaeohyphomycosis and TH17 cell deficiencies</b:Title>
    <b:PeriodicalTitle>J Allergy Clin Immunol 2013 Nov 11 pg</b:PeriodicalTitle>
    <b:RefOrder>23</b:RefOrder>
  </b:Source>
  <b:Source>
    <b:Tag>Mic</b:Tag>
    <b:SourceType>ArticleInAPeriodical</b:SourceType>
    <b:Guid>{31554654-6EE3-4A52-8FEE-F744D2EA92FA}</b:Guid>
    <b:Author>
      <b:Author>
        <b:NameList>
          <b:Person>
            <b:Last>Spinner MA</b:Last>
            <b:First>Sanchez</b:First>
            <b:Middle>LA, Hsu AP et al.</b:Middle>
          </b:Person>
        </b:NameList>
      </b:Author>
    </b:Author>
    <b:Title>GATA2 deficiency: a protean disorder of hematopoiesis, lymphatics and immunity</b:Title>
    <b:PeriodicalTitle>Blood, doi:10.1182/blood-2013-07-515528</b:PeriodicalTitle>
    <b:RefOrder>25</b:RefOrder>
  </b:Source>
  <b:Source>
    <b:Tag>MMF</b:Tag>
    <b:SourceType>ArticleInAPeriodical</b:SourceType>
    <b:Guid>{2C05B5B8-5C80-41E8-8977-5E68B7150404}</b:Guid>
    <b:Author>
      <b:Author>
        <b:NameList>
          <b:Person>
            <b:Last>M.M.F. Nascimento</b:Last>
            <b:First>L.</b:First>
            <b:Middle>Selbmann, S. Sharifynia et al.</b:Middle>
          </b:Person>
        </b:NameList>
      </b:Author>
    </b:Author>
    <b:PeriodicalTitle>Fungal Biology (submitted)</b:PeriodicalTitle>
    <b:Title>Arthrocladium, an unexpected human opportunist in Trichomeriaceae (Chaetothyriales)</b:Title>
    <b:RefOrder>7</b:RefOrder>
  </b:Source>
</b:Sources>
</file>

<file path=customXml/itemProps1.xml><?xml version="1.0" encoding="utf-8"?>
<ds:datastoreItem xmlns:ds="http://schemas.openxmlformats.org/officeDocument/2006/customXml" ds:itemID="{77E693DB-6DAC-4EF9-96AF-D16831CC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Case-Report Arthrocladium</vt:lpstr>
      <vt:lpstr>Case-Report Arthrocladium</vt:lpstr>
    </vt:vector>
  </TitlesOfParts>
  <Company>Privat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Case-Report Arthrocladium</dc:title>
  <dc:creator>mail@egenlauf.de</dc:creator>
  <cp:lastModifiedBy>Benjamin Egenlauf</cp:lastModifiedBy>
  <cp:revision>14</cp:revision>
  <dcterms:created xsi:type="dcterms:W3CDTF">2015-06-22T19:10:00Z</dcterms:created>
  <dcterms:modified xsi:type="dcterms:W3CDTF">2018-06-30T14:43:00Z</dcterms:modified>
</cp:coreProperties>
</file>