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62" w:rsidRPr="004A3D11" w:rsidRDefault="00C91462" w:rsidP="00C91462">
      <w:pPr>
        <w:autoSpaceDE w:val="0"/>
        <w:autoSpaceDN w:val="0"/>
        <w:adjustRightInd w:val="0"/>
        <w:spacing w:line="480" w:lineRule="auto"/>
        <w:rPr>
          <w:bCs/>
          <w:sz w:val="32"/>
          <w:szCs w:val="32"/>
        </w:rPr>
        <w:sectPr w:rsidR="00C91462" w:rsidRPr="004A3D11" w:rsidSect="00183C9D">
          <w:footerReference w:type="default" r:id="rId7"/>
          <w:pgSz w:w="11906" w:h="16838"/>
          <w:pgMar w:top="1418" w:right="1701" w:bottom="1418" w:left="2835" w:header="708" w:footer="708" w:gutter="0"/>
          <w:cols w:space="708"/>
          <w:docGrid w:linePitch="360"/>
        </w:sectPr>
      </w:pPr>
      <w:r w:rsidRPr="004A3D11">
        <w:rPr>
          <w:b/>
          <w:bCs/>
          <w:sz w:val="32"/>
          <w:szCs w:val="32"/>
        </w:rPr>
        <w:t>Supplement</w:t>
      </w:r>
      <w:r w:rsidR="008F1E18">
        <w:rPr>
          <w:b/>
          <w:bCs/>
          <w:sz w:val="32"/>
          <w:szCs w:val="32"/>
        </w:rPr>
        <w:t>al material</w:t>
      </w:r>
      <w:r w:rsidRPr="004A3D11">
        <w:rPr>
          <w:bCs/>
          <w:sz w:val="32"/>
          <w:szCs w:val="32"/>
        </w:rPr>
        <w:t>:</w:t>
      </w:r>
    </w:p>
    <w:p w:rsidR="00C91462" w:rsidRDefault="00C91462" w:rsidP="00C91462">
      <w:pPr>
        <w:spacing w:line="480" w:lineRule="auto"/>
        <w:rPr>
          <w:b/>
          <w:bCs/>
          <w:i/>
        </w:rPr>
      </w:pPr>
      <w:r w:rsidRPr="00A57522">
        <w:rPr>
          <w:b/>
          <w:bCs/>
        </w:rPr>
        <w:lastRenderedPageBreak/>
        <w:t xml:space="preserve">Table </w:t>
      </w:r>
      <w:r w:rsidR="00124CD3">
        <w:rPr>
          <w:b/>
          <w:bCs/>
        </w:rPr>
        <w:t>1</w:t>
      </w:r>
      <w:r>
        <w:rPr>
          <w:bCs/>
        </w:rPr>
        <w:t xml:space="preserve">   </w:t>
      </w:r>
      <w:r w:rsidRPr="00C41F08">
        <w:rPr>
          <w:b/>
          <w:bCs/>
          <w:i/>
        </w:rPr>
        <w:t>Patient demographics, vascular risk factors compared with PMP/EMP levels</w:t>
      </w:r>
    </w:p>
    <w:p w:rsidR="00C91462" w:rsidRPr="00C41F08" w:rsidRDefault="00C91462" w:rsidP="00C91462">
      <w:pPr>
        <w:rPr>
          <w:b/>
          <w:bCs/>
          <w:i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417"/>
        <w:gridCol w:w="1843"/>
        <w:gridCol w:w="1134"/>
      </w:tblGrid>
      <w:tr w:rsidR="00C91462" w:rsidRPr="00544A3B" w:rsidTr="004236CF">
        <w:tc>
          <w:tcPr>
            <w:tcW w:w="2836" w:type="dxa"/>
          </w:tcPr>
          <w:p w:rsidR="00C91462" w:rsidRPr="0048406A" w:rsidRDefault="00C91462" w:rsidP="008A1FE7">
            <w:pPr>
              <w:spacing w:before="240"/>
              <w:jc w:val="center"/>
              <w:rPr>
                <w:b/>
                <w:bCs/>
              </w:rPr>
            </w:pPr>
            <w:r w:rsidRPr="0048406A">
              <w:rPr>
                <w:b/>
                <w:bCs/>
              </w:rPr>
              <w:t>Demographics/risk factors (N)</w:t>
            </w:r>
          </w:p>
        </w:tc>
        <w:tc>
          <w:tcPr>
            <w:tcW w:w="1701" w:type="dxa"/>
          </w:tcPr>
          <w:p w:rsidR="00C91462" w:rsidRPr="0048406A" w:rsidRDefault="00C91462" w:rsidP="008A1FE7">
            <w:pPr>
              <w:spacing w:before="240"/>
              <w:jc w:val="center"/>
              <w:rPr>
                <w:b/>
                <w:bCs/>
              </w:rPr>
            </w:pPr>
            <w:r w:rsidRPr="0048406A">
              <w:rPr>
                <w:b/>
                <w:bCs/>
              </w:rPr>
              <w:t>PMP</w:t>
            </w:r>
          </w:p>
          <w:p w:rsidR="00C91462" w:rsidRPr="00D81FB3" w:rsidRDefault="00C91462" w:rsidP="008A1FE7">
            <w:pPr>
              <w:spacing w:before="240"/>
              <w:jc w:val="center"/>
              <w:rPr>
                <w:bCs/>
              </w:rPr>
            </w:pPr>
            <w:r w:rsidRPr="00D81FB3">
              <w:rPr>
                <w:bCs/>
              </w:rPr>
              <w:t>(</w:t>
            </w:r>
            <w:proofErr w:type="spellStart"/>
            <w:r w:rsidRPr="00D81FB3">
              <w:rPr>
                <w:bCs/>
              </w:rPr>
              <w:t>logn</w:t>
            </w:r>
            <w:proofErr w:type="spellEnd"/>
            <w:r w:rsidRPr="00D81FB3">
              <w:rPr>
                <w:bCs/>
              </w:rPr>
              <w:t>+/-SD)</w:t>
            </w:r>
          </w:p>
        </w:tc>
        <w:tc>
          <w:tcPr>
            <w:tcW w:w="1417" w:type="dxa"/>
          </w:tcPr>
          <w:p w:rsidR="00C91462" w:rsidRPr="0048406A" w:rsidRDefault="00C91462" w:rsidP="008A1FE7">
            <w:pPr>
              <w:spacing w:before="240"/>
              <w:jc w:val="center"/>
              <w:rPr>
                <w:b/>
                <w:bCs/>
              </w:rPr>
            </w:pPr>
            <w:r w:rsidRPr="0048406A">
              <w:rPr>
                <w:b/>
                <w:bCs/>
              </w:rPr>
              <w:t>P value</w:t>
            </w:r>
          </w:p>
        </w:tc>
        <w:tc>
          <w:tcPr>
            <w:tcW w:w="1843" w:type="dxa"/>
          </w:tcPr>
          <w:p w:rsidR="00C91462" w:rsidRPr="0048406A" w:rsidRDefault="00C91462" w:rsidP="008A1FE7">
            <w:pPr>
              <w:spacing w:before="240"/>
              <w:jc w:val="center"/>
              <w:rPr>
                <w:b/>
                <w:bCs/>
              </w:rPr>
            </w:pPr>
            <w:r w:rsidRPr="0048406A">
              <w:rPr>
                <w:b/>
                <w:bCs/>
              </w:rPr>
              <w:t>EMP</w:t>
            </w:r>
          </w:p>
          <w:p w:rsidR="00C91462" w:rsidRPr="00D81FB3" w:rsidRDefault="00C91462" w:rsidP="008A1FE7">
            <w:pPr>
              <w:spacing w:before="240"/>
              <w:jc w:val="center"/>
              <w:rPr>
                <w:bCs/>
              </w:rPr>
            </w:pPr>
            <w:r w:rsidRPr="00D81FB3">
              <w:rPr>
                <w:bCs/>
              </w:rPr>
              <w:t>(</w:t>
            </w:r>
            <w:proofErr w:type="spellStart"/>
            <w:r w:rsidRPr="00D81FB3">
              <w:rPr>
                <w:bCs/>
              </w:rPr>
              <w:t>logn</w:t>
            </w:r>
            <w:proofErr w:type="spellEnd"/>
            <w:r w:rsidRPr="00D81FB3">
              <w:rPr>
                <w:bCs/>
              </w:rPr>
              <w:t>+/-SD)</w:t>
            </w:r>
          </w:p>
        </w:tc>
        <w:tc>
          <w:tcPr>
            <w:tcW w:w="1134" w:type="dxa"/>
          </w:tcPr>
          <w:p w:rsidR="00C91462" w:rsidRPr="0048406A" w:rsidRDefault="00C91462" w:rsidP="008A1FE7">
            <w:pPr>
              <w:spacing w:before="240"/>
              <w:jc w:val="center"/>
              <w:rPr>
                <w:b/>
                <w:bCs/>
              </w:rPr>
            </w:pPr>
            <w:r w:rsidRPr="0048406A">
              <w:rPr>
                <w:b/>
                <w:bCs/>
              </w:rPr>
              <w:t>P value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Pr="002C687F" w:rsidRDefault="00C91462" w:rsidP="008A1FE7">
            <w:pPr>
              <w:spacing w:line="360" w:lineRule="auto"/>
              <w:rPr>
                <w:b/>
                <w:bCs/>
              </w:rPr>
            </w:pPr>
            <w:r w:rsidRPr="002C687F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groups</w:t>
            </w:r>
          </w:p>
          <w:p w:rsidR="00C91462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50-5</w:t>
            </w:r>
            <w:r w:rsidRPr="00544A3B">
              <w:rPr>
                <w:bCs/>
              </w:rPr>
              <w:t>9</w:t>
            </w:r>
            <w:r>
              <w:rPr>
                <w:bCs/>
              </w:rPr>
              <w:t xml:space="preserve"> (3)</w:t>
            </w:r>
          </w:p>
          <w:p w:rsidR="00C91462" w:rsidRPr="00544A3B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60-69 (8)</w:t>
            </w:r>
          </w:p>
          <w:p w:rsidR="00C91462" w:rsidRDefault="00C91462" w:rsidP="008A1FE7">
            <w:pPr>
              <w:spacing w:before="240" w:line="360" w:lineRule="auto"/>
              <w:rPr>
                <w:bCs/>
              </w:rPr>
            </w:pPr>
            <w:r w:rsidRPr="00544A3B">
              <w:rPr>
                <w:bCs/>
              </w:rPr>
              <w:t>70-79</w:t>
            </w:r>
            <w:r>
              <w:rPr>
                <w:bCs/>
              </w:rPr>
              <w:t xml:space="preserve"> (20)</w:t>
            </w:r>
          </w:p>
          <w:p w:rsidR="00C91462" w:rsidRPr="00544A3B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80-89 (11)</w:t>
            </w:r>
          </w:p>
        </w:tc>
        <w:tc>
          <w:tcPr>
            <w:tcW w:w="1701" w:type="dxa"/>
          </w:tcPr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8.66+/-0.86</w:t>
            </w: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8.85+/-1.02</w:t>
            </w: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8.87+/-0.93</w:t>
            </w: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9.46+/-0.72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0.28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6.29+/-1.31</w:t>
            </w: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5.61+/-0.58</w:t>
            </w: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5.58+/-0.79</w:t>
            </w: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6.01+/-1.13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0.42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Pr="002C687F" w:rsidRDefault="00C91462" w:rsidP="008A1FE7">
            <w:pPr>
              <w:spacing w:line="360" w:lineRule="auto"/>
              <w:rPr>
                <w:b/>
                <w:bCs/>
              </w:rPr>
            </w:pPr>
            <w:r w:rsidRPr="002C687F">
              <w:rPr>
                <w:b/>
                <w:bCs/>
              </w:rPr>
              <w:t xml:space="preserve">Sex </w:t>
            </w:r>
          </w:p>
          <w:p w:rsidR="00C91462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Men (31)</w:t>
            </w:r>
          </w:p>
          <w:p w:rsidR="00C91462" w:rsidRPr="00544A3B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Women (11)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8.98+/-1.01</w:t>
            </w: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9.09+/-0.52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0.73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5.69+/-0.82</w:t>
            </w: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5.92+/-1.09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0.46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Pr="002C687F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Degree of stenosis %</w:t>
            </w:r>
          </w:p>
          <w:p w:rsidR="00C91462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50-69 (14)</w:t>
            </w:r>
          </w:p>
          <w:p w:rsidR="00C91462" w:rsidRPr="00544A3B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70-99 (28)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9.21+/-0.95</w:t>
            </w: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8.90+/-0.88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0.30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5.45+/-0.49</w:t>
            </w: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5.90+/-1.01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before="240"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before="240" w:line="360" w:lineRule="auto"/>
              <w:jc w:val="center"/>
              <w:rPr>
                <w:bCs/>
              </w:rPr>
            </w:pPr>
            <w:r>
              <w:rPr>
                <w:bCs/>
              </w:rPr>
              <w:t>0.13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Pr="002C687F" w:rsidRDefault="00C91462" w:rsidP="008A1FE7">
            <w:pPr>
              <w:spacing w:line="360" w:lineRule="auto"/>
              <w:rPr>
                <w:b/>
                <w:bCs/>
              </w:rPr>
            </w:pPr>
            <w:r w:rsidRPr="002C687F">
              <w:rPr>
                <w:b/>
                <w:bCs/>
              </w:rPr>
              <w:t>Ischemic heart disease</w:t>
            </w:r>
          </w:p>
          <w:p w:rsidR="00C91462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Present (13)</w:t>
            </w:r>
          </w:p>
          <w:p w:rsidR="00C91462" w:rsidRPr="00544A3B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Absent (29)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4236CF" w:rsidRDefault="004236CF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9.26+/-0.76</w:t>
            </w:r>
          </w:p>
          <w:p w:rsidR="00C91462" w:rsidRPr="00544A3B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8.89+/-0.95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BD2B8F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0.23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6.36+/-1.27</w:t>
            </w:r>
          </w:p>
          <w:p w:rsidR="00C91462" w:rsidRPr="00544A3B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5.48+/-0.47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D2B8F">
            <w:pPr>
              <w:spacing w:line="480" w:lineRule="auto"/>
              <w:jc w:val="center"/>
              <w:rPr>
                <w:bCs/>
              </w:rPr>
            </w:pPr>
          </w:p>
          <w:p w:rsidR="00C91462" w:rsidRPr="00FE51F8" w:rsidRDefault="00C91462" w:rsidP="00BD2B8F">
            <w:pPr>
              <w:spacing w:line="360" w:lineRule="auto"/>
              <w:rPr>
                <w:b/>
                <w:bCs/>
              </w:rPr>
            </w:pPr>
            <w:r w:rsidRPr="00FE51F8">
              <w:rPr>
                <w:b/>
                <w:bCs/>
              </w:rPr>
              <w:t>*0.002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 w:rsidRPr="002C687F">
              <w:rPr>
                <w:b/>
                <w:bCs/>
              </w:rPr>
              <w:t>Blood pressure</w:t>
            </w:r>
          </w:p>
          <w:p w:rsidR="00C91462" w:rsidRDefault="00C91462" w:rsidP="008A1FE7">
            <w:pPr>
              <w:spacing w:before="240" w:line="360" w:lineRule="auto"/>
              <w:rPr>
                <w:bCs/>
              </w:rPr>
            </w:pPr>
            <w:r>
              <w:rPr>
                <w:bCs/>
              </w:rPr>
              <w:t>Normotensive (8)</w:t>
            </w:r>
          </w:p>
          <w:p w:rsidR="00C91462" w:rsidRDefault="00C91462" w:rsidP="004236CF">
            <w:pPr>
              <w:spacing w:line="276" w:lineRule="auto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Normotensive with Medication (26)</w:t>
            </w:r>
          </w:p>
          <w:p w:rsidR="00C91462" w:rsidRPr="00544A3B" w:rsidRDefault="00C91462" w:rsidP="008A1FE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Hypertensive with medication (6)</w:t>
            </w:r>
          </w:p>
        </w:tc>
        <w:tc>
          <w:tcPr>
            <w:tcW w:w="1701" w:type="dxa"/>
          </w:tcPr>
          <w:p w:rsidR="00C91462" w:rsidRDefault="00C91462" w:rsidP="004236CF">
            <w:pPr>
              <w:spacing w:line="276" w:lineRule="auto"/>
              <w:jc w:val="center"/>
              <w:rPr>
                <w:bCs/>
              </w:rPr>
            </w:pPr>
          </w:p>
          <w:p w:rsidR="00C91462" w:rsidRDefault="00C91462" w:rsidP="004236CF">
            <w:pPr>
              <w:spacing w:line="276" w:lineRule="auto"/>
              <w:jc w:val="center"/>
              <w:rPr>
                <w:bCs/>
              </w:rPr>
            </w:pPr>
          </w:p>
          <w:p w:rsidR="00C91462" w:rsidRDefault="00C91462" w:rsidP="004236C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8.60+/-0.30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9.11+/-0.79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9.05+/-0.82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0.38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4236CF">
            <w:pPr>
              <w:jc w:val="center"/>
              <w:rPr>
                <w:bCs/>
              </w:rPr>
            </w:pPr>
          </w:p>
          <w:p w:rsidR="00C91462" w:rsidRDefault="00C91462" w:rsidP="004236CF">
            <w:pPr>
              <w:jc w:val="center"/>
              <w:rPr>
                <w:bCs/>
              </w:rPr>
            </w:pPr>
            <w:r>
              <w:rPr>
                <w:bCs/>
              </w:rPr>
              <w:t>5.90+/-0.68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5.73+/-0.93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5.65+/-1.07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BD2B8F" w:rsidRDefault="00BD2B8F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0.86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Pr="002C687F" w:rsidRDefault="00C91462" w:rsidP="004236CF">
            <w:pPr>
              <w:spacing w:line="360" w:lineRule="auto"/>
              <w:rPr>
                <w:b/>
                <w:bCs/>
              </w:rPr>
            </w:pPr>
            <w:r w:rsidRPr="002C687F">
              <w:rPr>
                <w:b/>
                <w:bCs/>
              </w:rPr>
              <w:t xml:space="preserve">Smoking status </w:t>
            </w:r>
          </w:p>
          <w:p w:rsidR="00C91462" w:rsidRDefault="00C91462" w:rsidP="008A1FE7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Smoking (25)</w:t>
            </w:r>
          </w:p>
          <w:p w:rsidR="00C91462" w:rsidRPr="00544A3B" w:rsidRDefault="00C91462" w:rsidP="008A1FE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Non-smoker (17)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8.92+/-0.94</w:t>
            </w: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9.14+/-0.87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0.44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5.61+/-0.70</w:t>
            </w: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5.95+/-1.11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0.23</w:t>
            </w:r>
          </w:p>
        </w:tc>
      </w:tr>
      <w:tr w:rsidR="00C91462" w:rsidRPr="00544A3B" w:rsidTr="00BE1F15">
        <w:trPr>
          <w:trHeight w:val="2553"/>
        </w:trPr>
        <w:tc>
          <w:tcPr>
            <w:tcW w:w="2836" w:type="dxa"/>
          </w:tcPr>
          <w:p w:rsidR="00C91462" w:rsidRPr="002C687F" w:rsidRDefault="00C91462" w:rsidP="004236CF">
            <w:pPr>
              <w:spacing w:line="360" w:lineRule="auto"/>
              <w:rPr>
                <w:b/>
                <w:bCs/>
              </w:rPr>
            </w:pPr>
            <w:r w:rsidRPr="002C687F">
              <w:rPr>
                <w:b/>
                <w:bCs/>
              </w:rPr>
              <w:lastRenderedPageBreak/>
              <w:t>Statin treatment</w:t>
            </w:r>
          </w:p>
          <w:p w:rsidR="00C91462" w:rsidRPr="0064469A" w:rsidRDefault="00C91462" w:rsidP="008A1FE7">
            <w:pPr>
              <w:autoSpaceDE w:val="0"/>
              <w:autoSpaceDN w:val="0"/>
              <w:adjustRightInd w:val="0"/>
              <w:spacing w:line="360" w:lineRule="auto"/>
            </w:pPr>
            <w:r w:rsidRPr="0064469A">
              <w:t xml:space="preserve">Statin use, &lt;6M before </w:t>
            </w:r>
            <w:proofErr w:type="gramStart"/>
            <w:r w:rsidRPr="0064469A">
              <w:t>scan</w:t>
            </w:r>
            <w:r>
              <w:t xml:space="preserve">  (</w:t>
            </w:r>
            <w:proofErr w:type="gramEnd"/>
            <w:r>
              <w:t>23)</w:t>
            </w:r>
          </w:p>
          <w:p w:rsidR="00C91462" w:rsidRPr="0064469A" w:rsidRDefault="00C91462" w:rsidP="008A1FE7">
            <w:pPr>
              <w:autoSpaceDE w:val="0"/>
              <w:autoSpaceDN w:val="0"/>
              <w:adjustRightInd w:val="0"/>
              <w:spacing w:line="360" w:lineRule="auto"/>
            </w:pPr>
            <w:r w:rsidRPr="0064469A">
              <w:t>Statin, &gt;6 M before scan</w:t>
            </w:r>
            <w:r>
              <w:t xml:space="preserve"> (14)</w:t>
            </w:r>
          </w:p>
          <w:p w:rsidR="00C91462" w:rsidRPr="00544A3B" w:rsidRDefault="00C91462" w:rsidP="00BE1F1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4469A">
              <w:t>No statin</w:t>
            </w:r>
            <w:r>
              <w:t xml:space="preserve"> (5)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9.34+/-1.37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8.95+/-0.89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8.98+/-1.37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0.68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5.60+/-0.62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5.74+/-0.94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6.52+/-1.38</w:t>
            </w:r>
          </w:p>
          <w:p w:rsidR="00C91462" w:rsidRPr="00544A3B" w:rsidRDefault="00C91462" w:rsidP="008A1FE7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Pr="00544A3B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0.11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Pr="00124CD3" w:rsidRDefault="00C91462" w:rsidP="008A1FE7">
            <w:pPr>
              <w:spacing w:line="360" w:lineRule="auto"/>
              <w:rPr>
                <w:b/>
                <w:bCs/>
                <w:lang w:val="fr-CH"/>
              </w:rPr>
            </w:pPr>
            <w:proofErr w:type="spellStart"/>
            <w:r w:rsidRPr="00124CD3">
              <w:rPr>
                <w:b/>
                <w:bCs/>
                <w:lang w:val="fr-CH"/>
              </w:rPr>
              <w:t>Diabetes</w:t>
            </w:r>
            <w:proofErr w:type="spellEnd"/>
            <w:r w:rsidRPr="00124CD3">
              <w:rPr>
                <w:b/>
                <w:bCs/>
                <w:lang w:val="fr-CH"/>
              </w:rPr>
              <w:t xml:space="preserve"> </w:t>
            </w:r>
            <w:proofErr w:type="spellStart"/>
            <w:r w:rsidRPr="00124CD3">
              <w:rPr>
                <w:b/>
                <w:bCs/>
                <w:lang w:val="fr-CH"/>
              </w:rPr>
              <w:t>status</w:t>
            </w:r>
            <w:proofErr w:type="spellEnd"/>
          </w:p>
          <w:p w:rsidR="00C91462" w:rsidRPr="00124CD3" w:rsidRDefault="00C91462" w:rsidP="008A1FE7">
            <w:pPr>
              <w:spacing w:line="360" w:lineRule="auto"/>
              <w:rPr>
                <w:bCs/>
                <w:lang w:val="fr-CH"/>
              </w:rPr>
            </w:pPr>
            <w:proofErr w:type="spellStart"/>
            <w:r w:rsidRPr="00124CD3">
              <w:rPr>
                <w:bCs/>
                <w:lang w:val="fr-CH"/>
              </w:rPr>
              <w:t>Diabetes</w:t>
            </w:r>
            <w:proofErr w:type="spellEnd"/>
            <w:r w:rsidRPr="00124CD3">
              <w:rPr>
                <w:bCs/>
                <w:lang w:val="fr-CH"/>
              </w:rPr>
              <w:t xml:space="preserve"> </w:t>
            </w:r>
            <w:proofErr w:type="spellStart"/>
            <w:r w:rsidRPr="00124CD3">
              <w:rPr>
                <w:bCs/>
                <w:lang w:val="fr-CH"/>
              </w:rPr>
              <w:t>Mellitus</w:t>
            </w:r>
            <w:proofErr w:type="spellEnd"/>
            <w:r w:rsidRPr="00124CD3">
              <w:rPr>
                <w:bCs/>
                <w:lang w:val="fr-CH"/>
              </w:rPr>
              <w:t xml:space="preserve"> </w:t>
            </w:r>
            <w:proofErr w:type="gramStart"/>
            <w:r w:rsidRPr="00124CD3">
              <w:rPr>
                <w:bCs/>
                <w:lang w:val="fr-CH"/>
              </w:rPr>
              <w:t>( 4</w:t>
            </w:r>
            <w:proofErr w:type="gramEnd"/>
            <w:r w:rsidRPr="00124CD3">
              <w:rPr>
                <w:bCs/>
                <w:lang w:val="fr-CH"/>
              </w:rPr>
              <w:t>)</w:t>
            </w:r>
          </w:p>
          <w:p w:rsidR="00C91462" w:rsidRPr="00124CD3" w:rsidRDefault="00C91462" w:rsidP="008A1FE7">
            <w:pPr>
              <w:spacing w:line="360" w:lineRule="auto"/>
              <w:rPr>
                <w:bCs/>
                <w:lang w:val="fr-CH"/>
              </w:rPr>
            </w:pPr>
            <w:r w:rsidRPr="00124CD3">
              <w:rPr>
                <w:bCs/>
                <w:lang w:val="fr-CH"/>
              </w:rPr>
              <w:t>None (38)</w:t>
            </w:r>
          </w:p>
        </w:tc>
        <w:tc>
          <w:tcPr>
            <w:tcW w:w="1701" w:type="dxa"/>
          </w:tcPr>
          <w:p w:rsidR="00C91462" w:rsidRPr="00124CD3" w:rsidRDefault="00C91462" w:rsidP="008A1FE7">
            <w:pPr>
              <w:spacing w:line="360" w:lineRule="auto"/>
              <w:jc w:val="center"/>
              <w:rPr>
                <w:bCs/>
                <w:lang w:val="fr-CH"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9.38 +/-0.67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8.97+/-0.93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0.39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5.77+/-0.91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5.60+/-0.75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0.74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Atrial Fibrillation</w:t>
            </w:r>
          </w:p>
          <w:p w:rsidR="00C91462" w:rsidRPr="00FB5210" w:rsidRDefault="00C91462" w:rsidP="008A1FE7">
            <w:pPr>
              <w:spacing w:line="360" w:lineRule="auto"/>
              <w:rPr>
                <w:bCs/>
              </w:rPr>
            </w:pPr>
            <w:r w:rsidRPr="00FB5210">
              <w:rPr>
                <w:bCs/>
              </w:rPr>
              <w:t>Present (7)</w:t>
            </w:r>
          </w:p>
          <w:p w:rsidR="00C91462" w:rsidRPr="002C687F" w:rsidRDefault="00C91462" w:rsidP="008A1FE7">
            <w:pPr>
              <w:spacing w:line="360" w:lineRule="auto"/>
              <w:rPr>
                <w:b/>
                <w:bCs/>
              </w:rPr>
            </w:pPr>
            <w:r w:rsidRPr="00FB5210">
              <w:rPr>
                <w:bCs/>
              </w:rPr>
              <w:t>Absent (35)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9.27+/-0.83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8.95+/-0.92</w:t>
            </w:r>
          </w:p>
        </w:tc>
        <w:tc>
          <w:tcPr>
            <w:tcW w:w="1417" w:type="dxa"/>
          </w:tcPr>
          <w:p w:rsidR="00C91462" w:rsidRDefault="00C91462" w:rsidP="00BE1F15">
            <w:pPr>
              <w:spacing w:before="240"/>
              <w:jc w:val="center"/>
              <w:rPr>
                <w:bCs/>
              </w:rPr>
            </w:pPr>
          </w:p>
          <w:p w:rsidR="00C91462" w:rsidRDefault="00C91462" w:rsidP="00BE1F15">
            <w:pPr>
              <w:jc w:val="center"/>
              <w:rPr>
                <w:bCs/>
              </w:rPr>
            </w:pPr>
            <w:r>
              <w:rPr>
                <w:bCs/>
              </w:rPr>
              <w:t>0.40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5.96+/-1.21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5.70+/-0.83</w:t>
            </w:r>
          </w:p>
        </w:tc>
        <w:tc>
          <w:tcPr>
            <w:tcW w:w="1134" w:type="dxa"/>
          </w:tcPr>
          <w:p w:rsidR="00C91462" w:rsidRDefault="00C91462" w:rsidP="00BE1F15">
            <w:pPr>
              <w:jc w:val="center"/>
              <w:rPr>
                <w:bCs/>
              </w:rPr>
            </w:pPr>
          </w:p>
          <w:p w:rsidR="00C91462" w:rsidRDefault="00C91462" w:rsidP="00BE1F15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0.51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 w:rsidRPr="00E945C2">
              <w:rPr>
                <w:b/>
                <w:bCs/>
              </w:rPr>
              <w:t>Type of cerebral isch</w:t>
            </w:r>
            <w:r>
              <w:rPr>
                <w:b/>
                <w:bCs/>
              </w:rPr>
              <w:t>a</w:t>
            </w:r>
            <w:r w:rsidRPr="00E945C2">
              <w:rPr>
                <w:b/>
                <w:bCs/>
              </w:rPr>
              <w:t>emia</w:t>
            </w:r>
          </w:p>
          <w:p w:rsidR="00C91462" w:rsidRDefault="00C91462" w:rsidP="008A1FE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Stroke (12)</w:t>
            </w:r>
          </w:p>
          <w:p w:rsidR="00C91462" w:rsidRDefault="00C91462" w:rsidP="008A1FE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TIA (23)</w:t>
            </w:r>
          </w:p>
          <w:p w:rsidR="00C91462" w:rsidRPr="00E945C2" w:rsidRDefault="00C91462" w:rsidP="008A1FE7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Cs/>
              </w:rPr>
              <w:t>AmF</w:t>
            </w:r>
            <w:proofErr w:type="spellEnd"/>
            <w:r>
              <w:rPr>
                <w:bCs/>
              </w:rPr>
              <w:t xml:space="preserve"> (7)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9.25+/-0.64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8.93+/-0.99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8.71+/-0.78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0.11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6.13+/-1.04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5.69+/-0.88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5.28+/-0.20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0.12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Ipsilateral MRIPH</w:t>
            </w:r>
          </w:p>
          <w:p w:rsidR="00C91462" w:rsidRPr="00665C20" w:rsidRDefault="00C91462" w:rsidP="008A1FE7">
            <w:pPr>
              <w:spacing w:line="360" w:lineRule="auto"/>
              <w:rPr>
                <w:bCs/>
              </w:rPr>
            </w:pPr>
            <w:r w:rsidRPr="00665C20">
              <w:rPr>
                <w:bCs/>
              </w:rPr>
              <w:t>Positive (</w:t>
            </w:r>
            <w:r>
              <w:rPr>
                <w:bCs/>
              </w:rPr>
              <w:t>26</w:t>
            </w:r>
            <w:r w:rsidRPr="00665C20">
              <w:rPr>
                <w:bCs/>
              </w:rPr>
              <w:t>)</w:t>
            </w:r>
          </w:p>
          <w:p w:rsidR="00C91462" w:rsidRPr="00E945C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Negative (16</w:t>
            </w:r>
            <w:r w:rsidRPr="00665C20">
              <w:rPr>
                <w:bCs/>
              </w:rPr>
              <w:t>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8.86 +/- 0.88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9.24 +/-0.94</w:t>
            </w:r>
          </w:p>
        </w:tc>
        <w:tc>
          <w:tcPr>
            <w:tcW w:w="1417" w:type="dxa"/>
          </w:tcPr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0.19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5.53 +/- 0.63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6.11 +/-1.14</w:t>
            </w:r>
          </w:p>
        </w:tc>
        <w:tc>
          <w:tcPr>
            <w:tcW w:w="1134" w:type="dxa"/>
          </w:tcPr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</w:p>
          <w:p w:rsidR="00C91462" w:rsidRPr="00A33E1E" w:rsidRDefault="00C91462" w:rsidP="00BE1F15">
            <w:pPr>
              <w:spacing w:line="480" w:lineRule="auto"/>
              <w:jc w:val="center"/>
              <w:rPr>
                <w:b/>
                <w:bCs/>
              </w:rPr>
            </w:pPr>
            <w:r w:rsidRPr="00A33E1E">
              <w:rPr>
                <w:b/>
                <w:bCs/>
              </w:rPr>
              <w:t>*0.038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Contralateral MRIPH</w:t>
            </w:r>
          </w:p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  <w:p w:rsidR="00C91462" w:rsidRPr="00665C20" w:rsidRDefault="00C91462" w:rsidP="008A1FE7">
            <w:pPr>
              <w:spacing w:line="360" w:lineRule="auto"/>
              <w:rPr>
                <w:bCs/>
              </w:rPr>
            </w:pPr>
            <w:r w:rsidRPr="00665C20">
              <w:rPr>
                <w:bCs/>
              </w:rPr>
              <w:t>Positive (15)</w:t>
            </w:r>
          </w:p>
          <w:p w:rsidR="00C91462" w:rsidRPr="00E945C2" w:rsidRDefault="00C91462" w:rsidP="008A1FE7">
            <w:pPr>
              <w:spacing w:line="360" w:lineRule="auto"/>
              <w:rPr>
                <w:b/>
                <w:bCs/>
              </w:rPr>
            </w:pPr>
            <w:r w:rsidRPr="00665C20">
              <w:rPr>
                <w:bCs/>
              </w:rPr>
              <w:t>Negative (27)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8.99+/-1.01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9.02+/-0.86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0.92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5.86+/-0.90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5.69+/-0.91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0.56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Contralateral internal carotid artery</w:t>
            </w:r>
          </w:p>
          <w:p w:rsidR="00C91462" w:rsidRPr="00165507" w:rsidRDefault="00C91462" w:rsidP="008A1FE7">
            <w:pPr>
              <w:spacing w:line="360" w:lineRule="auto"/>
              <w:rPr>
                <w:bCs/>
              </w:rPr>
            </w:pPr>
            <w:r w:rsidRPr="00165507">
              <w:rPr>
                <w:bCs/>
              </w:rPr>
              <w:t>Occluded (10)</w:t>
            </w:r>
          </w:p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 w:rsidRPr="00165507">
              <w:rPr>
                <w:bCs/>
              </w:rPr>
              <w:t>Non-occluded (32)</w:t>
            </w: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9.34+/-0.78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8.90+/-0.93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0.20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6.23+/-0.98</w:t>
            </w:r>
          </w:p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5.60+/-0.82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BE1F15">
            <w:pPr>
              <w:spacing w:line="480" w:lineRule="auto"/>
              <w:jc w:val="center"/>
              <w:rPr>
                <w:bCs/>
              </w:rPr>
            </w:pPr>
          </w:p>
          <w:p w:rsidR="00C91462" w:rsidRPr="006A1935" w:rsidRDefault="00C91462" w:rsidP="00BE1F15">
            <w:pPr>
              <w:spacing w:line="480" w:lineRule="auto"/>
              <w:jc w:val="center"/>
              <w:rPr>
                <w:bCs/>
              </w:rPr>
            </w:pPr>
            <w:r w:rsidRPr="006A1935">
              <w:rPr>
                <w:bCs/>
              </w:rPr>
              <w:t>0.051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 of antiplatelet </w:t>
            </w:r>
          </w:p>
          <w:p w:rsidR="00C91462" w:rsidRPr="00165507" w:rsidRDefault="00C91462" w:rsidP="008A1FE7">
            <w:pPr>
              <w:spacing w:line="360" w:lineRule="auto"/>
              <w:rPr>
                <w:bCs/>
              </w:rPr>
            </w:pPr>
            <w:r w:rsidRPr="00165507">
              <w:rPr>
                <w:bCs/>
              </w:rPr>
              <w:t>None (8)</w:t>
            </w:r>
          </w:p>
          <w:p w:rsidR="00C91462" w:rsidRPr="00165507" w:rsidRDefault="00C91462" w:rsidP="008A1FE7">
            <w:pPr>
              <w:spacing w:line="360" w:lineRule="auto"/>
              <w:rPr>
                <w:bCs/>
              </w:rPr>
            </w:pPr>
            <w:proofErr w:type="spellStart"/>
            <w:r w:rsidRPr="00165507">
              <w:rPr>
                <w:bCs/>
              </w:rPr>
              <w:lastRenderedPageBreak/>
              <w:t>Asprin</w:t>
            </w:r>
            <w:proofErr w:type="spellEnd"/>
            <w:r w:rsidRPr="00165507">
              <w:rPr>
                <w:bCs/>
              </w:rPr>
              <w:t xml:space="preserve"> (11)</w:t>
            </w:r>
          </w:p>
          <w:p w:rsidR="004236CF" w:rsidRDefault="004236CF" w:rsidP="004236CF">
            <w:pPr>
              <w:rPr>
                <w:bCs/>
              </w:rPr>
            </w:pPr>
          </w:p>
          <w:p w:rsidR="00C91462" w:rsidRPr="00165507" w:rsidRDefault="00C91462" w:rsidP="004236CF">
            <w:pPr>
              <w:rPr>
                <w:bCs/>
              </w:rPr>
            </w:pPr>
            <w:proofErr w:type="spellStart"/>
            <w:r w:rsidRPr="00165507">
              <w:rPr>
                <w:bCs/>
              </w:rPr>
              <w:t>Asprin</w:t>
            </w:r>
            <w:proofErr w:type="spellEnd"/>
            <w:r w:rsidRPr="00165507">
              <w:rPr>
                <w:bCs/>
              </w:rPr>
              <w:t xml:space="preserve"> and clopidogrel (3)</w:t>
            </w:r>
          </w:p>
          <w:p w:rsidR="004236CF" w:rsidRDefault="004236CF" w:rsidP="004236CF">
            <w:pPr>
              <w:rPr>
                <w:bCs/>
              </w:rPr>
            </w:pPr>
          </w:p>
          <w:p w:rsidR="00C91462" w:rsidRPr="00165507" w:rsidRDefault="00C91462" w:rsidP="004236CF">
            <w:pPr>
              <w:rPr>
                <w:bCs/>
              </w:rPr>
            </w:pPr>
            <w:proofErr w:type="spellStart"/>
            <w:r w:rsidRPr="00165507">
              <w:rPr>
                <w:bCs/>
              </w:rPr>
              <w:t>Asprin</w:t>
            </w:r>
            <w:proofErr w:type="spellEnd"/>
            <w:r w:rsidRPr="00165507">
              <w:rPr>
                <w:bCs/>
              </w:rPr>
              <w:t xml:space="preserve"> and dipyridamole (20)</w:t>
            </w:r>
          </w:p>
          <w:p w:rsidR="00C91462" w:rsidRDefault="00C91462" w:rsidP="008A1F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9.35+/-0.88</w:t>
            </w:r>
          </w:p>
          <w:p w:rsidR="00C91462" w:rsidRDefault="00C91462" w:rsidP="00BE1F15">
            <w:pPr>
              <w:spacing w:line="60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9.06+/-0.58</w:t>
            </w: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9.53+/-0.68</w:t>
            </w: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8.76+/-1.05</w:t>
            </w:r>
          </w:p>
        </w:tc>
        <w:tc>
          <w:tcPr>
            <w:tcW w:w="1417" w:type="dxa"/>
          </w:tcPr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0.31</w:t>
            </w:r>
          </w:p>
        </w:tc>
        <w:tc>
          <w:tcPr>
            <w:tcW w:w="1843" w:type="dxa"/>
          </w:tcPr>
          <w:p w:rsidR="00C91462" w:rsidRDefault="00C91462" w:rsidP="008A1FE7">
            <w:pPr>
              <w:spacing w:line="36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6.36+/-1.38</w:t>
            </w:r>
          </w:p>
          <w:p w:rsidR="00C91462" w:rsidRDefault="00C91462" w:rsidP="00BE1F15">
            <w:pPr>
              <w:spacing w:line="60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5.49+/-0.46</w:t>
            </w:r>
          </w:p>
          <w:p w:rsidR="00C91462" w:rsidRPr="00807F74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5.93+/-1.48</w:t>
            </w: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5.62+/-0.68</w:t>
            </w:r>
          </w:p>
        </w:tc>
        <w:tc>
          <w:tcPr>
            <w:tcW w:w="1134" w:type="dxa"/>
          </w:tcPr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</w:p>
          <w:p w:rsidR="00C91462" w:rsidRDefault="00C91462" w:rsidP="008A1FE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0.16</w:t>
            </w:r>
          </w:p>
        </w:tc>
      </w:tr>
      <w:tr w:rsidR="00C91462" w:rsidRPr="00544A3B" w:rsidTr="004236CF">
        <w:tc>
          <w:tcPr>
            <w:tcW w:w="2836" w:type="dxa"/>
          </w:tcPr>
          <w:p w:rsidR="00C91462" w:rsidRDefault="00C91462" w:rsidP="008A1F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Median days from first symptom to blood test/MRI (IQR)</w:t>
            </w:r>
          </w:p>
        </w:tc>
        <w:tc>
          <w:tcPr>
            <w:tcW w:w="6095" w:type="dxa"/>
            <w:gridSpan w:val="4"/>
          </w:tcPr>
          <w:p w:rsidR="00C91462" w:rsidRDefault="00C91462" w:rsidP="008A1FE7">
            <w:pPr>
              <w:spacing w:line="240" w:lineRule="exact"/>
              <w:jc w:val="center"/>
            </w:pPr>
          </w:p>
          <w:p w:rsidR="00C91462" w:rsidRDefault="00C91462" w:rsidP="008A1FE7">
            <w:pPr>
              <w:spacing w:line="240" w:lineRule="exact"/>
              <w:jc w:val="center"/>
              <w:rPr>
                <w:bCs/>
              </w:rPr>
            </w:pPr>
            <w:r>
              <w:t>Median 35 days, interquartile range (IQR) 59</w:t>
            </w:r>
          </w:p>
        </w:tc>
      </w:tr>
    </w:tbl>
    <w:p w:rsidR="00C91462" w:rsidRDefault="00C91462" w:rsidP="00C91462">
      <w:pPr>
        <w:rPr>
          <w:bCs/>
        </w:rPr>
      </w:pPr>
    </w:p>
    <w:p w:rsidR="00C91462" w:rsidRDefault="00C91462" w:rsidP="00C91462">
      <w:pPr>
        <w:spacing w:line="480" w:lineRule="auto"/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9A77F0" w:rsidRDefault="009A77F0" w:rsidP="00C91462">
      <w:pPr>
        <w:spacing w:line="480" w:lineRule="auto"/>
        <w:rPr>
          <w:b/>
          <w:bCs/>
        </w:rPr>
      </w:pPr>
    </w:p>
    <w:p w:rsidR="00C91462" w:rsidRDefault="00C91462" w:rsidP="00C91462">
      <w:pPr>
        <w:spacing w:line="480" w:lineRule="auto"/>
        <w:rPr>
          <w:b/>
          <w:bCs/>
        </w:rPr>
      </w:pPr>
      <w:r w:rsidRPr="00A57522">
        <w:rPr>
          <w:b/>
          <w:bCs/>
        </w:rPr>
        <w:lastRenderedPageBreak/>
        <w:t xml:space="preserve">Table </w:t>
      </w:r>
      <w:r w:rsidR="00124CD3">
        <w:rPr>
          <w:b/>
          <w:bCs/>
        </w:rPr>
        <w:t>2</w:t>
      </w:r>
      <w:r>
        <w:rPr>
          <w:b/>
          <w:bCs/>
        </w:rPr>
        <w:t xml:space="preserve">   </w:t>
      </w:r>
      <w:r w:rsidRPr="00692624">
        <w:rPr>
          <w:b/>
          <w:bCs/>
          <w:i/>
        </w:rPr>
        <w:t>Platelet and endothelial derived particles are not a</w:t>
      </w:r>
      <w:r w:rsidR="008F1E18">
        <w:rPr>
          <w:b/>
          <w:bCs/>
          <w:i/>
        </w:rPr>
        <w:t xml:space="preserve">ssociated with carotid plaque </w:t>
      </w:r>
      <w:proofErr w:type="spellStart"/>
      <w:r w:rsidR="008F1E18">
        <w:rPr>
          <w:b/>
          <w:bCs/>
          <w:i/>
        </w:rPr>
        <w:t>h</w:t>
      </w:r>
      <w:r w:rsidRPr="00692624">
        <w:rPr>
          <w:b/>
          <w:bCs/>
          <w:i/>
        </w:rPr>
        <w:t>emorrhage</w:t>
      </w:r>
      <w:proofErr w:type="spellEnd"/>
      <w:r w:rsidRPr="00692624">
        <w:rPr>
          <w:b/>
          <w:bCs/>
          <w:i/>
        </w:rPr>
        <w:t xml:space="preserve"> on Magnetic resonance imaging (MRI PH).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C91462" w:rsidRPr="00C63CDA" w:rsidTr="008A1FE7">
        <w:trPr>
          <w:trHeight w:val="1809"/>
        </w:trPr>
        <w:tc>
          <w:tcPr>
            <w:tcW w:w="2234" w:type="dxa"/>
          </w:tcPr>
          <w:p w:rsidR="00C91462" w:rsidRPr="00C63CDA" w:rsidRDefault="00C91462" w:rsidP="008A1FE7">
            <w:pPr>
              <w:spacing w:before="240"/>
              <w:jc w:val="center"/>
              <w:rPr>
                <w:bCs/>
              </w:rPr>
            </w:pPr>
            <w:r w:rsidRPr="000A4202">
              <w:rPr>
                <w:b/>
                <w:bCs/>
              </w:rPr>
              <w:t>MP</w:t>
            </w:r>
            <w:r w:rsidRPr="000A4202">
              <w:rPr>
                <w:bCs/>
              </w:rPr>
              <w:t xml:space="preserve"> (c/µl-</w:t>
            </w:r>
            <w:r>
              <w:rPr>
                <w:bCs/>
              </w:rPr>
              <w:t xml:space="preserve"> Log transformed +/-</w:t>
            </w:r>
            <w:r w:rsidRPr="000A4202">
              <w:rPr>
                <w:bCs/>
              </w:rPr>
              <w:t>SD</w:t>
            </w:r>
            <w:r>
              <w:rPr>
                <w:bCs/>
              </w:rPr>
              <w:t>)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/>
                <w:bCs/>
              </w:rPr>
            </w:pPr>
            <w:r w:rsidRPr="00C63CDA">
              <w:rPr>
                <w:b/>
                <w:bCs/>
              </w:rPr>
              <w:t>MRI PH positive (n=18)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/>
                <w:bCs/>
              </w:rPr>
            </w:pPr>
            <w:r w:rsidRPr="00C63CDA">
              <w:rPr>
                <w:b/>
                <w:bCs/>
              </w:rPr>
              <w:t>MRI PH negative (n=24)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/>
                <w:bCs/>
              </w:rPr>
            </w:pPr>
            <w:r w:rsidRPr="00C63CDA">
              <w:rPr>
                <w:b/>
                <w:bCs/>
              </w:rPr>
              <w:t xml:space="preserve">MRI PH positive vs. negative        </w:t>
            </w:r>
            <w:proofErr w:type="gramStart"/>
            <w:r w:rsidRPr="00C63CDA">
              <w:rPr>
                <w:b/>
                <w:bCs/>
              </w:rPr>
              <w:t xml:space="preserve">   (</w:t>
            </w:r>
            <w:proofErr w:type="gramEnd"/>
            <w:r w:rsidRPr="00C63CDA">
              <w:rPr>
                <w:b/>
                <w:bCs/>
              </w:rPr>
              <w:t>P value)</w:t>
            </w:r>
          </w:p>
        </w:tc>
      </w:tr>
      <w:tr w:rsidR="00C91462" w:rsidRPr="00C63CDA" w:rsidTr="008A1FE7">
        <w:trPr>
          <w:trHeight w:val="1303"/>
        </w:trPr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/>
                <w:bCs/>
              </w:rPr>
            </w:pPr>
            <w:r w:rsidRPr="00C63CDA">
              <w:rPr>
                <w:b/>
                <w:bCs/>
              </w:rPr>
              <w:t>PMP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Cs/>
              </w:rPr>
            </w:pPr>
            <w:r w:rsidRPr="00C63CDA">
              <w:rPr>
                <w:bCs/>
              </w:rPr>
              <w:t>8.86 +/-0.87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Cs/>
              </w:rPr>
            </w:pPr>
            <w:r w:rsidRPr="00C63CDA">
              <w:rPr>
                <w:bCs/>
              </w:rPr>
              <w:t>9.24 +/- 0.94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Cs/>
              </w:rPr>
            </w:pPr>
            <w:r w:rsidRPr="00C63CDA">
              <w:rPr>
                <w:bCs/>
              </w:rPr>
              <w:t>P=0.</w:t>
            </w:r>
            <w:r>
              <w:rPr>
                <w:bCs/>
              </w:rPr>
              <w:t xml:space="preserve">30 </w:t>
            </w:r>
          </w:p>
        </w:tc>
      </w:tr>
      <w:tr w:rsidR="00C91462" w:rsidRPr="00C63CDA" w:rsidTr="008A1FE7">
        <w:trPr>
          <w:trHeight w:val="1316"/>
        </w:trPr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/>
                <w:bCs/>
              </w:rPr>
            </w:pPr>
            <w:r w:rsidRPr="00C63CDA">
              <w:rPr>
                <w:b/>
                <w:bCs/>
              </w:rPr>
              <w:t>EMP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Cs/>
              </w:rPr>
            </w:pPr>
            <w:r w:rsidRPr="00C63CDA">
              <w:rPr>
                <w:bCs/>
              </w:rPr>
              <w:t>5.53 +/-0.63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Cs/>
              </w:rPr>
            </w:pPr>
            <w:r w:rsidRPr="00C63CDA">
              <w:rPr>
                <w:bCs/>
              </w:rPr>
              <w:t>6.11 +/-1.14</w:t>
            </w:r>
          </w:p>
        </w:tc>
        <w:tc>
          <w:tcPr>
            <w:tcW w:w="2234" w:type="dxa"/>
          </w:tcPr>
          <w:p w:rsidR="00C91462" w:rsidRPr="00C63CDA" w:rsidRDefault="00C91462" w:rsidP="008A1FE7">
            <w:pPr>
              <w:spacing w:before="240" w:line="480" w:lineRule="auto"/>
              <w:jc w:val="center"/>
              <w:rPr>
                <w:bCs/>
              </w:rPr>
            </w:pPr>
            <w:r w:rsidRPr="00C63CDA">
              <w:rPr>
                <w:bCs/>
              </w:rPr>
              <w:t>P=0.10</w:t>
            </w:r>
          </w:p>
        </w:tc>
      </w:tr>
    </w:tbl>
    <w:p w:rsidR="00C91462" w:rsidRDefault="00C91462" w:rsidP="00C91462">
      <w:pPr>
        <w:spacing w:line="480" w:lineRule="auto"/>
        <w:rPr>
          <w:b/>
          <w:bCs/>
        </w:rPr>
      </w:pPr>
    </w:p>
    <w:p w:rsidR="00C91462" w:rsidRDefault="00C91462" w:rsidP="00C91462">
      <w:pPr>
        <w:rPr>
          <w:b/>
          <w:sz w:val="32"/>
          <w:szCs w:val="32"/>
        </w:rPr>
      </w:pPr>
    </w:p>
    <w:p w:rsidR="00BD2B8F" w:rsidRDefault="00BD2B8F" w:rsidP="00C91462">
      <w:pPr>
        <w:rPr>
          <w:b/>
          <w:sz w:val="32"/>
          <w:szCs w:val="32"/>
        </w:rPr>
      </w:pPr>
    </w:p>
    <w:p w:rsidR="00BD2B8F" w:rsidRDefault="00BD2B8F" w:rsidP="00C91462">
      <w:pPr>
        <w:rPr>
          <w:b/>
          <w:sz w:val="32"/>
          <w:szCs w:val="32"/>
        </w:rPr>
      </w:pPr>
    </w:p>
    <w:p w:rsidR="00BD2B8F" w:rsidRDefault="00BD2B8F" w:rsidP="00C91462">
      <w:pPr>
        <w:rPr>
          <w:b/>
          <w:sz w:val="32"/>
          <w:szCs w:val="32"/>
        </w:rPr>
      </w:pPr>
    </w:p>
    <w:p w:rsidR="00BD2B8F" w:rsidRDefault="00BD2B8F" w:rsidP="00C91462">
      <w:pPr>
        <w:rPr>
          <w:b/>
          <w:sz w:val="32"/>
          <w:szCs w:val="32"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D6575E" w:rsidRDefault="00D6575E" w:rsidP="00C91462">
      <w:pPr>
        <w:rPr>
          <w:b/>
          <w:bCs/>
        </w:rPr>
      </w:pPr>
    </w:p>
    <w:p w:rsidR="00BD2B8F" w:rsidRDefault="00BD2B8F" w:rsidP="00C91462">
      <w:pPr>
        <w:rPr>
          <w:b/>
          <w:sz w:val="32"/>
          <w:szCs w:val="32"/>
        </w:rPr>
      </w:pPr>
      <w:r>
        <w:rPr>
          <w:b/>
          <w:bCs/>
        </w:rPr>
        <w:lastRenderedPageBreak/>
        <w:t xml:space="preserve">Figure </w:t>
      </w:r>
      <w:proofErr w:type="gramStart"/>
      <w:r w:rsidR="00124CD3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 </w:t>
      </w:r>
      <w:r w:rsidRPr="00DE5ED6">
        <w:rPr>
          <w:b/>
          <w:bCs/>
          <w:i/>
        </w:rPr>
        <w:t>Summary</w:t>
      </w:r>
      <w:proofErr w:type="gramEnd"/>
      <w:r w:rsidRPr="00DE5ED6">
        <w:rPr>
          <w:b/>
          <w:bCs/>
          <w:i/>
        </w:rPr>
        <w:t xml:space="preserve"> of the pathophysiological evidence of </w:t>
      </w:r>
      <w:r>
        <w:rPr>
          <w:b/>
          <w:bCs/>
          <w:i/>
        </w:rPr>
        <w:t>microparticle</w:t>
      </w:r>
      <w:r w:rsidRPr="00DE5ED6">
        <w:rPr>
          <w:b/>
          <w:bCs/>
          <w:i/>
        </w:rPr>
        <w:t xml:space="preserve"> involvement in thrombo-embolic stroke</w:t>
      </w:r>
      <w:r w:rsidR="00124CD3">
        <w:rPr>
          <w:b/>
          <w:noProof/>
          <w:sz w:val="32"/>
          <w:szCs w:val="32"/>
        </w:rPr>
        <w:pict>
          <v:group id="_x0000_s1026" style="position:absolute;margin-left:-21.45pt;margin-top:57.75pt;width:493.6pt;height:664.85pt;z-index:251658240;mso-position-horizontal-relative:text;mso-position-vertical-relative:text" coordorigin="1820,2513" coordsize="9872,13297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6568;top:10085;width:375;height:9872;rotation:270"/>
            <v:group id="_x0000_s1028" style="position:absolute;left:1898;top:2513;width:9794;height:13297" coordorigin="1641,2513" coordsize="9794,1329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11265;top:13418;width:170;height:0" o:connectortype="straight"/>
              <v:group id="_x0000_s1030" style="position:absolute;left:1641;top:2513;width:9794;height:13297" coordorigin="1589,2513" coordsize="9794,132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543;top:4200;width:2160;height:485" stroked="f">
                  <v:textbox style="mso-next-textbox:#_x0000_s1031">
                    <w:txbxContent>
                      <w:p w:rsidR="00BD2B8F" w:rsidRDefault="00BD2B8F" w:rsidP="00BD2B8F">
                        <w:r w:rsidRPr="00A802D2">
                          <w:rPr>
                            <w:b/>
                            <w:bCs/>
                            <w:sz w:val="28"/>
                            <w:szCs w:val="28"/>
                          </w:rPr>
                          <w:t>Proatherogenic factors</w:t>
                        </w:r>
                      </w:p>
                    </w:txbxContent>
                  </v:textbox>
                </v:shape>
                <v:shape id="_x0000_s1032" type="#_x0000_t202" style="position:absolute;left:5819;top:4200;width:2445;height:431" stroked="f">
                  <v:textbox style="mso-next-textbox:#_x0000_s1032">
                    <w:txbxContent>
                      <w:p w:rsidR="00BD2B8F" w:rsidRDefault="00BD2B8F" w:rsidP="00BD2B8F">
                        <w:r w:rsidRPr="00A802D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Proinflammatory </w:t>
                        </w:r>
                        <w:r w:rsidRPr="00A802D2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_x0000_s1033" type="#_x0000_t202" style="position:absolute;left:8848;top:4200;width:2072;height:485" stroked="f">
                  <v:textbox style="mso-next-textbox:#_x0000_s1033">
                    <w:txbxContent>
                      <w:p w:rsidR="00BD2B8F" w:rsidRDefault="00BD2B8F" w:rsidP="00BD2B8F">
                        <w:r w:rsidRPr="00A802D2">
                          <w:rPr>
                            <w:b/>
                            <w:bCs/>
                            <w:sz w:val="28"/>
                            <w:szCs w:val="28"/>
                          </w:rPr>
                          <w:t>Procoagulant</w:t>
                        </w:r>
                      </w:p>
                    </w:txbxContent>
                  </v:textbox>
                </v:shape>
                <v:group id="_x0000_s1034" style="position:absolute;left:1589;top:2513;width:9794;height:13297" coordorigin="1589,2513" coordsize="9794,13297">
                  <v:group id="_x0000_s1035" style="position:absolute;left:1820;top:2768;width:9563;height:13042" coordorigin="1820,2768" coordsize="9563,13042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_x0000_s1036" type="#_x0000_t67" style="position:absolute;left:3127;top:13418;width:718;height:510">
                      <v:textbox style="layout-flow:vertical-ideographic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37" type="#_x0000_t13" style="position:absolute;left:5622;top:14068;width:986;height:765"/>
                    <v:shape id="_x0000_s1038" type="#_x0000_t67" style="position:absolute;left:6746;top:11960;width:718;height:1968;rotation:180">
                      <v:textbox style="layout-flow:vertical-ideographic"/>
                    </v:shape>
                    <v:shape id="_x0000_s1039" type="#_x0000_t67" style="position:absolute;left:9524;top:11960;width:718;height:435">
                      <v:textbox style="layout-flow:vertical-ideographic"/>
                    </v:shape>
                    <v:shape id="_x0000_s1040" type="#_x0000_t202" style="position:absolute;left:1820;top:13903;width:3802;height:930">
                      <v:textbox style="mso-next-textbox:#_x0000_s1040">
                        <w:txbxContent>
                          <w:p w:rsidR="00BD2B8F" w:rsidRPr="00043E44" w:rsidRDefault="00BD2B8F" w:rsidP="00BD2B8F">
                            <w:r w:rsidRPr="00043E44">
                              <w:t>Shear stress</w:t>
                            </w:r>
                            <w:r>
                              <w:t>es</w:t>
                            </w:r>
                            <w:r w:rsidRPr="00043E44">
                              <w:t xml:space="preserve"> </w:t>
                            </w:r>
                            <w:r>
                              <w:t xml:space="preserve">by atherosclerotic stenotic vessels </w:t>
                            </w:r>
                            <w:r w:rsidRPr="00043E44">
                              <w:t xml:space="preserve">increase </w:t>
                            </w:r>
                            <w:r>
                              <w:t>further MP.</w:t>
                            </w:r>
                          </w:p>
                          <w:p w:rsidR="00BD2B8F" w:rsidRDefault="00BD2B8F" w:rsidP="00BD2B8F"/>
                        </w:txbxContent>
                      </v:textbox>
                    </v:shape>
                    <v:shape id="_x0000_s1041" type="#_x0000_t202" style="position:absolute;left:6608;top:13928;width:2916;height:930">
                      <v:textbox style="mso-next-textbox:#_x0000_s1041">
                        <w:txbxContent>
                          <w:p w:rsidR="00BD2B8F" w:rsidRDefault="00BD2B8F" w:rsidP="00BD2B8F">
                            <w:r>
                              <w:t xml:space="preserve">Shear stressed MP </w:t>
                            </w:r>
                            <w:r w:rsidRPr="00C60D46">
                              <w:t xml:space="preserve">increase CD inflammatory cells.  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011;top:15208;width:5225;height:602;mso-width-relative:margin;mso-height-relative:margin">
                      <v:textbox style="mso-next-textbox:#_x0000_s1042">
                        <w:txbxContent>
                          <w:p w:rsidR="00BD2B8F" w:rsidRPr="00316870" w:rsidRDefault="00BD2B8F" w:rsidP="00BD2B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Thrombo-embolic stroke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431;top:12395;width:2834;height:513">
                      <v:textbox style="mso-next-textbox:#_x0000_s1043">
                        <w:txbxContent>
                          <w:p w:rsidR="00BD2B8F" w:rsidRPr="008F5D08" w:rsidRDefault="00BD2B8F" w:rsidP="00BD2B8F">
                            <w:pPr>
                              <w:rPr>
                                <w:b/>
                              </w:rPr>
                            </w:pPr>
                            <w:r w:rsidRPr="008F5D08">
                              <w:rPr>
                                <w:b/>
                              </w:rPr>
                              <w:t>Form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8F5D08">
                              <w:rPr>
                                <w:b/>
                              </w:rPr>
                              <w:t xml:space="preserve"> thrombus/emboli</w:t>
                            </w:r>
                          </w:p>
                        </w:txbxContent>
                      </v:textbox>
                    </v:shape>
                    <v:shape id="_x0000_s1044" type="#_x0000_t202" style="position:absolute;left:8431;top:13013;width:2834;height:765">
                      <v:textbox style="mso-next-textbox:#_x0000_s1044">
                        <w:txbxContent>
                          <w:p w:rsidR="00BD2B8F" w:rsidRDefault="00BD2B8F" w:rsidP="00BD2B8F">
                            <w:r>
                              <w:t>Recruitment of more platelets</w:t>
                            </w:r>
                          </w:p>
                        </w:txbxContent>
                      </v:textbox>
                    </v:shape>
                    <v:shape id="_x0000_s1045" type="#_x0000_t32" style="position:absolute;left:11383;top:2768;width:0;height:10650;flip:y" o:connectortype="straight"/>
                    <v:shape id="_x0000_s1046" type="#_x0000_t32" style="position:absolute;left:8010;top:2768;width:3373;height:0;flip:x" o:connectortype="straight">
                      <v:stroke endarrow="block"/>
                    </v:shape>
                  </v:group>
                  <v:group id="_x0000_s1047" style="position:absolute;left:1589;top:2513;width:9676;height:11842" coordorigin="1589,2513" coordsize="9676,11842">
                    <v:group id="_x0000_s1048" style="position:absolute;left:1820;top:4685;width:9445;height:8733" coordorigin="1820,4685" coordsize="9445,8733">
                      <v:shape id="_x0000_s1049" type="#_x0000_t202" style="position:absolute;left:5557;top:4685;width:2768;height:7275">
                        <v:textbox style="mso-next-textbox:#_x0000_s1049">
                          <w:txbxContent>
                            <w:p w:rsidR="00BD2B8F" w:rsidRPr="005402A7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>
                                <w:t>PMP</w:t>
                              </w:r>
                              <w:r w:rsidRPr="005402A7">
                                <w:t xml:space="preserve"> contain RANTES: a potent chemo-attractant for monocytes and T-cells</w:t>
                              </w:r>
                            </w:p>
                            <w:p w:rsidR="00BD2B8F" w:rsidRPr="005402A7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>
                                <w:t xml:space="preserve"> PMP</w:t>
                              </w:r>
                              <w:r w:rsidRPr="005402A7">
                                <w:t xml:space="preserve"> induce expression of COX-1 and </w:t>
                              </w:r>
                              <w:proofErr w:type="spellStart"/>
                              <w:r w:rsidRPr="005402A7">
                                <w:t>prostacy</w:t>
                              </w:r>
                              <w:r>
                                <w:t>c</w:t>
                              </w:r>
                              <w:r w:rsidRPr="005402A7">
                                <w:t>lines</w:t>
                              </w:r>
                              <w:proofErr w:type="spellEnd"/>
                              <w:r w:rsidRPr="005402A7">
                                <w:t>; thought to worsen ischaemic infarcts.</w:t>
                              </w:r>
                            </w:p>
                            <w:p w:rsidR="00BD2B8F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>
                                <w:t xml:space="preserve"> EMP</w:t>
                              </w:r>
                              <w:r w:rsidRPr="005402A7">
                                <w:t xml:space="preserve"> impairs nitrous oxide which normally inhibits monocyte adhesion</w:t>
                              </w:r>
                            </w:p>
                          </w:txbxContent>
                        </v:textbox>
                      </v:shape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_x0000_s1050" type="#_x0000_t69" style="position:absolute;left:5332;top:5839;width:225;height:765"/>
                      <v:shape id="_x0000_s1051" type="#_x0000_t202" style="position:absolute;left:1820;top:4685;width:3512;height:8733">
                        <v:textbox style="mso-next-textbox:#_x0000_s1051">
                          <w:txbxContent>
                            <w:p w:rsidR="00BD2B8F" w:rsidRPr="00845284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 w:rsidRPr="00845284">
                                <w:t>Oxidised phospholipids (</w:t>
                              </w:r>
                              <w:proofErr w:type="spellStart"/>
                              <w:r w:rsidRPr="00845284">
                                <w:t>OxPL</w:t>
                              </w:r>
                              <w:proofErr w:type="spellEnd"/>
                              <w:r w:rsidRPr="00845284">
                                <w:t>) on MP’s may form an active biological component involved in atherogenesis.</w:t>
                              </w:r>
                            </w:p>
                            <w:p w:rsidR="00BD2B8F" w:rsidRPr="00845284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>
                                <w:t>MP</w:t>
                              </w:r>
                              <w:r w:rsidRPr="00845284">
                                <w:t xml:space="preserve"> stimulate expression of adhesion molecules, particularly ICAM’s</w:t>
                              </w:r>
                              <w:r>
                                <w:t>, interleukins and TNFα.</w:t>
                              </w:r>
                            </w:p>
                            <w:p w:rsidR="00BD2B8F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>
                                <w:t>EMP</w:t>
                              </w:r>
                              <w:r w:rsidRPr="00845284">
                                <w:t xml:space="preserve"> impairs nitrous oxide (increases </w:t>
                              </w:r>
                              <w:r>
                                <w:t>arterial stiffness</w:t>
                              </w:r>
                              <w:r w:rsidRPr="00845284">
                                <w:t xml:space="preserve"> and platelet aggregation involved in atherosclerosis)</w:t>
                              </w:r>
                            </w:p>
                            <w:p w:rsidR="00BD2B8F" w:rsidRPr="00845284" w:rsidRDefault="00BD2B8F" w:rsidP="00BD2B8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360" w:lineRule="auto"/>
                              </w:pPr>
                              <w:r>
                                <w:t xml:space="preserve">PMP are contained in carotid plaque contain active </w:t>
                              </w:r>
                              <w:proofErr w:type="spellStart"/>
                              <w:r>
                                <w:t>caplain</w:t>
                              </w:r>
                              <w:proofErr w:type="spellEnd"/>
                              <w:r>
                                <w:t xml:space="preserve"> which regulate </w:t>
                              </w:r>
                              <w:proofErr w:type="spellStart"/>
                              <w:r>
                                <w:t>metallo</w:t>
                              </w:r>
                              <w:proofErr w:type="spellEnd"/>
                              <w:r>
                                <w:t>-proteinases –MMP’s (MMP’s contributes to the unstable plaque)</w:t>
                              </w:r>
                            </w:p>
                            <w:p w:rsidR="00BD2B8F" w:rsidRDefault="00BD2B8F" w:rsidP="00BD2B8F"/>
                          </w:txbxContent>
                        </v:textbox>
                      </v:shape>
                      <v:shape id="_x0000_s1052" type="#_x0000_t202" style="position:absolute;left:8520;top:4685;width:2745;height:7275">
                        <v:textbox style="mso-next-textbox:#_x0000_s1052">
                          <w:txbxContent>
                            <w:p w:rsidR="00BD2B8F" w:rsidRPr="00CB1A23" w:rsidRDefault="00BD2B8F" w:rsidP="00BD2B8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360" w:lineRule="auto"/>
                                <w:rPr>
                                  <w:sz w:val="22"/>
                                </w:rPr>
                              </w:pPr>
                              <w:r w:rsidRPr="00CB1A2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PMP within carotid plaques and its membrane surface</w:t>
                              </w:r>
                              <w:r w:rsidRPr="00CB1A23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01122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11228">
                                <w:rPr>
                                  <w:sz w:val="22"/>
                                </w:rPr>
                                <w:t>(</w:t>
                              </w:r>
                              <w:proofErr w:type="spellStart"/>
                              <w:r w:rsidRPr="00011228">
                                <w:rPr>
                                  <w:sz w:val="22"/>
                                </w:rPr>
                                <w:t>Aminophospholipid</w:t>
                              </w:r>
                              <w:proofErr w:type="spellEnd"/>
                              <w:r w:rsidRPr="00011228">
                                <w:rPr>
                                  <w:sz w:val="22"/>
                                </w:rPr>
                                <w:t>) accelerate activation of coagulation factors 2a, 5a, 8, 9a, 10a, 11. MP are the main reservoir for TF activity which promotes coagulation.</w:t>
                              </w:r>
                              <w:r w:rsidRPr="00011228"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2B8F" w:rsidRPr="00011228" w:rsidRDefault="00BD2B8F" w:rsidP="00BD2B8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360" w:lineRule="auto"/>
                                <w:rPr>
                                  <w:sz w:val="22"/>
                                </w:rPr>
                              </w:pPr>
                              <w:r w:rsidRPr="00011228">
                                <w:rPr>
                                  <w:b/>
                                  <w:bCs/>
                                  <w:sz w:val="22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P </w:t>
                              </w:r>
                              <w:proofErr w:type="gramStart"/>
                              <w:r w:rsidRPr="00011228">
                                <w:rPr>
                                  <w:b/>
                                  <w:bCs/>
                                  <w:sz w:val="22"/>
                                </w:rPr>
                                <w:t xml:space="preserve">antigens </w:t>
                              </w:r>
                              <w:r w:rsidRPr="00011228">
                                <w:rPr>
                                  <w:sz w:val="22"/>
                                </w:rPr>
                                <w:t>:</w:t>
                              </w:r>
                              <w:proofErr w:type="gramEnd"/>
                              <w:r w:rsidRPr="00011228">
                                <w:rPr>
                                  <w:sz w:val="22"/>
                                </w:rPr>
                                <w:t xml:space="preserve"> MP’s contains various antigens </w:t>
                              </w:r>
                              <w:proofErr w:type="spellStart"/>
                              <w:r w:rsidRPr="00011228">
                                <w:rPr>
                                  <w:sz w:val="22"/>
                                </w:rPr>
                                <w:t>GPIb</w:t>
                              </w:r>
                              <w:proofErr w:type="spellEnd"/>
                              <w:r w:rsidRPr="00011228">
                                <w:rPr>
                                  <w:sz w:val="22"/>
                                </w:rPr>
                                <w:t>, GP IIb, GP IIIa, VWF,  selectin and thromboxane A2 which promote coagulation</w:t>
                              </w:r>
                            </w:p>
                            <w:p w:rsidR="00BD2B8F" w:rsidRDefault="00BD2B8F" w:rsidP="00BD2B8F"/>
                          </w:txbxContent>
                        </v:textbox>
                      </v:shape>
                    </v:group>
                    <v:group id="_x0000_s1053" style="position:absolute;left:3693;top:2513;width:5946;height:1762" coordorigin="3693,2513" coordsize="5946,1762">
                      <v:shape id="_x0000_s1054" type="#_x0000_t67" style="position:absolute;left:4628;top:2382;width:347;height:2218;rotation:3219715fd">
                        <v:textbox style="layout-flow:vertical-ideographic"/>
                      </v:shape>
                      <v:shape id="_x0000_s1055" type="#_x0000_t67" style="position:absolute;left:8354;top:2358;width:340;height:2230;rotation:-26572312fd">
                        <v:textbox style="layout-flow:vertical-ideographic"/>
                      </v:shape>
                      <v:shape id="_x0000_s1056" type="#_x0000_t67" style="position:absolute;left:6462;top:3090;width:437;height:1185">
                        <v:textbox style="layout-flow:vertical-ideographic"/>
                      </v:shape>
                      <v:shape id="_x0000_s1057" type="#_x0000_t202" style="position:absolute;left:5557;top:2513;width:2283;height:577;mso-width-relative:margin;mso-height-relative:margin">
                        <v:textbox style="mso-next-textbox:#_x0000_s1057">
                          <w:txbxContent>
                            <w:p w:rsidR="00BD2B8F" w:rsidRPr="00A802D2" w:rsidRDefault="00BD2B8F" w:rsidP="00BD2B8F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PMP/EMP</w:t>
                              </w:r>
                            </w:p>
                          </w:txbxContent>
                        </v:textbox>
                      </v:shape>
                    </v:group>
                    <v:group id="_x0000_s1058" style="position:absolute;left:1589;top:2768;width:3782;height:11587" coordorigin="1589,2768" coordsize="3782,11587">
                      <v:shape id="_x0000_s1059" type="#_x0000_t32" style="position:absolute;left:1589;top:2768;width:23;height:11587;flip:x" o:connectortype="straight"/>
                      <v:shape id="_x0000_s1060" type="#_x0000_t32" style="position:absolute;left:1615;top:2768;width:3756;height:0" o:connectortype="straight">
                        <v:stroke endarrow="block"/>
                      </v:shape>
                      <v:shape id="_x0000_s1061" type="#_x0000_t32" style="position:absolute;left:1615;top:14355;width:205;height:0" o:connectortype="straight"/>
                    </v:group>
                  </v:group>
                </v:group>
              </v:group>
            </v:group>
          </v:group>
        </w:pict>
      </w:r>
    </w:p>
    <w:p w:rsidR="007E6D99" w:rsidRDefault="007E6D99"/>
    <w:sectPr w:rsidR="007E6D99" w:rsidSect="007E6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17" w:rsidRDefault="00FE3D17" w:rsidP="0097316D">
      <w:r>
        <w:separator/>
      </w:r>
    </w:p>
  </w:endnote>
  <w:endnote w:type="continuationSeparator" w:id="0">
    <w:p w:rsidR="00FE3D17" w:rsidRDefault="00FE3D17" w:rsidP="009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36" w:rsidRDefault="002355AD">
    <w:pPr>
      <w:pStyle w:val="Fuzeile"/>
      <w:jc w:val="center"/>
    </w:pPr>
    <w:r>
      <w:fldChar w:fldCharType="begin"/>
    </w:r>
    <w:r w:rsidR="00C91462">
      <w:instrText xml:space="preserve"> PAGE   \* MERGEFORMAT </w:instrText>
    </w:r>
    <w:r>
      <w:fldChar w:fldCharType="separate"/>
    </w:r>
    <w:r w:rsidR="00FE3D17">
      <w:rPr>
        <w:noProof/>
      </w:rPr>
      <w:t>1</w:t>
    </w:r>
    <w:r>
      <w:fldChar w:fldCharType="end"/>
    </w:r>
  </w:p>
  <w:p w:rsidR="00846536" w:rsidRDefault="00124C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17" w:rsidRDefault="00FE3D17" w:rsidP="0097316D">
      <w:r>
        <w:separator/>
      </w:r>
    </w:p>
  </w:footnote>
  <w:footnote w:type="continuationSeparator" w:id="0">
    <w:p w:rsidR="00FE3D17" w:rsidRDefault="00FE3D17" w:rsidP="0097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A7A"/>
    <w:multiLevelType w:val="hybridMultilevel"/>
    <w:tmpl w:val="F97A59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CE7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4811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5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DA9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2E9B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168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A8EE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E418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1BD551A"/>
    <w:multiLevelType w:val="hybridMultilevel"/>
    <w:tmpl w:val="2180A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CE7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4811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5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DA9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2E9B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168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A8EE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E418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76F43377"/>
    <w:multiLevelType w:val="multilevel"/>
    <w:tmpl w:val="52AAC8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NKsubheading1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462"/>
    <w:rsid w:val="00124CD3"/>
    <w:rsid w:val="00146428"/>
    <w:rsid w:val="002355AD"/>
    <w:rsid w:val="004030C4"/>
    <w:rsid w:val="004236CF"/>
    <w:rsid w:val="005A0CF6"/>
    <w:rsid w:val="005B751F"/>
    <w:rsid w:val="005F43F1"/>
    <w:rsid w:val="007E6D99"/>
    <w:rsid w:val="008F1E18"/>
    <w:rsid w:val="0097316D"/>
    <w:rsid w:val="009A77F0"/>
    <w:rsid w:val="009D0220"/>
    <w:rsid w:val="00BD2B8F"/>
    <w:rsid w:val="00BE1F15"/>
    <w:rsid w:val="00C91462"/>
    <w:rsid w:val="00D6575E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7" type="connector" idref="#_x0000_s1060"/>
        <o:r id="V:Rule8" type="connector" idref="#_x0000_s1046"/>
        <o:r id="V:Rule9" type="connector" idref="#_x0000_s1029"/>
        <o:r id="V:Rule10" type="connector" idref="#_x0000_s1045"/>
        <o:r id="V:Rule11" type="connector" idref="#_x0000_s1061"/>
        <o:r id="V:Rule12" type="connector" idref="#_x0000_s1059"/>
      </o:rules>
    </o:shapelayout>
  </w:shapeDefaults>
  <w:decimalSymbol w:val="."/>
  <w:listSeparator w:val=";"/>
  <w14:docId w14:val="09329E2C"/>
  <w15:docId w15:val="{BC25C446-59AC-4E1E-9DA3-9E0C680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1462"/>
    <w:pPr>
      <w:spacing w:after="0" w:line="240" w:lineRule="auto"/>
    </w:pPr>
    <w:rPr>
      <w:rFonts w:eastAsia="Times New Roman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02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02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KChapterheading">
    <w:name w:val="NK Chapter heading"/>
    <w:basedOn w:val="berschrift1"/>
    <w:qFormat/>
    <w:rsid w:val="009D0220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/>
      <w:color w:val="auto"/>
      <w:kern w:val="32"/>
      <w:sz w:val="44"/>
      <w:szCs w:val="32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D0220"/>
    <w:pPr>
      <w:spacing w:after="100" w:line="480" w:lineRule="auto"/>
    </w:pPr>
    <w:rPr>
      <w:b/>
      <w:sz w:val="28"/>
      <w:szCs w:val="22"/>
      <w:lang w:val="en-US" w:eastAsia="en-US"/>
    </w:rPr>
  </w:style>
  <w:style w:type="paragraph" w:customStyle="1" w:styleId="NKsubheading1">
    <w:name w:val="NK subheading 1"/>
    <w:basedOn w:val="berschrift2"/>
    <w:qFormat/>
    <w:rsid w:val="009D0220"/>
    <w:pPr>
      <w:keepLines w:val="0"/>
      <w:numPr>
        <w:ilvl w:val="1"/>
        <w:numId w:val="1"/>
      </w:numPr>
      <w:spacing w:before="240" w:after="60" w:line="480" w:lineRule="auto"/>
    </w:pPr>
    <w:rPr>
      <w:b w:val="0"/>
      <w:i/>
      <w:iCs/>
      <w:color w:val="auto"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0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C91462"/>
    <w:pPr>
      <w:tabs>
        <w:tab w:val="center" w:pos="4153"/>
        <w:tab w:val="right" w:pos="8306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91462"/>
    <w:rPr>
      <w:rFonts w:eastAsia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Neghal</dc:creator>
  <cp:lastModifiedBy>Elisabeth Stöcklin</cp:lastModifiedBy>
  <cp:revision>7</cp:revision>
  <cp:lastPrinted>2018-02-28T17:12:00Z</cp:lastPrinted>
  <dcterms:created xsi:type="dcterms:W3CDTF">2018-02-28T16:14:00Z</dcterms:created>
  <dcterms:modified xsi:type="dcterms:W3CDTF">2019-02-22T09:27:00Z</dcterms:modified>
</cp:coreProperties>
</file>