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647B" w14:textId="77777777" w:rsidR="00A34906" w:rsidRDefault="00A34906" w:rsidP="00A34906">
      <w:pPr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Supplemental Tables</w:t>
      </w:r>
    </w:p>
    <w:p w14:paraId="7DEFA3CE" w14:textId="77777777" w:rsidR="00A34906" w:rsidRDefault="00A34906" w:rsidP="00A34906">
      <w:pPr>
        <w:contextualSpacing/>
        <w:rPr>
          <w:rFonts w:ascii="Times New Roman" w:hAnsi="Times New Roman" w:cs="Times New Roman"/>
          <w:b/>
          <w:lang w:val="en-US"/>
        </w:rPr>
      </w:pPr>
    </w:p>
    <w:p w14:paraId="625F27B3" w14:textId="77777777" w:rsidR="009C0B8D" w:rsidRDefault="009C0B8D" w:rsidP="00A34906">
      <w:pPr>
        <w:contextualSpacing/>
        <w:rPr>
          <w:rFonts w:ascii="Times New Roman" w:hAnsi="Times New Roman" w:cs="Times New Roman"/>
          <w:b/>
          <w:lang w:val="en-US"/>
        </w:rPr>
      </w:pPr>
    </w:p>
    <w:p w14:paraId="6D6C1DC1" w14:textId="77777777" w:rsidR="00A34906" w:rsidRDefault="00A34906" w:rsidP="00A34906">
      <w:pPr>
        <w:contextualSpacing/>
        <w:rPr>
          <w:noProof/>
          <w:sz w:val="22"/>
        </w:rPr>
      </w:pPr>
      <w:r>
        <w:rPr>
          <w:rFonts w:ascii="Times New Roman" w:hAnsi="Times New Roman" w:cs="Times New Roman"/>
          <w:b/>
          <w:lang w:val="en-US"/>
        </w:rPr>
        <w:t xml:space="preserve">Table S1. </w:t>
      </w:r>
      <w:r>
        <w:rPr>
          <w:rFonts w:ascii="Times New Roman" w:hAnsi="Times New Roman" w:cs="Times New Roman"/>
          <w:lang w:val="en-US"/>
        </w:rPr>
        <w:t xml:space="preserve">Summary of volumetric data used for modularity analyses, modified with permission from </w:t>
      </w:r>
      <w:r>
        <w:rPr>
          <w:rFonts w:ascii="Times New Roman" w:hAnsi="Times New Roman" w:cs="Times New Roman"/>
          <w:lang w:val="en-US"/>
        </w:rPr>
        <w:t>Kamhi et al. [2017]</w:t>
      </w:r>
      <w:r>
        <w:rPr>
          <w:rFonts w:ascii="Times New Roman" w:hAnsi="Times New Roman" w:cs="Times New Roman"/>
          <w:lang w:val="en-US"/>
        </w:rPr>
        <w:t xml:space="preserve">. For each species, subcaste, and age group, the </w:t>
      </w:r>
      <w:r>
        <w:rPr>
          <w:sz w:val="22"/>
        </w:rPr>
        <w:t>m</w:t>
      </w:r>
      <w:r>
        <w:rPr>
          <w:sz w:val="22"/>
        </w:rPr>
        <w:t xml:space="preserve">ean </w:t>
      </w:r>
      <w:r>
        <w:rPr>
          <w:noProof/>
          <w:sz w:val="22"/>
        </w:rPr>
        <w:sym w:font="Symbol" w:char="F0B1"/>
      </w:r>
      <w:r>
        <w:rPr>
          <w:noProof/>
          <w:sz w:val="22"/>
        </w:rPr>
        <w:t xml:space="preserve"> sd (mm</w:t>
      </w:r>
      <w:r>
        <w:rPr>
          <w:noProof/>
          <w:sz w:val="22"/>
          <w:vertAlign w:val="superscript"/>
        </w:rPr>
        <w:t>3</w:t>
      </w:r>
      <w:r>
        <w:rPr>
          <w:noProof/>
          <w:sz w:val="22"/>
        </w:rPr>
        <w:t xml:space="preserve">) of </w:t>
      </w:r>
      <w:r>
        <w:rPr>
          <w:noProof/>
          <w:sz w:val="22"/>
        </w:rPr>
        <w:t xml:space="preserve">each </w:t>
      </w:r>
      <w:r>
        <w:rPr>
          <w:noProof/>
          <w:sz w:val="22"/>
        </w:rPr>
        <w:t xml:space="preserve">brain region </w:t>
      </w:r>
      <w:r>
        <w:rPr>
          <w:noProof/>
          <w:sz w:val="22"/>
        </w:rPr>
        <w:t>are presented</w:t>
      </w:r>
      <w:r>
        <w:rPr>
          <w:noProof/>
          <w:sz w:val="22"/>
        </w:rPr>
        <w:t>.</w:t>
      </w:r>
    </w:p>
    <w:p w14:paraId="67BE6222" w14:textId="77777777" w:rsidR="00A34906" w:rsidRPr="00A34906" w:rsidRDefault="00A34906" w:rsidP="00A34906">
      <w:pPr>
        <w:contextualSpacing/>
        <w:rPr>
          <w:noProof/>
          <w:sz w:val="22"/>
        </w:rPr>
      </w:pPr>
    </w:p>
    <w:p w14:paraId="0DC79749" w14:textId="77777777" w:rsidR="00A34906" w:rsidRDefault="00A34906" w:rsidP="00A34906">
      <w:pPr>
        <w:contextualSpacing/>
        <w:rPr>
          <w:noProof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26"/>
        <w:gridCol w:w="2268"/>
        <w:gridCol w:w="2410"/>
        <w:gridCol w:w="1842"/>
      </w:tblGrid>
      <w:tr w:rsidR="00A34906" w14:paraId="3F796886" w14:textId="77777777" w:rsidTr="007771B9">
        <w:tc>
          <w:tcPr>
            <w:tcW w:w="1526" w:type="dxa"/>
          </w:tcPr>
          <w:p w14:paraId="3D037255" w14:textId="77777777" w:rsidR="00A34906" w:rsidRPr="005E0E43" w:rsidRDefault="00A34906" w:rsidP="007771B9">
            <w:pPr>
              <w:contextualSpacing/>
              <w:rPr>
                <w:b/>
                <w:noProof/>
                <w:sz w:val="22"/>
              </w:rPr>
            </w:pPr>
            <w:r w:rsidRPr="005E0E43">
              <w:rPr>
                <w:b/>
                <w:noProof/>
                <w:sz w:val="22"/>
              </w:rPr>
              <w:t>Brain region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46042A" w14:textId="77777777" w:rsidR="00A34906" w:rsidRPr="005E0E43" w:rsidRDefault="00A34906" w:rsidP="007771B9">
            <w:pPr>
              <w:contextualSpacing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Species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1A9E91" w14:textId="77777777" w:rsidR="00A34906" w:rsidRPr="005E0E43" w:rsidRDefault="00A34906" w:rsidP="007771B9">
            <w:pPr>
              <w:contextualSpacing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Newly eclosed (mm</w:t>
            </w:r>
            <w:r w:rsidRPr="006F6231">
              <w:rPr>
                <w:b/>
                <w:noProof/>
                <w:sz w:val="22"/>
                <w:vertAlign w:val="superscript"/>
              </w:rPr>
              <w:t>3</w:t>
            </w:r>
            <w:r>
              <w:rPr>
                <w:b/>
                <w:noProof/>
                <w:sz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41FC50" w14:textId="77777777" w:rsidR="00A34906" w:rsidRPr="005E0E43" w:rsidRDefault="00A34906" w:rsidP="007771B9">
            <w:pPr>
              <w:contextualSpacing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Mature (mm</w:t>
            </w:r>
            <w:r w:rsidRPr="006F6231">
              <w:rPr>
                <w:b/>
                <w:noProof/>
                <w:sz w:val="22"/>
                <w:vertAlign w:val="superscript"/>
              </w:rPr>
              <w:t>3</w:t>
            </w:r>
            <w:r>
              <w:rPr>
                <w:b/>
                <w:noProof/>
                <w:sz w:val="22"/>
              </w:rPr>
              <w:t>)</w:t>
            </w:r>
          </w:p>
        </w:tc>
      </w:tr>
      <w:tr w:rsidR="00A34906" w14:paraId="5B55C2D8" w14:textId="77777777" w:rsidTr="007771B9">
        <w:trPr>
          <w:trHeight w:val="9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2FAB9FE4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  <w:r w:rsidRPr="004B51CB">
              <w:rPr>
                <w:b/>
                <w:noProof/>
                <w:sz w:val="22"/>
              </w:rPr>
              <w:t>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1C50B" w14:textId="77777777" w:rsidR="00A34906" w:rsidRPr="00D3150A" w:rsidRDefault="00A34906" w:rsidP="007771B9">
            <w:pPr>
              <w:contextualSpacing/>
              <w:rPr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F. subsericea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12152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3.15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1.04x10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16F7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6.11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1.24x10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7486F3C8" w14:textId="77777777" w:rsidTr="007771B9">
        <w:trPr>
          <w:trHeight w:val="9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0420AC64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23C96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major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328A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5.00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1.55x10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AF47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7.10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0.84x10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6E816E18" w14:textId="77777777" w:rsidTr="007771B9">
        <w:trPr>
          <w:trHeight w:val="9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78433A50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63D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minor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60A4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2.83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1.08x10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5A8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4.42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0.99x10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6F15A4EF" w14:textId="77777777" w:rsidTr="007771B9">
        <w:trPr>
          <w:trHeight w:val="86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7669742B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  <w:r w:rsidRPr="004B51CB">
              <w:rPr>
                <w:b/>
                <w:noProof/>
                <w:sz w:val="22"/>
              </w:rPr>
              <w:t>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A93BA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>F. subsericea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21505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2.10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1.02x10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D4179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5.24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1.87x10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07EE90C9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2C6546D5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B2355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major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7586E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3.77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1.96x10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86B05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6.55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1.06x10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108D306A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66352D0F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193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minor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82C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2.53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1.02x10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CAD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4.78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0.90x10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045033B9" w14:textId="77777777" w:rsidTr="007771B9">
        <w:trPr>
          <w:trHeight w:val="86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13870264" w14:textId="5B8E946F" w:rsidR="00A34906" w:rsidRPr="004B51CB" w:rsidRDefault="009C0B8D" w:rsidP="007771B9">
            <w:pPr>
              <w:contextualSpacing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</w:t>
            </w:r>
            <w:r w:rsidR="00A34906">
              <w:rPr>
                <w:b/>
                <w:noProof/>
                <w:sz w:val="22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36C6D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>F. subsericea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370FC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3.76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1.08 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22FCA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9.52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2.72x10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043789E8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13DD03CC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75671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major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C02C4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7.91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3.36x10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3119D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17.01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2.79x10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620EF356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61B242E6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58C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minor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63B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4.90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1.74x10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C04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14.30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4.31x10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00BD1848" w14:textId="77777777" w:rsidTr="007771B9">
        <w:trPr>
          <w:trHeight w:val="86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729A1AEE" w14:textId="67B7D94E" w:rsidR="00A34906" w:rsidRPr="004B51CB" w:rsidRDefault="009C0B8D" w:rsidP="007771B9">
            <w:pPr>
              <w:contextualSpacing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</w:t>
            </w:r>
            <w:bookmarkStart w:id="0" w:name="_GoBack"/>
            <w:bookmarkEnd w:id="0"/>
            <w:r w:rsidR="00A34906">
              <w:rPr>
                <w:b/>
                <w:noProof/>
                <w:sz w:val="22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823DC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>F. subsericea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46B17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1.85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0.55x10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D25BA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5.11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0.97 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47F631E8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71592F1C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144C8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major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85232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3.78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1.56x10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62213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7.70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1.06x10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6167C1DD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4AE566A0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DB1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minor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B9C6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2.83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0.74x10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F0B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6.78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1.46x10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616B0D4F" w14:textId="77777777" w:rsidTr="007771B9">
        <w:trPr>
          <w:trHeight w:val="86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64853651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  <w:r w:rsidRPr="004B51CB">
              <w:rPr>
                <w:b/>
                <w:noProof/>
                <w:sz w:val="22"/>
              </w:rPr>
              <w:t>Total MB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1B078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>F. subsericea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BCCC7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5.61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1.56x10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BB852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2.50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1.83x10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2</w:t>
            </w:r>
          </w:p>
        </w:tc>
      </w:tr>
      <w:tr w:rsidR="00A34906" w14:paraId="44E4D2FA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62EA82A3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997B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major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6DD99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11.69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4.85x10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0F39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2.77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1.87x10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2</w:t>
            </w:r>
          </w:p>
        </w:tc>
      </w:tr>
      <w:tr w:rsidR="00A34906" w14:paraId="004C6053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197E8F6C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A78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minor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4F7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7.73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2.42x10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A7D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2.71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2.41x10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2</w:t>
            </w:r>
          </w:p>
        </w:tc>
      </w:tr>
      <w:tr w:rsidR="00A34906" w14:paraId="3608AB85" w14:textId="77777777" w:rsidTr="007771B9">
        <w:trPr>
          <w:trHeight w:val="86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0D180B80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  <w:r w:rsidRPr="004B51CB">
              <w:rPr>
                <w:b/>
                <w:noProof/>
                <w:sz w:val="22"/>
              </w:rPr>
              <w:t>SEZ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DDB94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>F. subsericea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DC02E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2.66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0.74x10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28658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6.73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0.15x10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669946FC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05A8E716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DB55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major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C2964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4.05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1.73x10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CAF2E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6.51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0.12x10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4BB6069A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21451222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AFF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minor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EC4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2.96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1.36x10</w:t>
            </w:r>
            <w:r w:rsidRPr="00136574">
              <w:rPr>
                <w:noProof/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EDC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5.50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0.14x10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3</w:t>
            </w:r>
          </w:p>
        </w:tc>
      </w:tr>
      <w:tr w:rsidR="00A34906" w14:paraId="14734EF6" w14:textId="77777777" w:rsidTr="007771B9">
        <w:trPr>
          <w:trHeight w:val="86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21282321" w14:textId="77777777" w:rsidR="00A34906" w:rsidRPr="004B51CB" w:rsidRDefault="00A34906" w:rsidP="00A34906">
            <w:pPr>
              <w:contextualSpacing/>
              <w:rPr>
                <w:b/>
                <w:noProof/>
                <w:sz w:val="22"/>
              </w:rPr>
            </w:pPr>
            <w:r w:rsidRPr="004B51CB">
              <w:rPr>
                <w:b/>
                <w:noProof/>
                <w:sz w:val="22"/>
              </w:rPr>
              <w:t>C</w:t>
            </w:r>
            <w:r>
              <w:rPr>
                <w:b/>
                <w:noProof/>
                <w:sz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87305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>F. subsericea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14BF9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0.72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0.28x10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C8265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2.36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0.87x10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4</w:t>
            </w:r>
          </w:p>
        </w:tc>
      </w:tr>
      <w:tr w:rsidR="00A34906" w14:paraId="32BA8469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26A8E6EB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F9E03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major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E5C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2.32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1.30x10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6CE05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3.08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0.82x10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4</w:t>
            </w:r>
          </w:p>
        </w:tc>
      </w:tr>
      <w:tr w:rsidR="00A34906" w14:paraId="20CB189F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38768DE1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37F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minor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20B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1.75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0.55x10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811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2.69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0.85x10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4</w:t>
            </w:r>
          </w:p>
        </w:tc>
      </w:tr>
      <w:tr w:rsidR="00A34906" w14:paraId="7166DD71" w14:textId="77777777" w:rsidTr="007771B9">
        <w:trPr>
          <w:trHeight w:val="86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2A7C5A70" w14:textId="77777777" w:rsidR="00A34906" w:rsidRPr="004B51CB" w:rsidRDefault="00A34906" w:rsidP="007771B9">
            <w:pPr>
              <w:contextualSpacing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Total brain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649E2" w14:textId="77777777" w:rsidR="00A34906" w:rsidRPr="00D3150A" w:rsidRDefault="00A34906" w:rsidP="007771B9">
            <w:pPr>
              <w:contextualSpacing/>
              <w:rPr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F. subsericea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D6315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2.26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0.68 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ED965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5.42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1.26 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2</w:t>
            </w:r>
          </w:p>
        </w:tc>
      </w:tr>
      <w:tr w:rsidR="00A34906" w14:paraId="48ABAE3D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124A2B85" w14:textId="77777777" w:rsidR="00A34906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43D58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major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2435F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4.19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1.68x10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F444A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7.20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0.87 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2</w:t>
            </w:r>
          </w:p>
        </w:tc>
      </w:tr>
      <w:tr w:rsidR="00A34906" w14:paraId="0356083E" w14:textId="77777777" w:rsidTr="007771B9">
        <w:trPr>
          <w:trHeight w:val="8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7D483CD6" w14:textId="77777777" w:rsidR="00A34906" w:rsidRDefault="00A34906" w:rsidP="007771B9">
            <w:pPr>
              <w:contextualSpacing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E669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O. smaragdina </w:t>
            </w:r>
            <w:r>
              <w:rPr>
                <w:noProof/>
                <w:sz w:val="22"/>
              </w:rPr>
              <w:t>minor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2FF9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2.84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0.85x10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3788" w14:textId="77777777" w:rsidR="00A34906" w:rsidRDefault="00A34906" w:rsidP="007771B9">
            <w:pPr>
              <w:contextualSpacing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5.83</w:t>
            </w:r>
            <w:r>
              <w:rPr>
                <w:noProof/>
                <w:sz w:val="22"/>
              </w:rPr>
              <w:sym w:font="Symbol" w:char="F0B1"/>
            </w:r>
            <w:r>
              <w:rPr>
                <w:noProof/>
                <w:sz w:val="22"/>
              </w:rPr>
              <w:t>1.27 x10</w:t>
            </w:r>
            <w:r w:rsidRPr="00136574">
              <w:rPr>
                <w:noProof/>
                <w:sz w:val="22"/>
                <w:vertAlign w:val="superscript"/>
              </w:rPr>
              <w:t>-</w:t>
            </w:r>
            <w:r>
              <w:rPr>
                <w:noProof/>
                <w:sz w:val="22"/>
                <w:vertAlign w:val="superscript"/>
              </w:rPr>
              <w:t>2</w:t>
            </w:r>
          </w:p>
        </w:tc>
      </w:tr>
    </w:tbl>
    <w:p w14:paraId="1686EFF8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51B0AE79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02222656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73256491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7C8FF8C6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3A47BCA4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6D1CAB07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7FDA285F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6F4BB607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46930B93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122FE8F0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5307ED31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72235EDE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51FB6455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3444EA1F" w14:textId="77777777" w:rsidR="00A34906" w:rsidRDefault="00A34906" w:rsidP="00A34906">
      <w:pPr>
        <w:rPr>
          <w:rFonts w:ascii="Times New Roman" w:hAnsi="Times New Roman" w:cs="Times New Roman"/>
          <w:b/>
          <w:lang w:val="en-US"/>
        </w:rPr>
      </w:pPr>
    </w:p>
    <w:p w14:paraId="7782DBAF" w14:textId="77777777" w:rsidR="009C0B8D" w:rsidRDefault="009C0B8D" w:rsidP="00A34906">
      <w:pPr>
        <w:rPr>
          <w:rFonts w:ascii="Times New Roman" w:hAnsi="Times New Roman" w:cs="Times New Roman"/>
          <w:b/>
          <w:lang w:val="en-US"/>
        </w:rPr>
      </w:pPr>
    </w:p>
    <w:p w14:paraId="2E2B0F93" w14:textId="77777777" w:rsidR="00231422" w:rsidRDefault="00231422" w:rsidP="00A3490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A34906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Correlation analysis of brain region metabolic activities. Fisher transformation-based average values and standard deviations </w:t>
      </w:r>
      <w:r>
        <w:rPr>
          <w:rFonts w:ascii="Times New Roman" w:hAnsi="Times New Roman" w:cs="Times New Roman"/>
        </w:rPr>
        <w:t>(n = 28 pairwise correlations)</w:t>
      </w:r>
      <w:r w:rsidRPr="00327E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are given for all species/subcaste combinations</w:t>
      </w:r>
      <w:r>
        <w:rPr>
          <w:rFonts w:ascii="Times New Roman" w:hAnsi="Times New Roman" w:cs="Times New Roman"/>
        </w:rPr>
        <w:t xml:space="preserve">. Proportions of significantly positive </w:t>
      </w:r>
      <w:r w:rsidRPr="00E1203E">
        <w:rPr>
          <w:rFonts w:ascii="Times New Roman" w:hAnsi="Times New Roman" w:cs="Times New Roman"/>
          <w:lang w:val="en-US"/>
        </w:rPr>
        <w:t xml:space="preserve">Pearson </w:t>
      </w:r>
      <w:r>
        <w:rPr>
          <w:rFonts w:ascii="Times New Roman" w:hAnsi="Times New Roman" w:cs="Times New Roman"/>
          <w:lang w:val="en-US"/>
        </w:rPr>
        <w:t xml:space="preserve">(p &lt; 0.05) and first-order partial </w:t>
      </w:r>
      <w:r w:rsidRPr="00E1203E">
        <w:rPr>
          <w:rFonts w:ascii="Times New Roman" w:hAnsi="Times New Roman" w:cs="Times New Roman"/>
          <w:lang w:val="en-US"/>
        </w:rPr>
        <w:t xml:space="preserve">correlations </w:t>
      </w:r>
      <w:r>
        <w:rPr>
          <w:rFonts w:ascii="Times New Roman" w:hAnsi="Times New Roman" w:cs="Times New Roman"/>
          <w:lang w:val="en-US"/>
        </w:rPr>
        <w:t xml:space="preserve">(p &lt; 0.10) are also given for </w:t>
      </w:r>
      <w:r w:rsidRPr="00DE3A9C">
        <w:rPr>
          <w:rFonts w:ascii="Times New Roman" w:hAnsi="Times New Roman" w:cs="Times New Roman"/>
          <w:i/>
        </w:rPr>
        <w:t>O. smaragdina</w:t>
      </w:r>
      <w:r>
        <w:rPr>
          <w:rFonts w:ascii="Times New Roman" w:hAnsi="Times New Roman" w:cs="Times New Roman"/>
        </w:rPr>
        <w:t xml:space="preserve"> (n = 20)</w:t>
      </w:r>
      <w:r>
        <w:rPr>
          <w:rFonts w:ascii="Times New Roman" w:hAnsi="Times New Roman" w:cs="Times New Roman"/>
          <w:lang w:val="en-US"/>
        </w:rPr>
        <w:t xml:space="preserve">. The inferred pattern of </w:t>
      </w:r>
      <w:r w:rsidRPr="00E1203E">
        <w:rPr>
          <w:rFonts w:ascii="Times New Roman" w:hAnsi="Times New Roman" w:cs="Times New Roman"/>
          <w:lang w:val="en-US"/>
        </w:rPr>
        <w:t>integration</w:t>
      </w:r>
      <w:r>
        <w:rPr>
          <w:rFonts w:ascii="Times New Roman" w:hAnsi="Times New Roman" w:cs="Times New Roman"/>
          <w:lang w:val="en-US"/>
        </w:rPr>
        <w:t xml:space="preserve"> or modularity is indicated in the last column</w:t>
      </w:r>
      <w:r w:rsidRPr="00E1203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SD, standard deviation; N/A, significance testing not conducted due to small sample sizes (n = 10 individuals); *, pattern inferred from correlation distribution parameters only.</w:t>
      </w:r>
    </w:p>
    <w:p w14:paraId="45013BF7" w14:textId="77777777" w:rsidR="00A34906" w:rsidRDefault="00A34906" w:rsidP="00A34906">
      <w:pPr>
        <w:rPr>
          <w:rFonts w:ascii="Times New Roman" w:hAnsi="Times New Roman" w:cs="Times New Roman"/>
          <w:lang w:val="en-US"/>
        </w:rPr>
      </w:pPr>
    </w:p>
    <w:p w14:paraId="5B664A18" w14:textId="77777777" w:rsidR="00231422" w:rsidRDefault="00231422" w:rsidP="00231422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PlainTable22"/>
        <w:tblW w:w="914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88"/>
        <w:gridCol w:w="1170"/>
        <w:gridCol w:w="1170"/>
        <w:gridCol w:w="1170"/>
        <w:gridCol w:w="1494"/>
      </w:tblGrid>
      <w:tr w:rsidR="00231422" w:rsidRPr="00DE3A9C" w14:paraId="63597041" w14:textId="77777777" w:rsidTr="00071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3572FA" w14:textId="77777777" w:rsidR="00231422" w:rsidRPr="00DE3A9C" w:rsidRDefault="00231422" w:rsidP="00071546">
            <w:pPr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Experimental group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8CF1D" w14:textId="77777777" w:rsidR="00231422" w:rsidRPr="00DE3A9C" w:rsidRDefault="00231422" w:rsidP="00071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Pearson correlations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E73C3" w14:textId="77777777" w:rsidR="00231422" w:rsidRPr="00DE3A9C" w:rsidRDefault="00231422" w:rsidP="00071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Partial correlations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BCCB8" w14:textId="77777777" w:rsidR="00231422" w:rsidRPr="00DE3A9C" w:rsidRDefault="00231422" w:rsidP="00071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Pattern</w:t>
            </w:r>
          </w:p>
        </w:tc>
      </w:tr>
      <w:tr w:rsidR="00231422" w:rsidRPr="00DE3A9C" w14:paraId="70A10732" w14:textId="77777777" w:rsidTr="0007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345D67" w14:textId="77777777" w:rsidR="00231422" w:rsidRPr="00DE3A9C" w:rsidRDefault="00231422" w:rsidP="00071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038EB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Fisher mean ± SD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47CFD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 xml:space="preserve">Positive </w:t>
            </w:r>
            <w:r w:rsidRPr="00DE3A9C">
              <w:rPr>
                <w:rFonts w:ascii="Times New Roman" w:hAnsi="Times New Roman" w:cs="Times New Roman"/>
              </w:rPr>
              <w:br/>
              <w:t>(p &lt; 0.05)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FBEC26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Fisher mean ± SD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F3969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 xml:space="preserve">Positive </w:t>
            </w:r>
            <w:r w:rsidRPr="00DE3A9C">
              <w:rPr>
                <w:rFonts w:ascii="Times New Roman" w:hAnsi="Times New Roman" w:cs="Times New Roman"/>
              </w:rPr>
              <w:br/>
              <w:t>(p &lt; 0.10)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6A2F2F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1422" w:rsidRPr="00DE3A9C" w14:paraId="1A90E319" w14:textId="77777777" w:rsidTr="0007154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E034B" w14:textId="77777777" w:rsidR="00231422" w:rsidRPr="00DE3A9C" w:rsidRDefault="00231422" w:rsidP="00071546">
            <w:pPr>
              <w:rPr>
                <w:rFonts w:ascii="Times New Roman" w:hAnsi="Times New Roman" w:cs="Times New Roman"/>
                <w:b w:val="0"/>
              </w:rPr>
            </w:pPr>
            <w:r w:rsidRPr="00DE3A9C">
              <w:rPr>
                <w:rFonts w:ascii="Times New Roman" w:hAnsi="Times New Roman" w:cs="Times New Roman"/>
                <w:b w:val="0"/>
                <w:i/>
              </w:rPr>
              <w:t>Formica subsericea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F15773" w14:textId="77777777" w:rsidR="00231422" w:rsidRPr="00DE3A9C" w:rsidRDefault="00231422" w:rsidP="000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63</w:t>
            </w:r>
            <w:r w:rsidRPr="00DE3A9C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B48C5A" w14:textId="77777777" w:rsidR="00231422" w:rsidRPr="00DE3A9C" w:rsidRDefault="00231422" w:rsidP="000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792DAA" w14:textId="77777777" w:rsidR="00231422" w:rsidRPr="00DE3A9C" w:rsidRDefault="00231422" w:rsidP="000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16</w:t>
            </w:r>
            <w:r w:rsidRPr="00DE3A9C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D9ABD8" w14:textId="77777777" w:rsidR="00231422" w:rsidRPr="00DE3A9C" w:rsidRDefault="00231422" w:rsidP="000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A27C8C" w14:textId="77777777" w:rsidR="00231422" w:rsidRPr="00DE3A9C" w:rsidRDefault="00231422" w:rsidP="000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Modularity*</w:t>
            </w:r>
          </w:p>
        </w:tc>
      </w:tr>
      <w:tr w:rsidR="00231422" w:rsidRPr="00DE3A9C" w14:paraId="239F76A1" w14:textId="77777777" w:rsidTr="0007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14:paraId="43650090" w14:textId="77777777" w:rsidR="00231422" w:rsidRPr="00DE3A9C" w:rsidRDefault="00231422" w:rsidP="00071546">
            <w:pPr>
              <w:rPr>
                <w:rFonts w:ascii="Times New Roman" w:hAnsi="Times New Roman" w:cs="Times New Roman"/>
                <w:b w:val="0"/>
              </w:rPr>
            </w:pPr>
            <w:r w:rsidRPr="00DE3A9C">
              <w:rPr>
                <w:rFonts w:ascii="Times New Roman" w:hAnsi="Times New Roman" w:cs="Times New Roman"/>
                <w:b w:val="0"/>
                <w:i/>
              </w:rPr>
              <w:t>Oecophylla smaragdina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14D35CEC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31 ± 0.28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0BA07D97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E3A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26FEB1A5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  <w:r w:rsidRPr="00DE3A9C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3F1CBBB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E3A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3E216EAB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Clustering</w:t>
            </w:r>
          </w:p>
        </w:tc>
      </w:tr>
      <w:tr w:rsidR="00231422" w:rsidRPr="00DE3A9C" w14:paraId="730464BD" w14:textId="77777777" w:rsidTr="0007154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14:paraId="3796D688" w14:textId="77777777" w:rsidR="00231422" w:rsidRPr="00DE3A9C" w:rsidRDefault="00231422" w:rsidP="00071546">
            <w:pPr>
              <w:ind w:left="360"/>
              <w:rPr>
                <w:rFonts w:ascii="Times New Roman" w:hAnsi="Times New Roman" w:cs="Times New Roman"/>
                <w:b w:val="0"/>
              </w:rPr>
            </w:pPr>
            <w:r w:rsidRPr="00DE3A9C">
              <w:rPr>
                <w:rFonts w:ascii="Times New Roman" w:hAnsi="Times New Roman" w:cs="Times New Roman"/>
                <w:b w:val="0"/>
                <w:i/>
              </w:rPr>
              <w:t>O. smaragdina</w:t>
            </w:r>
            <w:r w:rsidRPr="00DE3A9C">
              <w:rPr>
                <w:rFonts w:ascii="Times New Roman" w:hAnsi="Times New Roman" w:cs="Times New Roman"/>
                <w:b w:val="0"/>
              </w:rPr>
              <w:t xml:space="preserve"> major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30B0E34B" w14:textId="77777777" w:rsidR="00231422" w:rsidRPr="00DE3A9C" w:rsidRDefault="00231422" w:rsidP="000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42</w:t>
            </w:r>
            <w:r w:rsidRPr="00DE3A9C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0D0C7D74" w14:textId="77777777" w:rsidR="00231422" w:rsidRPr="00DE3A9C" w:rsidRDefault="00231422" w:rsidP="000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3359060" w14:textId="77777777" w:rsidR="00231422" w:rsidRPr="00DE3A9C" w:rsidRDefault="00231422" w:rsidP="000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5</w:t>
            </w:r>
            <w:r w:rsidRPr="00DE3A9C">
              <w:rPr>
                <w:rFonts w:ascii="Times New Roman" w:hAnsi="Times New Roman" w:cs="Times New Roman"/>
              </w:rPr>
              <w:t xml:space="preserve"> ± 0.2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8F0866C" w14:textId="77777777" w:rsidR="00231422" w:rsidRPr="00DE3A9C" w:rsidRDefault="00231422" w:rsidP="000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2E61A504" w14:textId="77777777" w:rsidR="00231422" w:rsidRPr="00DE3A9C" w:rsidRDefault="00231422" w:rsidP="00071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Modularity*</w:t>
            </w:r>
          </w:p>
        </w:tc>
      </w:tr>
      <w:tr w:rsidR="00231422" w:rsidRPr="00DE3A9C" w14:paraId="0F1D9A2D" w14:textId="77777777" w:rsidTr="00071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14:paraId="0A99A225" w14:textId="77777777" w:rsidR="00231422" w:rsidRPr="00DE3A9C" w:rsidRDefault="00231422" w:rsidP="00071546">
            <w:pPr>
              <w:ind w:left="360"/>
              <w:rPr>
                <w:rFonts w:ascii="Times New Roman" w:hAnsi="Times New Roman" w:cs="Times New Roman"/>
                <w:b w:val="0"/>
              </w:rPr>
            </w:pPr>
            <w:r w:rsidRPr="00DE3A9C">
              <w:rPr>
                <w:rFonts w:ascii="Times New Roman" w:hAnsi="Times New Roman" w:cs="Times New Roman"/>
                <w:b w:val="0"/>
                <w:i/>
              </w:rPr>
              <w:t>O. smaragdina</w:t>
            </w:r>
            <w:r w:rsidRPr="00DE3A9C">
              <w:rPr>
                <w:rFonts w:ascii="Times New Roman" w:hAnsi="Times New Roman" w:cs="Times New Roman"/>
                <w:b w:val="0"/>
              </w:rPr>
              <w:t xml:space="preserve"> minor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42EE261B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20</w:t>
            </w:r>
            <w:r w:rsidRPr="00DE3A9C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538AA48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29E96925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12</w:t>
            </w:r>
            <w:r w:rsidRPr="00DE3A9C">
              <w:rPr>
                <w:rFonts w:ascii="Times New Roman" w:hAnsi="Times New Roman" w:cs="Times New Roman"/>
              </w:rPr>
              <w:t xml:space="preserve"> ± 0.2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7A7373E0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14:paraId="3A31447F" w14:textId="77777777" w:rsidR="00231422" w:rsidRPr="00DE3A9C" w:rsidRDefault="00231422" w:rsidP="00071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3A9C">
              <w:rPr>
                <w:rFonts w:ascii="Times New Roman" w:hAnsi="Times New Roman" w:cs="Times New Roman"/>
              </w:rPr>
              <w:t>Clustering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14:paraId="7DB0623F" w14:textId="77777777" w:rsidR="00A34906" w:rsidRDefault="00A34906" w:rsidP="00A34906">
      <w:pPr>
        <w:rPr>
          <w:rFonts w:ascii="Times New Roman" w:hAnsi="Times New Roman" w:cs="Times New Roman"/>
          <w:b/>
        </w:rPr>
      </w:pPr>
    </w:p>
    <w:p w14:paraId="72B60A0A" w14:textId="77777777" w:rsidR="00A34906" w:rsidRDefault="00A34906" w:rsidP="00A34906">
      <w:pPr>
        <w:rPr>
          <w:rFonts w:ascii="Times New Roman" w:hAnsi="Times New Roman" w:cs="Times New Roman"/>
          <w:b/>
        </w:rPr>
      </w:pPr>
    </w:p>
    <w:p w14:paraId="4CAC04EA" w14:textId="77777777" w:rsidR="00A34906" w:rsidRDefault="00A34906" w:rsidP="00A34906">
      <w:pPr>
        <w:rPr>
          <w:rFonts w:ascii="Times New Roman" w:hAnsi="Times New Roman" w:cs="Times New Roman"/>
          <w:b/>
        </w:rPr>
      </w:pPr>
    </w:p>
    <w:p w14:paraId="7E455268" w14:textId="77777777" w:rsidR="00A34906" w:rsidRDefault="00A34906" w:rsidP="00A34906">
      <w:pPr>
        <w:rPr>
          <w:rFonts w:ascii="Times New Roman" w:hAnsi="Times New Roman" w:cs="Times New Roman"/>
          <w:b/>
        </w:rPr>
      </w:pPr>
    </w:p>
    <w:p w14:paraId="447751F9" w14:textId="77777777" w:rsidR="00A34906" w:rsidRDefault="00A34906" w:rsidP="00A34906">
      <w:pPr>
        <w:rPr>
          <w:rFonts w:ascii="Times New Roman" w:hAnsi="Times New Roman" w:cs="Times New Roman"/>
          <w:b/>
        </w:rPr>
      </w:pPr>
    </w:p>
    <w:p w14:paraId="30909067" w14:textId="77777777" w:rsidR="00A34906" w:rsidRDefault="00A34906" w:rsidP="00A34906">
      <w:pPr>
        <w:rPr>
          <w:rFonts w:ascii="Times New Roman" w:hAnsi="Times New Roman" w:cs="Times New Roman"/>
          <w:b/>
        </w:rPr>
      </w:pPr>
    </w:p>
    <w:p w14:paraId="35009C2E" w14:textId="77777777" w:rsidR="00A34906" w:rsidRDefault="00A34906" w:rsidP="00A34906">
      <w:pPr>
        <w:rPr>
          <w:rFonts w:ascii="Times New Roman" w:hAnsi="Times New Roman" w:cs="Times New Roman"/>
          <w:b/>
        </w:rPr>
      </w:pPr>
    </w:p>
    <w:p w14:paraId="7374659A" w14:textId="77777777" w:rsidR="00A34906" w:rsidRDefault="00A34906" w:rsidP="00A34906">
      <w:pPr>
        <w:rPr>
          <w:rFonts w:ascii="Times New Roman" w:hAnsi="Times New Roman" w:cs="Times New Roman"/>
          <w:b/>
        </w:rPr>
      </w:pPr>
    </w:p>
    <w:p w14:paraId="536ABD6E" w14:textId="77777777" w:rsidR="00A34906" w:rsidRPr="00A34906" w:rsidRDefault="00A34906" w:rsidP="00A34906">
      <w:pPr>
        <w:rPr>
          <w:rFonts w:ascii="Times New Roman" w:hAnsi="Times New Roman" w:cs="Times New Roman"/>
          <w:b/>
        </w:rPr>
      </w:pPr>
      <w:r w:rsidRPr="00A34906">
        <w:rPr>
          <w:rFonts w:ascii="Times New Roman" w:hAnsi="Times New Roman" w:cs="Times New Roman"/>
          <w:b/>
        </w:rPr>
        <w:t>References</w:t>
      </w:r>
    </w:p>
    <w:p w14:paraId="40F201CC" w14:textId="77777777" w:rsidR="00A34906" w:rsidRPr="00A34906" w:rsidRDefault="00A34906" w:rsidP="00A34906">
      <w:pPr>
        <w:rPr>
          <w:rFonts w:ascii="Times New Roman" w:hAnsi="Times New Roman" w:cs="Times New Roman"/>
          <w:b/>
        </w:rPr>
      </w:pPr>
    </w:p>
    <w:p w14:paraId="1F3BCAF9" w14:textId="77777777" w:rsidR="00A34906" w:rsidRPr="00A34906" w:rsidRDefault="00A34906" w:rsidP="00A34906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34906">
        <w:rPr>
          <w:rFonts w:ascii="Times New Roman" w:hAnsi="Times New Roman" w:cs="Times New Roman"/>
          <w:noProof/>
        </w:rPr>
        <w:t>Kamhi JF, Sandridge-Gresko A, Walker C, Robson SKA, Traniello JFA (2017): Worker brain development and colony organization in ants: does division of labor influence neuroplasticity? Dev Neurobiol 77(9):1072-1085.</w:t>
      </w:r>
    </w:p>
    <w:p w14:paraId="53E68075" w14:textId="77777777" w:rsidR="00A34906" w:rsidRPr="00A34906" w:rsidRDefault="00A34906" w:rsidP="00A34906">
      <w:pPr>
        <w:rPr>
          <w:rFonts w:ascii="Times New Roman" w:hAnsi="Times New Roman" w:cs="Times New Roman"/>
          <w:b/>
        </w:rPr>
      </w:pPr>
    </w:p>
    <w:sectPr w:rsidR="00A34906" w:rsidRPr="00A34906" w:rsidSect="008D52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22"/>
    <w:rsid w:val="00231422"/>
    <w:rsid w:val="008D52FE"/>
    <w:rsid w:val="009C0B8D"/>
    <w:rsid w:val="00A3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661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422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2">
    <w:name w:val="Plain Table 22"/>
    <w:basedOn w:val="TableNormal"/>
    <w:uiPriority w:val="42"/>
    <w:rsid w:val="00231422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rsid w:val="00A34906"/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A34906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2402</Characters>
  <Application>Microsoft Macintosh Word</Application>
  <DocSecurity>0</DocSecurity>
  <Lines>20</Lines>
  <Paragraphs>5</Paragraphs>
  <ScaleCrop>false</ScaleCrop>
  <Company>Macquarie University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Franne Kamhi</dc:creator>
  <cp:keywords/>
  <dc:description/>
  <cp:lastModifiedBy>JFK</cp:lastModifiedBy>
  <cp:revision>3</cp:revision>
  <dcterms:created xsi:type="dcterms:W3CDTF">2018-10-04T05:00:00Z</dcterms:created>
  <dcterms:modified xsi:type="dcterms:W3CDTF">2019-01-07T00:26:00Z</dcterms:modified>
</cp:coreProperties>
</file>