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43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2430"/>
        <w:gridCol w:w="1710"/>
        <w:gridCol w:w="1800"/>
      </w:tblGrid>
      <w:tr w:rsidR="00F25026" w:rsidRPr="00B22267" w:rsidTr="003A7431"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026" w:rsidRPr="00B22267" w:rsidRDefault="00525C80" w:rsidP="003A7431">
            <w:pPr>
              <w:rPr>
                <w:rFonts w:ascii="Arial" w:hAnsi="Arial" w:cs="Arial"/>
                <w:spacing w:val="-2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2"/>
              </w:rPr>
              <w:t>Supplementary Table</w:t>
            </w:r>
            <w:r w:rsidR="00F25026" w:rsidRPr="00B22267">
              <w:rPr>
                <w:rFonts w:ascii="Arial" w:hAnsi="Arial" w:cs="Arial"/>
                <w:spacing w:val="-2"/>
              </w:rPr>
              <w:t>. Principal Component Analysis Pattern</w:t>
            </w:r>
          </w:p>
        </w:tc>
      </w:tr>
      <w:tr w:rsidR="00F25026" w:rsidRPr="00B22267" w:rsidTr="003A7431">
        <w:trPr>
          <w:trHeight w:val="576"/>
        </w:trPr>
        <w:tc>
          <w:tcPr>
            <w:tcW w:w="946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jc w:val="right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 xml:space="preserve">Percentage of Test Allocated to Each Rotated Component* </w:t>
            </w:r>
          </w:p>
        </w:tc>
      </w:tr>
      <w:tr w:rsidR="00F25026" w:rsidRPr="00B22267" w:rsidTr="003A7431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Primary Cognitive Domain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Test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Component 1^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Component 2^</w:t>
            </w:r>
          </w:p>
        </w:tc>
      </w:tr>
      <w:tr w:rsidR="00F25026" w:rsidRPr="00B22267" w:rsidTr="003A7431">
        <w:trPr>
          <w:trHeight w:val="288"/>
        </w:trPr>
        <w:tc>
          <w:tcPr>
            <w:tcW w:w="3528" w:type="dxa"/>
            <w:vMerge w:val="restart"/>
            <w:tcBorders>
              <w:left w:val="single" w:sz="4" w:space="0" w:color="auto"/>
              <w:right w:val="nil"/>
            </w:tcBorders>
            <w:shd w:val="pct5" w:color="auto" w:fill="auto"/>
            <w:vAlign w:val="center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 xml:space="preserve">Memory 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pct5" w:color="auto" w:fill="auto"/>
            <w:vAlign w:val="center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Delayed Recall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pct5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88%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21%</w:t>
            </w:r>
          </w:p>
        </w:tc>
      </w:tr>
      <w:tr w:rsidR="00F25026" w:rsidRPr="00B22267" w:rsidTr="003A7431">
        <w:trPr>
          <w:trHeight w:val="288"/>
        </w:trPr>
        <w:tc>
          <w:tcPr>
            <w:tcW w:w="3528" w:type="dxa"/>
            <w:vMerge/>
            <w:tcBorders>
              <w:left w:val="single" w:sz="4" w:space="0" w:color="auto"/>
              <w:right w:val="nil"/>
            </w:tcBorders>
            <w:shd w:val="pct5" w:color="auto" w:fill="auto"/>
            <w:vAlign w:val="center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pct5" w:color="auto" w:fill="auto"/>
            <w:vAlign w:val="center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Short Delayed Recall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pct5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86%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25%</w:t>
            </w:r>
          </w:p>
        </w:tc>
      </w:tr>
      <w:tr w:rsidR="00F25026" w:rsidRPr="00B22267" w:rsidTr="003A7431">
        <w:trPr>
          <w:trHeight w:val="288"/>
        </w:trPr>
        <w:tc>
          <w:tcPr>
            <w:tcW w:w="3528" w:type="dxa"/>
            <w:vMerge/>
            <w:tcBorders>
              <w:left w:val="single" w:sz="4" w:space="0" w:color="auto"/>
              <w:right w:val="nil"/>
            </w:tcBorders>
            <w:shd w:val="pct5" w:color="auto" w:fill="auto"/>
            <w:vAlign w:val="center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pct5" w:color="auto" w:fill="auto"/>
            <w:vAlign w:val="center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Immediate Recall Total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pct5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75%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35%</w:t>
            </w:r>
          </w:p>
        </w:tc>
      </w:tr>
      <w:tr w:rsidR="00F25026" w:rsidRPr="00B22267" w:rsidTr="003A7431">
        <w:trPr>
          <w:trHeight w:val="288"/>
        </w:trPr>
        <w:tc>
          <w:tcPr>
            <w:tcW w:w="352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Recognition Total</w:t>
            </w:r>
          </w:p>
        </w:tc>
        <w:tc>
          <w:tcPr>
            <w:tcW w:w="1710" w:type="dxa"/>
            <w:tcBorders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64%</w:t>
            </w:r>
          </w:p>
        </w:tc>
        <w:tc>
          <w:tcPr>
            <w:tcW w:w="1800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29%</w:t>
            </w:r>
          </w:p>
        </w:tc>
      </w:tr>
      <w:tr w:rsidR="00F25026" w:rsidRPr="00B22267" w:rsidTr="003A7431">
        <w:trPr>
          <w:trHeight w:val="288"/>
        </w:trPr>
        <w:tc>
          <w:tcPr>
            <w:tcW w:w="3528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Both Memory &amp; Executive function</w:t>
            </w:r>
          </w:p>
        </w:tc>
        <w:tc>
          <w:tcPr>
            <w:tcW w:w="24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Digit symbol Coding</w:t>
            </w:r>
          </w:p>
        </w:tc>
        <w:tc>
          <w:tcPr>
            <w:tcW w:w="171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41%</w:t>
            </w:r>
          </w:p>
        </w:tc>
        <w:tc>
          <w:tcPr>
            <w:tcW w:w="1800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71%</w:t>
            </w:r>
          </w:p>
        </w:tc>
      </w:tr>
      <w:tr w:rsidR="00F25026" w:rsidRPr="00B22267" w:rsidTr="003A7431">
        <w:trPr>
          <w:trHeight w:val="288"/>
        </w:trPr>
        <w:tc>
          <w:tcPr>
            <w:tcW w:w="3528" w:type="dxa"/>
            <w:vMerge w:val="restart"/>
            <w:tcBorders>
              <w:left w:val="single" w:sz="4" w:space="0" w:color="auto"/>
              <w:right w:val="nil"/>
            </w:tcBorders>
            <w:shd w:val="pct15" w:color="auto" w:fill="auto"/>
            <w:vAlign w:val="center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 xml:space="preserve">Executive function 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pct15" w:color="auto" w:fill="auto"/>
            <w:vAlign w:val="center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Block Design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26%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pct15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64%</w:t>
            </w:r>
          </w:p>
        </w:tc>
      </w:tr>
      <w:tr w:rsidR="00F25026" w:rsidRPr="00B22267" w:rsidTr="003A7431">
        <w:trPr>
          <w:trHeight w:val="288"/>
        </w:trPr>
        <w:tc>
          <w:tcPr>
            <w:tcW w:w="3528" w:type="dxa"/>
            <w:vMerge/>
            <w:tcBorders>
              <w:left w:val="single" w:sz="4" w:space="0" w:color="auto"/>
              <w:right w:val="nil"/>
            </w:tcBorders>
            <w:shd w:val="pct15" w:color="auto" w:fill="auto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pct15" w:color="auto" w:fill="auto"/>
            <w:vAlign w:val="center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Trails A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10%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pct15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75%</w:t>
            </w:r>
          </w:p>
        </w:tc>
      </w:tr>
      <w:tr w:rsidR="00F25026" w:rsidRPr="00B22267" w:rsidTr="003A7431">
        <w:trPr>
          <w:trHeight w:val="288"/>
        </w:trPr>
        <w:tc>
          <w:tcPr>
            <w:tcW w:w="3528" w:type="dxa"/>
            <w:vMerge/>
            <w:tcBorders>
              <w:left w:val="single" w:sz="4" w:space="0" w:color="auto"/>
              <w:right w:val="nil"/>
            </w:tcBorders>
            <w:shd w:val="pct15" w:color="auto" w:fill="auto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pct15" w:color="auto" w:fill="auto"/>
            <w:vAlign w:val="center"/>
          </w:tcPr>
          <w:p w:rsidR="00F25026" w:rsidRPr="00B22267" w:rsidRDefault="00F25026" w:rsidP="003A7431">
            <w:pPr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Trails B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37%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pct15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71%</w:t>
            </w:r>
          </w:p>
        </w:tc>
      </w:tr>
      <w:tr w:rsidR="00F25026" w:rsidRPr="00B22267" w:rsidTr="003A7431">
        <w:trPr>
          <w:trHeight w:val="720"/>
        </w:trPr>
        <w:tc>
          <w:tcPr>
            <w:tcW w:w="595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Eigenvalues (total variance explained by each factor)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2.87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jc w:val="center"/>
              <w:rPr>
                <w:rFonts w:ascii="Arial" w:hAnsi="Arial" w:cs="Arial"/>
                <w:spacing w:val="-2"/>
              </w:rPr>
            </w:pPr>
            <w:r w:rsidRPr="00B22267">
              <w:rPr>
                <w:rFonts w:ascii="Arial" w:hAnsi="Arial" w:cs="Arial"/>
                <w:spacing w:val="-2"/>
              </w:rPr>
              <w:t>2.29</w:t>
            </w:r>
          </w:p>
        </w:tc>
      </w:tr>
      <w:tr w:rsidR="00F25026" w:rsidRPr="00B22267" w:rsidTr="003A7431">
        <w:trPr>
          <w:trHeight w:val="576"/>
        </w:trPr>
        <w:tc>
          <w:tcPr>
            <w:tcW w:w="94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026" w:rsidRPr="00B22267" w:rsidRDefault="00F25026" w:rsidP="003A7431">
            <w:pPr>
              <w:rPr>
                <w:rFonts w:ascii="Arial" w:hAnsi="Arial" w:cs="Arial"/>
                <w:i/>
                <w:spacing w:val="-2"/>
              </w:rPr>
            </w:pPr>
            <w:r w:rsidRPr="00B22267">
              <w:rPr>
                <w:rFonts w:ascii="Arial" w:hAnsi="Arial" w:cs="Arial"/>
                <w:i/>
                <w:spacing w:val="-2"/>
              </w:rPr>
              <w:t>An eigenvalue greater than 1.0 is generally accepted to represent adequate loading</w:t>
            </w:r>
            <w:hyperlink w:anchor="_ENREF_26" w:tooltip="Gorsuch, 1983 #245" w:history="1">
              <w:r w:rsidRPr="00B22267">
                <w:rPr>
                  <w:rFonts w:ascii="Arial" w:hAnsi="Arial" w:cs="Arial"/>
                  <w:i/>
                  <w:spacing w:val="-2"/>
                </w:rPr>
                <w:fldChar w:fldCharType="begin"/>
              </w:r>
              <w:r w:rsidRPr="00B22267">
                <w:rPr>
                  <w:rFonts w:ascii="Arial" w:hAnsi="Arial" w:cs="Arial"/>
                  <w:i/>
                  <w:spacing w:val="-2"/>
                </w:rPr>
                <w:instrText xml:space="preserve"> ADDIN EN.CITE &lt;EndNote&gt;&lt;Cite&gt;&lt;Author&gt;Gorsuch&lt;/Author&gt;&lt;Year&gt;1983&lt;/Year&gt;&lt;RecNum&gt;245&lt;/RecNum&gt;&lt;DisplayText&gt;&lt;style face="superscript"&gt;26&lt;/style&gt;&lt;/DisplayText&gt;&lt;record&gt;&lt;rec-number&gt;245&lt;/rec-number&gt;&lt;foreign-keys&gt;&lt;key app="EN" db-id="e0r9d52f9xxxrweffz1x5rvmts2ew2avrstd" timestamp="1360859868"&gt;245&lt;/key&gt;&lt;/foreign-keys&gt;&lt;ref-type name="Book"&gt;6&lt;/ref-type&gt;&lt;contributors&gt;&lt;authors&gt;&lt;author&gt;Gorsuch, R.L.&lt;/author&gt;&lt;/authors&gt;&lt;/contributors&gt;&lt;titles&gt;&lt;title&gt;Factor Analysis&lt;/title&gt;&lt;/titles&gt;&lt;dates&gt;&lt;year&gt;1983&lt;/year&gt;&lt;/dates&gt;&lt;publisher&gt;Erlbaum&lt;/publisher&gt;&lt;isbn&gt;9780898592023&lt;/isbn&gt;&lt;urls&gt;&lt;related-urls&gt;&lt;url&gt;http://books.google.com/books?id=GkvbHohpefMC&lt;/url&gt;&lt;/related-urls&gt;&lt;/urls&gt;&lt;/record&gt;&lt;/Cite&gt;&lt;/EndNote&gt;</w:instrText>
              </w:r>
              <w:r w:rsidRPr="00B22267">
                <w:rPr>
                  <w:rFonts w:ascii="Arial" w:hAnsi="Arial" w:cs="Arial"/>
                  <w:i/>
                  <w:spacing w:val="-2"/>
                </w:rPr>
                <w:fldChar w:fldCharType="separate"/>
              </w:r>
              <w:r w:rsidRPr="00B22267">
                <w:rPr>
                  <w:rFonts w:ascii="Arial" w:hAnsi="Arial" w:cs="Arial"/>
                  <w:i/>
                  <w:noProof/>
                  <w:spacing w:val="-2"/>
                  <w:vertAlign w:val="superscript"/>
                </w:rPr>
                <w:t>26</w:t>
              </w:r>
              <w:r w:rsidRPr="00B22267">
                <w:rPr>
                  <w:rFonts w:ascii="Arial" w:hAnsi="Arial" w:cs="Arial"/>
                  <w:i/>
                  <w:spacing w:val="-2"/>
                </w:rPr>
                <w:fldChar w:fldCharType="end"/>
              </w:r>
            </w:hyperlink>
          </w:p>
          <w:p w:rsidR="00F25026" w:rsidRPr="00B22267" w:rsidRDefault="00F25026" w:rsidP="003A7431">
            <w:pPr>
              <w:rPr>
                <w:rFonts w:ascii="Arial" w:hAnsi="Arial" w:cs="Arial"/>
                <w:i/>
                <w:spacing w:val="-2"/>
              </w:rPr>
            </w:pPr>
            <w:r w:rsidRPr="00B22267">
              <w:rPr>
                <w:rFonts w:ascii="Arial" w:hAnsi="Arial" w:cs="Arial"/>
                <w:i/>
                <w:spacing w:val="-2"/>
              </w:rPr>
              <w:t>*Percentage = Correlation coefficient X 100</w:t>
            </w:r>
          </w:p>
          <w:p w:rsidR="00F25026" w:rsidRPr="00B22267" w:rsidRDefault="00F25026" w:rsidP="003A7431">
            <w:pPr>
              <w:rPr>
                <w:rFonts w:ascii="Arial" w:hAnsi="Arial" w:cs="Arial"/>
                <w:i/>
                <w:spacing w:val="-2"/>
              </w:rPr>
            </w:pPr>
            <w:r w:rsidRPr="00B22267">
              <w:rPr>
                <w:rFonts w:ascii="Arial" w:hAnsi="Arial" w:cs="Arial"/>
                <w:i/>
                <w:spacing w:val="-2"/>
              </w:rPr>
              <w:t>^Based on this loading pattern, Component 1 was felt to represent Memory and Component 2 was felt to represent Executive Function</w:t>
            </w:r>
          </w:p>
        </w:tc>
      </w:tr>
    </w:tbl>
    <w:p w:rsidR="00525C80" w:rsidRDefault="00525C80"/>
    <w:p w:rsidR="00525C80" w:rsidRDefault="00525C80"/>
    <w:p w:rsidR="00525C80" w:rsidRDefault="00525C80">
      <w:r>
        <w:br w:type="page"/>
      </w:r>
    </w:p>
    <w:p w:rsidR="00525C80" w:rsidRDefault="00525C80" w:rsidP="00525C80">
      <w:pPr>
        <w:pStyle w:val="EndNoteBibliography"/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lastRenderedPageBreak/>
        <w:t xml:space="preserve">Supplement Figure: </w:t>
      </w:r>
      <w:r w:rsidRPr="00AF6EA1">
        <w:rPr>
          <w:rFonts w:ascii="Arial" w:hAnsi="Arial" w:cs="Arial"/>
          <w:sz w:val="22"/>
          <w:szCs w:val="22"/>
        </w:rPr>
        <w:t>Figures show the predicted trajectories</w:t>
      </w:r>
      <w:r>
        <w:rPr>
          <w:rFonts w:ascii="Arial" w:hAnsi="Arial" w:cs="Arial"/>
          <w:sz w:val="22"/>
          <w:szCs w:val="22"/>
        </w:rPr>
        <w:t xml:space="preserve"> of memory function over time</w:t>
      </w:r>
      <w:r w:rsidRPr="00AF6EA1">
        <w:rPr>
          <w:rFonts w:ascii="Arial" w:hAnsi="Arial" w:cs="Arial"/>
          <w:sz w:val="22"/>
          <w:szCs w:val="22"/>
        </w:rPr>
        <w:t xml:space="preserve"> for four modeled subjects with levels equaling the mean blood pressure measure</w:t>
      </w:r>
      <w:r>
        <w:rPr>
          <w:rFonts w:ascii="Arial" w:hAnsi="Arial" w:cs="Arial"/>
          <w:sz w:val="22"/>
          <w:szCs w:val="22"/>
        </w:rPr>
        <w:t xml:space="preserve"> within each </w:t>
      </w:r>
      <w:r w:rsidRPr="00AF6EA1">
        <w:rPr>
          <w:rFonts w:ascii="Arial" w:hAnsi="Arial" w:cs="Arial"/>
          <w:sz w:val="22"/>
          <w:szCs w:val="22"/>
        </w:rPr>
        <w:t xml:space="preserve">quartile.  Adjusted for </w:t>
      </w:r>
      <w:r w:rsidRPr="00AF6EA1">
        <w:rPr>
          <w:rStyle w:val="apple-style-span"/>
          <w:rFonts w:ascii="Arial" w:hAnsi="Arial" w:cs="Arial"/>
          <w:sz w:val="22"/>
          <w:szCs w:val="22"/>
        </w:rPr>
        <w:t xml:space="preserve">baseline age, sex, race, education level, cause of ESRD, dialysis vintage and history of CVD. The competing risk survival sub-model was adjusted for the same covariates included in the linear mixed sub-model in addition to variables previously shown to be associated with mortality including vascular access type, serum albumin, BMI and spKt/V.  Slope values are presented as per </w:t>
      </w:r>
      <w:r>
        <w:rPr>
          <w:rStyle w:val="apple-style-span"/>
          <w:rFonts w:ascii="Arial" w:hAnsi="Arial" w:cs="Arial"/>
          <w:sz w:val="22"/>
          <w:szCs w:val="22"/>
        </w:rPr>
        <w:t>10mmHg</w:t>
      </w:r>
      <w:r w:rsidRPr="00AF6EA1">
        <w:rPr>
          <w:rStyle w:val="apple-style-span"/>
          <w:rFonts w:ascii="Arial" w:hAnsi="Arial" w:cs="Arial"/>
          <w:sz w:val="22"/>
          <w:szCs w:val="22"/>
        </w:rPr>
        <w:t xml:space="preserve"> change in blood pressure measure.</w:t>
      </w:r>
    </w:p>
    <w:p w:rsidR="00525C80" w:rsidRDefault="00525C80">
      <w:r>
        <w:br w:type="page"/>
      </w:r>
    </w:p>
    <w:p w:rsidR="00525C80" w:rsidRDefault="00525C80">
      <w:pPr>
        <w:sectPr w:rsidR="00525C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1E7B" w:rsidRDefault="00525C80">
      <w:r>
        <w:rPr>
          <w:noProof/>
        </w:rPr>
        <w:lastRenderedPageBreak/>
        <w:drawing>
          <wp:inline distT="0" distB="0" distL="0" distR="0" wp14:anchorId="0F48F3C1" wp14:editId="7CBBE47D">
            <wp:extent cx="8126730" cy="591947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730" cy="591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1E7B" w:rsidSect="00525C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26"/>
    <w:rsid w:val="002F1E7B"/>
    <w:rsid w:val="00525C80"/>
    <w:rsid w:val="008660ED"/>
    <w:rsid w:val="008F6C24"/>
    <w:rsid w:val="00BD6F8B"/>
    <w:rsid w:val="00F25026"/>
    <w:rsid w:val="00F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80"/>
    <w:rPr>
      <w:rFonts w:ascii="Tahoma" w:eastAsia="Calibri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525C80"/>
    <w:pPr>
      <w:spacing w:after="0" w:line="240" w:lineRule="auto"/>
    </w:pPr>
    <w:rPr>
      <w:rFonts w:ascii="Cambria" w:eastAsiaTheme="minorEastAsia" w:hAnsi="Cambria" w:cstheme="minorBidi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C80"/>
    <w:rPr>
      <w:rFonts w:ascii="Cambria" w:eastAsiaTheme="minorEastAsia" w:hAnsi="Cambria"/>
      <w:noProof/>
      <w:sz w:val="24"/>
      <w:szCs w:val="24"/>
    </w:rPr>
  </w:style>
  <w:style w:type="character" w:customStyle="1" w:styleId="apple-style-span">
    <w:name w:val="apple-style-span"/>
    <w:uiPriority w:val="99"/>
    <w:rsid w:val="0052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80"/>
    <w:rPr>
      <w:rFonts w:ascii="Tahoma" w:eastAsia="Calibri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525C80"/>
    <w:pPr>
      <w:spacing w:after="0" w:line="240" w:lineRule="auto"/>
    </w:pPr>
    <w:rPr>
      <w:rFonts w:ascii="Cambria" w:eastAsiaTheme="minorEastAsia" w:hAnsi="Cambria" w:cstheme="minorBidi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C80"/>
    <w:rPr>
      <w:rFonts w:ascii="Cambria" w:eastAsiaTheme="minorEastAsia" w:hAnsi="Cambria"/>
      <w:noProof/>
      <w:sz w:val="24"/>
      <w:szCs w:val="24"/>
    </w:rPr>
  </w:style>
  <w:style w:type="character" w:customStyle="1" w:styleId="apple-style-span">
    <w:name w:val="apple-style-span"/>
    <w:uiPriority w:val="99"/>
    <w:rsid w:val="0052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Drew</dc:creator>
  <cp:lastModifiedBy>David Drew</cp:lastModifiedBy>
  <cp:revision>2</cp:revision>
  <dcterms:created xsi:type="dcterms:W3CDTF">2019-04-22T17:07:00Z</dcterms:created>
  <dcterms:modified xsi:type="dcterms:W3CDTF">2019-04-22T17:07:00Z</dcterms:modified>
</cp:coreProperties>
</file>