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D7C" w:rsidRDefault="00A55D7C"/>
    <w:p w:rsidR="00BE04C6" w:rsidRPr="00176E7F" w:rsidRDefault="00CA2BF9">
      <w:pPr>
        <w:rPr>
          <w:b/>
        </w:rPr>
      </w:pPr>
      <w:r w:rsidRPr="00176E7F">
        <w:rPr>
          <w:b/>
        </w:rPr>
        <w:t>SUPPLEMENTA</w:t>
      </w:r>
      <w:r w:rsidR="00635847" w:rsidRPr="00176E7F">
        <w:rPr>
          <w:b/>
        </w:rPr>
        <w:t>RY</w:t>
      </w:r>
      <w:r w:rsidRPr="00176E7F">
        <w:rPr>
          <w:b/>
        </w:rPr>
        <w:t xml:space="preserve"> </w:t>
      </w:r>
      <w:r w:rsidR="00635847" w:rsidRPr="00176E7F">
        <w:rPr>
          <w:b/>
        </w:rPr>
        <w:t>MATERIAL</w:t>
      </w:r>
    </w:p>
    <w:p w:rsidR="00BE04C6" w:rsidRPr="00176E7F" w:rsidRDefault="00BE04C6"/>
    <w:p w:rsidR="00BE04C6" w:rsidRPr="00176E7F" w:rsidRDefault="00BE04C6" w:rsidP="00BE04C6"/>
    <w:p w:rsidR="00BE04C6" w:rsidRPr="00176E7F" w:rsidRDefault="00BE04C6" w:rsidP="00BE04C6">
      <w:pPr>
        <w:pStyle w:val="Body"/>
        <w:suppressLineNumbers/>
        <w:spacing w:after="0" w:line="240" w:lineRule="auto"/>
        <w:jc w:val="center"/>
        <w:rPr>
          <w:rFonts w:ascii="Times New Roman" w:hAnsi="Times New Roman"/>
          <w:bCs/>
          <w:sz w:val="24"/>
          <w:szCs w:val="24"/>
        </w:rPr>
      </w:pPr>
      <w:r w:rsidRPr="00176E7F">
        <w:rPr>
          <w:rFonts w:ascii="Times New Roman" w:hAnsi="Times New Roman"/>
          <w:bCs/>
          <w:sz w:val="24"/>
          <w:szCs w:val="24"/>
        </w:rPr>
        <w:t>Antiphospholipid Antibodies:</w:t>
      </w:r>
    </w:p>
    <w:p w:rsidR="00BE04C6" w:rsidRPr="00176E7F" w:rsidRDefault="00BE04C6" w:rsidP="00BE04C6">
      <w:pPr>
        <w:pStyle w:val="Body"/>
        <w:suppressLineNumbers/>
        <w:spacing w:after="0" w:line="240" w:lineRule="auto"/>
        <w:jc w:val="center"/>
        <w:rPr>
          <w:rFonts w:ascii="Times New Roman" w:hAnsi="Times New Roman"/>
          <w:bCs/>
          <w:sz w:val="24"/>
          <w:szCs w:val="24"/>
        </w:rPr>
      </w:pPr>
      <w:r w:rsidRPr="00176E7F">
        <w:rPr>
          <w:rFonts w:ascii="Times New Roman" w:hAnsi="Times New Roman"/>
          <w:bCs/>
          <w:sz w:val="24"/>
          <w:szCs w:val="24"/>
        </w:rPr>
        <w:t>Cognitive and Motor Decline, Neuroimaging and Neuropathology</w:t>
      </w:r>
    </w:p>
    <w:p w:rsidR="00BE04C6" w:rsidRPr="00176E7F" w:rsidRDefault="00BE04C6" w:rsidP="00BE04C6">
      <w:pPr>
        <w:pStyle w:val="Body"/>
        <w:suppressLineNumbers/>
        <w:spacing w:after="0" w:line="240" w:lineRule="auto"/>
        <w:jc w:val="center"/>
        <w:rPr>
          <w:rFonts w:ascii="Times New Roman" w:hAnsi="Times New Roman"/>
          <w:sz w:val="24"/>
          <w:szCs w:val="24"/>
          <w:lang w:val="pt-BR"/>
        </w:rPr>
      </w:pPr>
    </w:p>
    <w:p w:rsidR="00BE04C6" w:rsidRPr="00176E7F" w:rsidRDefault="00BE04C6" w:rsidP="00BE04C6">
      <w:pPr>
        <w:pStyle w:val="Body"/>
        <w:suppressLineNumbers/>
        <w:spacing w:after="0" w:line="240" w:lineRule="auto"/>
        <w:jc w:val="center"/>
        <w:rPr>
          <w:rFonts w:ascii="Times New Roman" w:hAnsi="Times New Roman"/>
          <w:sz w:val="24"/>
          <w:szCs w:val="24"/>
          <w:lang w:val="pt-BR"/>
        </w:rPr>
      </w:pPr>
      <w:r w:rsidRPr="00176E7F">
        <w:rPr>
          <w:rFonts w:ascii="Times New Roman" w:hAnsi="Times New Roman"/>
          <w:sz w:val="24"/>
          <w:szCs w:val="24"/>
          <w:lang w:val="pt-BR"/>
        </w:rPr>
        <w:t>Z. Arvanitakis et al.</w:t>
      </w:r>
    </w:p>
    <w:p w:rsidR="00BE04C6" w:rsidRPr="00176E7F" w:rsidRDefault="00BE04C6" w:rsidP="00BE04C6">
      <w:pPr>
        <w:pStyle w:val="Body"/>
        <w:spacing w:line="480" w:lineRule="auto"/>
        <w:jc w:val="center"/>
        <w:rPr>
          <w:rFonts w:ascii="Times New Roman" w:eastAsia="Times New Roman" w:hAnsi="Times New Roman" w:cs="Times New Roman"/>
          <w:sz w:val="24"/>
          <w:szCs w:val="24"/>
        </w:rPr>
      </w:pPr>
    </w:p>
    <w:p w:rsidR="00BE04C6" w:rsidRPr="00176E7F" w:rsidRDefault="00BE04C6" w:rsidP="00BE04C6">
      <w:pPr>
        <w:pStyle w:val="Body"/>
        <w:spacing w:line="480" w:lineRule="auto"/>
        <w:rPr>
          <w:rFonts w:ascii="Times New Roman" w:eastAsia="Times New Roman" w:hAnsi="Times New Roman" w:cs="Times New Roman"/>
          <w:b/>
          <w:sz w:val="28"/>
          <w:szCs w:val="28"/>
        </w:rPr>
      </w:pPr>
      <w:r w:rsidRPr="00176E7F">
        <w:rPr>
          <w:rFonts w:ascii="Times New Roman" w:eastAsia="Times New Roman" w:hAnsi="Times New Roman" w:cs="Times New Roman"/>
          <w:b/>
          <w:sz w:val="28"/>
          <w:szCs w:val="28"/>
        </w:rPr>
        <w:t>M</w:t>
      </w:r>
      <w:r w:rsidR="00F57B67" w:rsidRPr="00176E7F">
        <w:rPr>
          <w:rFonts w:ascii="Times New Roman" w:eastAsia="Times New Roman" w:hAnsi="Times New Roman" w:cs="Times New Roman"/>
          <w:b/>
          <w:sz w:val="28"/>
          <w:szCs w:val="28"/>
        </w:rPr>
        <w:t>ethods</w:t>
      </w:r>
    </w:p>
    <w:p w:rsidR="00BE04C6" w:rsidRPr="00176E7F" w:rsidRDefault="00BE04C6" w:rsidP="00BE04C6">
      <w:pPr>
        <w:pStyle w:val="Body"/>
        <w:spacing w:line="480" w:lineRule="auto"/>
        <w:rPr>
          <w:rFonts w:ascii="Times New Roman" w:eastAsia="Times New Roman" w:hAnsi="Times New Roman" w:cs="Times New Roman"/>
          <w:i/>
          <w:sz w:val="24"/>
          <w:szCs w:val="24"/>
        </w:rPr>
      </w:pPr>
      <w:r w:rsidRPr="00176E7F">
        <w:rPr>
          <w:rFonts w:ascii="Times New Roman" w:eastAsia="Times New Roman" w:hAnsi="Times New Roman" w:cs="Times New Roman"/>
          <w:i/>
          <w:sz w:val="24"/>
          <w:szCs w:val="24"/>
        </w:rPr>
        <w:t xml:space="preserve">Participants  </w:t>
      </w:r>
    </w:p>
    <w:p w:rsidR="00A97E70" w:rsidRPr="00176E7F" w:rsidRDefault="00CF5E1D" w:rsidP="00A97E70">
      <w:pPr>
        <w:pStyle w:val="Body"/>
        <w:spacing w:line="480" w:lineRule="auto"/>
        <w:rPr>
          <w:rFonts w:ascii="Times New Roman" w:eastAsia="Times New Roman" w:hAnsi="Times New Roman" w:cs="Times New Roman"/>
          <w:sz w:val="24"/>
          <w:szCs w:val="24"/>
        </w:rPr>
      </w:pPr>
      <w:r w:rsidRPr="00176E7F">
        <w:rPr>
          <w:rFonts w:ascii="Times New Roman" w:eastAsia="Times New Roman" w:hAnsi="Times New Roman" w:cs="Times New Roman"/>
          <w:sz w:val="24"/>
          <w:szCs w:val="24"/>
        </w:rPr>
        <w:t xml:space="preserve">Participants from one of two ongoing, prospective, community-based, clinical-pathologic cohort studies of aging were included in this study </w:t>
      </w:r>
      <w:r w:rsidRPr="00176E7F">
        <w:rPr>
          <w:rFonts w:ascii="Times New Roman" w:hAnsi="Times New Roman" w:cs="Times New Roman"/>
          <w:sz w:val="24"/>
          <w:szCs w:val="24"/>
        </w:rPr>
        <w:t>(</w:t>
      </w:r>
      <w:hyperlink r:id="rId4">
        <w:r w:rsidRPr="00176E7F">
          <w:rPr>
            <w:rStyle w:val="InternetLink"/>
            <w:rFonts w:ascii="Times New Roman" w:hAnsi="Times New Roman" w:cs="Times New Roman"/>
            <w:sz w:val="24"/>
            <w:szCs w:val="24"/>
          </w:rPr>
          <w:t>www.radc.rush.edu</w:t>
        </w:r>
      </w:hyperlink>
      <w:r w:rsidRPr="00176E7F">
        <w:rPr>
          <w:rFonts w:ascii="Times New Roman" w:hAnsi="Times New Roman" w:cs="Times New Roman"/>
          <w:sz w:val="24"/>
          <w:szCs w:val="24"/>
        </w:rPr>
        <w:t>)</w:t>
      </w:r>
      <w:r w:rsidRPr="00176E7F">
        <w:rPr>
          <w:rFonts w:ascii="Times New Roman" w:eastAsia="Times New Roman" w:hAnsi="Times New Roman" w:cs="Times New Roman"/>
          <w:sz w:val="24"/>
          <w:szCs w:val="24"/>
        </w:rPr>
        <w:t xml:space="preserve">.  </w:t>
      </w:r>
      <w:r w:rsidR="00A97E70" w:rsidRPr="00176E7F">
        <w:rPr>
          <w:rFonts w:ascii="Times New Roman" w:eastAsia="Times New Roman" w:hAnsi="Times New Roman" w:cs="Times New Roman"/>
          <w:sz w:val="24"/>
          <w:szCs w:val="24"/>
        </w:rPr>
        <w:t xml:space="preserve">This research was approved by the Rush University Institutional Review Board. All participants signed an informed consent and an anatomical gift act to donate their brain at time of death. </w:t>
      </w:r>
    </w:p>
    <w:p w:rsidR="00CF5E1D" w:rsidRPr="00176E7F" w:rsidRDefault="00CF5E1D" w:rsidP="00CF5E1D">
      <w:pPr>
        <w:pStyle w:val="Body"/>
        <w:spacing w:line="480" w:lineRule="auto"/>
        <w:rPr>
          <w:rFonts w:ascii="Times New Roman" w:hAnsi="Times New Roman" w:cs="Times New Roman"/>
          <w:sz w:val="24"/>
          <w:szCs w:val="24"/>
        </w:rPr>
      </w:pPr>
      <w:r w:rsidRPr="00176E7F">
        <w:rPr>
          <w:rFonts w:ascii="Times New Roman" w:hAnsi="Times New Roman" w:cs="Times New Roman"/>
          <w:sz w:val="24"/>
          <w:szCs w:val="24"/>
        </w:rPr>
        <w:t>The Religious Orders Study (ROS) began enrolling Catholic clergy men and women in 1994 from across the United States.</w:t>
      </w:r>
      <w:r w:rsidRPr="00176E7F">
        <w:rPr>
          <w:rFonts w:ascii="Times New Roman" w:hAnsi="Times New Roman" w:cs="Times New Roman"/>
          <w:sz w:val="24"/>
          <w:szCs w:val="24"/>
          <w:vertAlign w:val="superscript"/>
        </w:rPr>
        <w:t>15</w:t>
      </w:r>
      <w:r w:rsidRPr="00176E7F">
        <w:rPr>
          <w:rFonts w:ascii="Times New Roman" w:hAnsi="Times New Roman" w:cs="Times New Roman"/>
          <w:sz w:val="24"/>
          <w:szCs w:val="24"/>
        </w:rPr>
        <w:t xml:space="preserve">  Of 1417 people enrolled at the time of analyses starting in June of 2018, 149 had </w:t>
      </w:r>
      <w:proofErr w:type="spellStart"/>
      <w:r w:rsidRPr="00176E7F">
        <w:rPr>
          <w:rFonts w:ascii="Times New Roman" w:hAnsi="Times New Roman" w:cs="Times New Roman"/>
          <w:sz w:val="24"/>
          <w:szCs w:val="24"/>
        </w:rPr>
        <w:t>aPL</w:t>
      </w:r>
      <w:proofErr w:type="spellEnd"/>
      <w:r w:rsidRPr="00176E7F">
        <w:rPr>
          <w:rFonts w:ascii="Times New Roman" w:hAnsi="Times New Roman" w:cs="Times New Roman"/>
          <w:sz w:val="24"/>
          <w:szCs w:val="24"/>
        </w:rPr>
        <w:t xml:space="preserve"> data and two or more clinical evaluations from which to derive change in cognitive function.  There were 814 deaths over the years of the study, of which 752 came to autopsy, and among those, 202 had </w:t>
      </w:r>
      <w:proofErr w:type="spellStart"/>
      <w:r w:rsidRPr="00176E7F">
        <w:rPr>
          <w:rFonts w:ascii="Times New Roman" w:hAnsi="Times New Roman" w:cs="Times New Roman"/>
          <w:sz w:val="24"/>
          <w:szCs w:val="24"/>
        </w:rPr>
        <w:t>aPL</w:t>
      </w:r>
      <w:proofErr w:type="spellEnd"/>
      <w:r w:rsidRPr="00176E7F">
        <w:rPr>
          <w:rFonts w:ascii="Times New Roman" w:hAnsi="Times New Roman" w:cs="Times New Roman"/>
          <w:sz w:val="24"/>
          <w:szCs w:val="24"/>
        </w:rPr>
        <w:t xml:space="preserve"> and </w:t>
      </w:r>
      <w:proofErr w:type="spellStart"/>
      <w:r w:rsidRPr="00176E7F">
        <w:rPr>
          <w:rFonts w:ascii="Times New Roman" w:hAnsi="Times New Roman" w:cs="Times New Roman"/>
          <w:sz w:val="24"/>
          <w:szCs w:val="24"/>
        </w:rPr>
        <w:t>neuropathologic</w:t>
      </w:r>
      <w:proofErr w:type="spellEnd"/>
      <w:r w:rsidRPr="00176E7F">
        <w:rPr>
          <w:rFonts w:ascii="Times New Roman" w:hAnsi="Times New Roman" w:cs="Times New Roman"/>
          <w:sz w:val="24"/>
          <w:szCs w:val="24"/>
        </w:rPr>
        <w:t xml:space="preserve"> data collection complete for inclusion in this study. </w:t>
      </w:r>
      <w:r w:rsidR="00337520" w:rsidRPr="00176E7F">
        <w:rPr>
          <w:rFonts w:ascii="Times New Roman" w:hAnsi="Times New Roman" w:cs="Times New Roman"/>
          <w:sz w:val="24"/>
          <w:szCs w:val="24"/>
        </w:rPr>
        <w:t xml:space="preserve">There were separate groups analyzed with </w:t>
      </w:r>
      <w:proofErr w:type="spellStart"/>
      <w:r w:rsidR="00337520" w:rsidRPr="00176E7F">
        <w:rPr>
          <w:rFonts w:ascii="Times New Roman" w:hAnsi="Times New Roman" w:cs="Times New Roman"/>
          <w:sz w:val="24"/>
          <w:szCs w:val="24"/>
        </w:rPr>
        <w:t>aPL</w:t>
      </w:r>
      <w:proofErr w:type="spellEnd"/>
      <w:r w:rsidR="00337520" w:rsidRPr="00176E7F">
        <w:rPr>
          <w:rFonts w:ascii="Times New Roman" w:hAnsi="Times New Roman" w:cs="Times New Roman"/>
          <w:sz w:val="24"/>
          <w:szCs w:val="24"/>
        </w:rPr>
        <w:t xml:space="preserve"> data available in ROS (and similarly in MAP).  Specifically, one group included participants with two or more cognitive evaluations, so that we could examine the relation of baseline </w:t>
      </w:r>
      <w:proofErr w:type="spellStart"/>
      <w:r w:rsidR="00337520" w:rsidRPr="00176E7F">
        <w:rPr>
          <w:rFonts w:ascii="Times New Roman" w:hAnsi="Times New Roman" w:cs="Times New Roman"/>
          <w:sz w:val="24"/>
          <w:szCs w:val="24"/>
        </w:rPr>
        <w:t>aPL</w:t>
      </w:r>
      <w:proofErr w:type="spellEnd"/>
      <w:r w:rsidR="00337520" w:rsidRPr="00176E7F">
        <w:rPr>
          <w:rFonts w:ascii="Times New Roman" w:hAnsi="Times New Roman" w:cs="Times New Roman"/>
          <w:sz w:val="24"/>
          <w:szCs w:val="24"/>
        </w:rPr>
        <w:t xml:space="preserve"> to change in cognitive and motor function (primary analyses). Another group included participants who died and had </w:t>
      </w:r>
      <w:proofErr w:type="spellStart"/>
      <w:r w:rsidR="00337520" w:rsidRPr="00176E7F">
        <w:rPr>
          <w:rFonts w:ascii="Times New Roman" w:hAnsi="Times New Roman" w:cs="Times New Roman"/>
          <w:sz w:val="24"/>
          <w:szCs w:val="24"/>
        </w:rPr>
        <w:t>neuropathologic</w:t>
      </w:r>
      <w:proofErr w:type="spellEnd"/>
      <w:r w:rsidR="00337520" w:rsidRPr="00176E7F">
        <w:rPr>
          <w:rFonts w:ascii="Times New Roman" w:hAnsi="Times New Roman" w:cs="Times New Roman"/>
          <w:sz w:val="24"/>
          <w:szCs w:val="24"/>
        </w:rPr>
        <w:t xml:space="preserve"> data.  This group is not a subset of the living persons with longitudinal cognitive data.  Because </w:t>
      </w:r>
      <w:proofErr w:type="spellStart"/>
      <w:r w:rsidR="00337520" w:rsidRPr="00176E7F">
        <w:rPr>
          <w:rFonts w:ascii="Times New Roman" w:hAnsi="Times New Roman" w:cs="Times New Roman"/>
          <w:sz w:val="24"/>
          <w:szCs w:val="24"/>
        </w:rPr>
        <w:t>aPL</w:t>
      </w:r>
      <w:proofErr w:type="spellEnd"/>
      <w:r w:rsidR="00337520" w:rsidRPr="00176E7F">
        <w:rPr>
          <w:rFonts w:ascii="Times New Roman" w:hAnsi="Times New Roman" w:cs="Times New Roman"/>
          <w:sz w:val="24"/>
          <w:szCs w:val="24"/>
        </w:rPr>
        <w:t xml:space="preserve"> data were initially collected among deceased persons, we have a </w:t>
      </w:r>
      <w:r w:rsidR="00337520" w:rsidRPr="00176E7F">
        <w:rPr>
          <w:rFonts w:ascii="Times New Roman" w:hAnsi="Times New Roman" w:cs="Times New Roman"/>
          <w:sz w:val="24"/>
          <w:szCs w:val="24"/>
        </w:rPr>
        <w:lastRenderedPageBreak/>
        <w:t xml:space="preserve">higher number of persons with </w:t>
      </w:r>
      <w:proofErr w:type="spellStart"/>
      <w:r w:rsidR="00337520" w:rsidRPr="00176E7F">
        <w:rPr>
          <w:rFonts w:ascii="Times New Roman" w:hAnsi="Times New Roman" w:cs="Times New Roman"/>
          <w:sz w:val="24"/>
          <w:szCs w:val="24"/>
        </w:rPr>
        <w:t>aPL</w:t>
      </w:r>
      <w:proofErr w:type="spellEnd"/>
      <w:r w:rsidR="00337520" w:rsidRPr="00176E7F">
        <w:rPr>
          <w:rFonts w:ascii="Times New Roman" w:hAnsi="Times New Roman" w:cs="Times New Roman"/>
          <w:sz w:val="24"/>
          <w:szCs w:val="24"/>
        </w:rPr>
        <w:t xml:space="preserve"> data who died. </w:t>
      </w:r>
      <w:r w:rsidRPr="00176E7F">
        <w:rPr>
          <w:rFonts w:ascii="Times New Roman" w:hAnsi="Times New Roman" w:cs="Times New Roman"/>
          <w:sz w:val="24"/>
          <w:szCs w:val="24"/>
        </w:rPr>
        <w:t xml:space="preserve">The Rush Memory and Aging Project (MAP) began in 1997, and of 1972 lay-persons in the Chicagoland area enrolled, 807 had </w:t>
      </w:r>
      <w:proofErr w:type="spellStart"/>
      <w:r w:rsidRPr="00176E7F">
        <w:rPr>
          <w:rFonts w:ascii="Times New Roman" w:hAnsi="Times New Roman" w:cs="Times New Roman"/>
          <w:sz w:val="24"/>
          <w:szCs w:val="24"/>
        </w:rPr>
        <w:t>aPL</w:t>
      </w:r>
      <w:proofErr w:type="spellEnd"/>
      <w:r w:rsidRPr="00176E7F">
        <w:rPr>
          <w:rFonts w:ascii="Times New Roman" w:hAnsi="Times New Roman" w:cs="Times New Roman"/>
          <w:sz w:val="24"/>
          <w:szCs w:val="24"/>
        </w:rPr>
        <w:t xml:space="preserve"> data and at least two clinical evaluations.</w:t>
      </w:r>
      <w:proofErr w:type="gramStart"/>
      <w:r w:rsidRPr="00176E7F">
        <w:rPr>
          <w:rFonts w:ascii="Times New Roman" w:hAnsi="Times New Roman" w:cs="Times New Roman"/>
          <w:sz w:val="24"/>
          <w:szCs w:val="24"/>
          <w:vertAlign w:val="superscript"/>
        </w:rPr>
        <w:t>15</w:t>
      </w:r>
      <w:r w:rsidRPr="00176E7F">
        <w:rPr>
          <w:rFonts w:ascii="Times New Roman" w:hAnsi="Times New Roman" w:cs="Times New Roman"/>
          <w:sz w:val="24"/>
          <w:szCs w:val="24"/>
        </w:rPr>
        <w:t xml:space="preserve">  There</w:t>
      </w:r>
      <w:proofErr w:type="gramEnd"/>
      <w:r w:rsidRPr="00176E7F">
        <w:rPr>
          <w:rFonts w:ascii="Times New Roman" w:hAnsi="Times New Roman" w:cs="Times New Roman"/>
          <w:sz w:val="24"/>
          <w:szCs w:val="24"/>
        </w:rPr>
        <w:t xml:space="preserve"> were 959 who died, of which 790 came to autopsy, and data from 497 were </w:t>
      </w:r>
      <w:bookmarkStart w:id="0" w:name="_GoBack"/>
      <w:bookmarkEnd w:id="0"/>
      <w:r w:rsidRPr="00176E7F">
        <w:rPr>
          <w:rFonts w:ascii="Times New Roman" w:hAnsi="Times New Roman" w:cs="Times New Roman"/>
          <w:sz w:val="24"/>
          <w:szCs w:val="24"/>
        </w:rPr>
        <w:t xml:space="preserve">available to be included in analyses.  </w:t>
      </w:r>
      <w:r w:rsidR="00337520" w:rsidRPr="00176E7F">
        <w:rPr>
          <w:rFonts w:ascii="Times New Roman" w:hAnsi="Times New Roman" w:cs="Times New Roman"/>
          <w:sz w:val="24"/>
          <w:szCs w:val="24"/>
        </w:rPr>
        <w:t xml:space="preserve">Because there were </w:t>
      </w:r>
      <w:r w:rsidR="00620445" w:rsidRPr="00176E7F">
        <w:rPr>
          <w:rFonts w:ascii="Times New Roman" w:hAnsi="Times New Roman" w:cs="Times New Roman"/>
          <w:sz w:val="24"/>
          <w:szCs w:val="24"/>
        </w:rPr>
        <w:t xml:space="preserve">more </w:t>
      </w:r>
      <w:r w:rsidR="00337520" w:rsidRPr="00176E7F">
        <w:rPr>
          <w:rFonts w:ascii="Times New Roman" w:hAnsi="Times New Roman" w:cs="Times New Roman"/>
          <w:sz w:val="24"/>
          <w:szCs w:val="24"/>
        </w:rPr>
        <w:t xml:space="preserve">persons with frozen serum from the MAP available for this study, there were more persons with </w:t>
      </w:r>
      <w:proofErr w:type="spellStart"/>
      <w:r w:rsidR="00337520" w:rsidRPr="00176E7F">
        <w:rPr>
          <w:rFonts w:ascii="Times New Roman" w:hAnsi="Times New Roman" w:cs="Times New Roman"/>
          <w:sz w:val="24"/>
          <w:szCs w:val="24"/>
        </w:rPr>
        <w:t>aPL</w:t>
      </w:r>
      <w:proofErr w:type="spellEnd"/>
      <w:r w:rsidR="00337520" w:rsidRPr="00176E7F">
        <w:rPr>
          <w:rFonts w:ascii="Times New Roman" w:hAnsi="Times New Roman" w:cs="Times New Roman"/>
          <w:sz w:val="24"/>
          <w:szCs w:val="24"/>
        </w:rPr>
        <w:t xml:space="preserve"> data in the MAP cohort than in ROS.  </w:t>
      </w:r>
      <w:r w:rsidRPr="00176E7F">
        <w:rPr>
          <w:rFonts w:ascii="Times New Roman" w:hAnsi="Times New Roman" w:cs="Times New Roman"/>
          <w:sz w:val="24"/>
          <w:szCs w:val="24"/>
        </w:rPr>
        <w:t>Together, data from both cohorts resulted in a total of 956 persons included in analyses of change in brain function (e.g., cognitive decline), and 699 in analyses of postmortem neuropathology.</w:t>
      </w:r>
      <w:r w:rsidRPr="00176E7F">
        <w:rPr>
          <w:rFonts w:ascii="Times New Roman" w:hAnsi="Times New Roman" w:cs="Times New Roman"/>
          <w:sz w:val="24"/>
          <w:szCs w:val="24"/>
          <w:vertAlign w:val="superscript"/>
        </w:rPr>
        <w:t xml:space="preserve"> </w:t>
      </w:r>
      <w:r w:rsidRPr="00176E7F">
        <w:rPr>
          <w:rFonts w:ascii="Times New Roman" w:hAnsi="Times New Roman" w:cs="Times New Roman"/>
          <w:sz w:val="24"/>
          <w:szCs w:val="24"/>
        </w:rPr>
        <w:t xml:space="preserve">The cohort studies have essentially identical recruitment methods and a large overlap of data and </w:t>
      </w:r>
      <w:proofErr w:type="spellStart"/>
      <w:r w:rsidRPr="00176E7F">
        <w:rPr>
          <w:rFonts w:ascii="Times New Roman" w:hAnsi="Times New Roman" w:cs="Times New Roman"/>
          <w:sz w:val="24"/>
          <w:szCs w:val="24"/>
        </w:rPr>
        <w:t>biospecimen</w:t>
      </w:r>
      <w:proofErr w:type="spellEnd"/>
      <w:r w:rsidRPr="00176E7F">
        <w:rPr>
          <w:rFonts w:ascii="Times New Roman" w:hAnsi="Times New Roman" w:cs="Times New Roman"/>
          <w:sz w:val="24"/>
          <w:szCs w:val="24"/>
        </w:rPr>
        <w:t xml:space="preserve"> collection (including for </w:t>
      </w:r>
      <w:proofErr w:type="spellStart"/>
      <w:r w:rsidRPr="00176E7F">
        <w:rPr>
          <w:rFonts w:ascii="Times New Roman" w:hAnsi="Times New Roman" w:cs="Times New Roman"/>
          <w:sz w:val="24"/>
          <w:szCs w:val="24"/>
        </w:rPr>
        <w:t>antemortem</w:t>
      </w:r>
      <w:proofErr w:type="spellEnd"/>
      <w:r w:rsidRPr="00176E7F">
        <w:rPr>
          <w:rFonts w:ascii="Times New Roman" w:hAnsi="Times New Roman" w:cs="Times New Roman"/>
          <w:sz w:val="24"/>
          <w:szCs w:val="24"/>
        </w:rPr>
        <w:t xml:space="preserve"> serum and postmortem brain </w:t>
      </w:r>
      <w:proofErr w:type="spellStart"/>
      <w:r w:rsidRPr="00176E7F">
        <w:rPr>
          <w:rFonts w:ascii="Times New Roman" w:hAnsi="Times New Roman" w:cs="Times New Roman"/>
          <w:sz w:val="24"/>
          <w:szCs w:val="24"/>
        </w:rPr>
        <w:t>biospecimens</w:t>
      </w:r>
      <w:proofErr w:type="spellEnd"/>
      <w:r w:rsidRPr="00176E7F">
        <w:rPr>
          <w:rFonts w:ascii="Times New Roman" w:hAnsi="Times New Roman" w:cs="Times New Roman"/>
          <w:sz w:val="24"/>
          <w:szCs w:val="24"/>
        </w:rPr>
        <w:t>), allowing for pooling of data to increase statistical power in the examination of risk factors for cognitive and motor decline in aging.</w:t>
      </w:r>
      <w:r w:rsidRPr="00176E7F">
        <w:rPr>
          <w:rFonts w:ascii="Times New Roman" w:hAnsi="Times New Roman" w:cs="Times New Roman"/>
          <w:sz w:val="24"/>
          <w:szCs w:val="24"/>
          <w:vertAlign w:val="superscript"/>
        </w:rPr>
        <w:t xml:space="preserve">15 </w:t>
      </w:r>
      <w:r w:rsidRPr="00176E7F">
        <w:rPr>
          <w:rFonts w:ascii="Times New Roman" w:hAnsi="Times New Roman" w:cs="Times New Roman"/>
          <w:sz w:val="24"/>
          <w:szCs w:val="24"/>
        </w:rPr>
        <w:t>Both cohort studies have unusually high follow-up and autopsy rates, above 85%.</w:t>
      </w:r>
      <w:r w:rsidRPr="00176E7F">
        <w:rPr>
          <w:rFonts w:ascii="Times New Roman" w:hAnsi="Times New Roman" w:cs="Times New Roman"/>
          <w:sz w:val="24"/>
          <w:szCs w:val="24"/>
          <w:vertAlign w:val="superscript"/>
        </w:rPr>
        <w:t>15</w:t>
      </w:r>
      <w:r w:rsidRPr="00176E7F">
        <w:rPr>
          <w:rFonts w:ascii="Times New Roman" w:hAnsi="Times New Roman" w:cs="Times New Roman"/>
          <w:sz w:val="24"/>
          <w:szCs w:val="24"/>
        </w:rPr>
        <w:t xml:space="preserve"> </w:t>
      </w:r>
    </w:p>
    <w:p w:rsidR="00BE04C6" w:rsidRPr="00176E7F" w:rsidRDefault="00BE04C6" w:rsidP="00BE04C6">
      <w:pPr>
        <w:pStyle w:val="Body"/>
        <w:spacing w:line="480" w:lineRule="auto"/>
        <w:rPr>
          <w:rFonts w:ascii="Times New Roman" w:hAnsi="Times New Roman" w:cs="Times New Roman"/>
          <w:i/>
          <w:sz w:val="24"/>
          <w:szCs w:val="24"/>
        </w:rPr>
      </w:pPr>
      <w:r w:rsidRPr="00176E7F">
        <w:rPr>
          <w:rFonts w:ascii="Times New Roman" w:hAnsi="Times New Roman" w:cs="Times New Roman"/>
          <w:i/>
          <w:sz w:val="24"/>
          <w:szCs w:val="24"/>
        </w:rPr>
        <w:t>Cognitive and motor data</w:t>
      </w:r>
    </w:p>
    <w:p w:rsidR="00CF5E1D" w:rsidRPr="00176E7F" w:rsidRDefault="00CF5E1D" w:rsidP="00CF5E1D">
      <w:pPr>
        <w:pStyle w:val="Body"/>
        <w:shd w:val="clear" w:color="auto" w:fill="FFFFFF" w:themeFill="background1"/>
        <w:spacing w:line="480" w:lineRule="auto"/>
        <w:rPr>
          <w:rFonts w:ascii="Times New Roman" w:hAnsi="Times New Roman" w:cs="Times New Roman"/>
          <w:sz w:val="24"/>
          <w:szCs w:val="24"/>
        </w:rPr>
      </w:pPr>
      <w:r w:rsidRPr="00176E7F">
        <w:rPr>
          <w:rFonts w:ascii="Times New Roman" w:hAnsi="Times New Roman" w:cs="Times New Roman"/>
          <w:sz w:val="24"/>
          <w:szCs w:val="24"/>
        </w:rPr>
        <w:t>Participants underwent baseline and annual clinical evaluations, as previously described elsewhere.</w:t>
      </w:r>
      <w:r w:rsidRPr="00176E7F">
        <w:rPr>
          <w:rFonts w:ascii="Times New Roman" w:hAnsi="Times New Roman" w:cs="Times New Roman"/>
          <w:sz w:val="24"/>
          <w:szCs w:val="24"/>
          <w:vertAlign w:val="superscript"/>
        </w:rPr>
        <w:t>15</w:t>
      </w:r>
      <w:r w:rsidRPr="00176E7F">
        <w:rPr>
          <w:rFonts w:ascii="Times New Roman" w:hAnsi="Times New Roman" w:cs="Times New Roman"/>
          <w:sz w:val="24"/>
          <w:szCs w:val="24"/>
        </w:rPr>
        <w:t xml:space="preserve"> Evaluations included a medical history, physical examination with emphasis on the neurological and motor examination, and neuropsychological testing.  Annual follow-up assessments were essentially identical to the baseline evaluation.  The follow-up rates for the two ongoing cohort studies are in the range of 85% to 95%.</w:t>
      </w:r>
    </w:p>
    <w:p w:rsidR="00CF5E1D" w:rsidRPr="00176E7F" w:rsidRDefault="00CF5E1D" w:rsidP="00CF5E1D">
      <w:pPr>
        <w:pStyle w:val="Body"/>
        <w:spacing w:after="0" w:line="480" w:lineRule="auto"/>
        <w:rPr>
          <w:rFonts w:ascii="Times New Roman" w:hAnsi="Times New Roman" w:cs="Times New Roman"/>
          <w:sz w:val="24"/>
          <w:szCs w:val="24"/>
        </w:rPr>
      </w:pPr>
      <w:r w:rsidRPr="00176E7F">
        <w:rPr>
          <w:rFonts w:ascii="Times New Roman" w:hAnsi="Times New Roman" w:cs="Times New Roman"/>
          <w:sz w:val="24"/>
          <w:szCs w:val="24"/>
        </w:rPr>
        <w:t>Neuropsychological testing was conducted using a standardized battery of individual tests of different cognitive abilities, as published before.</w:t>
      </w:r>
      <w:r w:rsidRPr="00176E7F">
        <w:rPr>
          <w:rFonts w:ascii="Times New Roman" w:hAnsi="Times New Roman" w:cs="Times New Roman"/>
          <w:sz w:val="24"/>
          <w:szCs w:val="24"/>
          <w:vertAlign w:val="superscript"/>
        </w:rPr>
        <w:t>16</w:t>
      </w:r>
      <w:r w:rsidRPr="00176E7F">
        <w:rPr>
          <w:rFonts w:ascii="Times New Roman" w:hAnsi="Times New Roman" w:cs="Times New Roman"/>
          <w:sz w:val="24"/>
          <w:szCs w:val="24"/>
        </w:rPr>
        <w:t xml:space="preserve"> A total of 17 tests were summarized into composite measures of five cognitive domains and an overall score of global cognition (based on all tests).  Measures included composite scores on perceptual speed (two tests), working memory (three tests), episodic memory (seven tests), semantic memory (three tests), and visuospatial abilities (two tests).</w:t>
      </w:r>
      <w:r w:rsidRPr="00176E7F">
        <w:rPr>
          <w:rFonts w:ascii="Times New Roman" w:hAnsi="Times New Roman" w:cs="Times New Roman"/>
          <w:sz w:val="24"/>
          <w:szCs w:val="24"/>
          <w:vertAlign w:val="superscript"/>
        </w:rPr>
        <w:t>16</w:t>
      </w:r>
      <w:r w:rsidRPr="00176E7F">
        <w:rPr>
          <w:rFonts w:ascii="Times New Roman" w:hAnsi="Times New Roman" w:cs="Times New Roman"/>
          <w:sz w:val="24"/>
          <w:szCs w:val="24"/>
        </w:rPr>
        <w:t xml:space="preserve"> A neuropsychologist reviewed all data, blinded to data from prior years.</w:t>
      </w:r>
    </w:p>
    <w:p w:rsidR="00CF5E1D" w:rsidRPr="00176E7F" w:rsidRDefault="00CF5E1D" w:rsidP="00CF5E1D">
      <w:pPr>
        <w:pStyle w:val="Body"/>
        <w:spacing w:after="0" w:line="480" w:lineRule="auto"/>
        <w:rPr>
          <w:rFonts w:ascii="Times New Roman" w:hAnsi="Times New Roman" w:cs="Times New Roman"/>
          <w:sz w:val="24"/>
          <w:szCs w:val="24"/>
        </w:rPr>
      </w:pPr>
      <w:r w:rsidRPr="00176E7F">
        <w:rPr>
          <w:rFonts w:ascii="Times New Roman" w:hAnsi="Times New Roman" w:cs="Times New Roman"/>
          <w:sz w:val="24"/>
          <w:szCs w:val="24"/>
        </w:rPr>
        <w:t xml:space="preserve">Motor testing included a modified version of the </w:t>
      </w:r>
      <w:r w:rsidRPr="00176E7F">
        <w:rPr>
          <w:rFonts w:ascii="Times New Roman" w:eastAsiaTheme="minorHAnsi" w:hAnsi="Times New Roman" w:cs="Times New Roman"/>
          <w:sz w:val="24"/>
          <w:szCs w:val="24"/>
          <w:bdr w:val="none" w:sz="0" w:space="0" w:color="auto"/>
        </w:rPr>
        <w:t>Unified Parkinson’s Disease Rating Scale (UPDRS), which is more applicable to persons with milder parkinsonian signs and without a clinical diagnosis of PD, as published.</w:t>
      </w:r>
      <w:r w:rsidRPr="00176E7F">
        <w:rPr>
          <w:rFonts w:ascii="Times New Roman" w:eastAsiaTheme="minorHAnsi" w:hAnsi="Times New Roman" w:cs="Times New Roman"/>
          <w:sz w:val="24"/>
          <w:szCs w:val="24"/>
          <w:bdr w:val="none" w:sz="0" w:space="0" w:color="auto"/>
          <w:vertAlign w:val="superscript"/>
        </w:rPr>
        <w:t>17</w:t>
      </w:r>
      <w:r w:rsidRPr="00176E7F">
        <w:rPr>
          <w:rFonts w:ascii="Times New Roman" w:eastAsiaTheme="minorHAnsi" w:hAnsi="Times New Roman" w:cs="Times New Roman"/>
          <w:sz w:val="24"/>
          <w:szCs w:val="24"/>
          <w:bdr w:val="none" w:sz="0" w:space="0" w:color="auto"/>
        </w:rPr>
        <w:t xml:space="preserve"> An overall score was derived (range 0-100), with higher numbers indicating more parkinsonian signs.  Four summary measures of parkinsonian signs sub-scores included parkinsonian gait disturbance and bradykinesia (both as continuous variables), as well as tremor and rigidity (dichotomous variables: present vs. not).</w:t>
      </w:r>
      <w:r w:rsidRPr="00176E7F">
        <w:rPr>
          <w:rFonts w:ascii="Times New Roman" w:hAnsi="Times New Roman" w:cs="Times New Roman"/>
          <w:b/>
          <w:sz w:val="24"/>
          <w:szCs w:val="24"/>
        </w:rPr>
        <w:t xml:space="preserve"> </w:t>
      </w:r>
      <w:r w:rsidRPr="00176E7F">
        <w:rPr>
          <w:rFonts w:ascii="Times New Roman" w:hAnsi="Times New Roman" w:cs="Times New Roman"/>
          <w:sz w:val="24"/>
          <w:szCs w:val="24"/>
        </w:rPr>
        <w:t>Continuous variables were not normally distributed and were square root transformed for analyses.</w:t>
      </w:r>
      <w:r w:rsidRPr="00176E7F">
        <w:rPr>
          <w:rFonts w:ascii="Times New Roman" w:hAnsi="Times New Roman" w:cs="Times New Roman"/>
          <w:b/>
          <w:sz w:val="24"/>
          <w:szCs w:val="24"/>
        </w:rPr>
        <w:t xml:space="preserve">  </w:t>
      </w:r>
      <w:r w:rsidRPr="00176E7F">
        <w:rPr>
          <w:rFonts w:ascii="Times New Roman" w:hAnsi="Times New Roman" w:cs="Times New Roman"/>
          <w:sz w:val="24"/>
          <w:szCs w:val="24"/>
        </w:rPr>
        <w:t>Additional performance-based motor data were collected as part of the uniform structured clinical evaluations, and included the use of testing devices (e.g., dynamometers).  A composite global motor score, based on ten motor performances, was constructed to summarize these performances, as described in detail elsewhere.</w:t>
      </w:r>
      <w:r w:rsidRPr="00176E7F">
        <w:rPr>
          <w:rFonts w:ascii="Times New Roman" w:hAnsi="Times New Roman" w:cs="Times New Roman"/>
          <w:sz w:val="24"/>
          <w:szCs w:val="24"/>
          <w:vertAlign w:val="superscript"/>
        </w:rPr>
        <w:t>18</w:t>
      </w:r>
      <w:r w:rsidRPr="00176E7F">
        <w:rPr>
          <w:rFonts w:ascii="Times New Roman" w:hAnsi="Times New Roman" w:cs="Times New Roman"/>
          <w:sz w:val="24"/>
          <w:szCs w:val="24"/>
        </w:rPr>
        <w:t xml:space="preserve"> A lower score indicates worse motor function.    </w:t>
      </w:r>
    </w:p>
    <w:p w:rsidR="00BE04C6" w:rsidRPr="00176E7F" w:rsidRDefault="00BE04C6" w:rsidP="00BE04C6">
      <w:pPr>
        <w:pStyle w:val="Body"/>
        <w:spacing w:line="480" w:lineRule="auto"/>
        <w:rPr>
          <w:rFonts w:ascii="Times New Roman" w:hAnsi="Times New Roman" w:cs="Times New Roman"/>
          <w:i/>
          <w:sz w:val="24"/>
          <w:szCs w:val="24"/>
        </w:rPr>
      </w:pPr>
      <w:r w:rsidRPr="00176E7F">
        <w:rPr>
          <w:rFonts w:ascii="Times New Roman" w:hAnsi="Times New Roman" w:cs="Times New Roman"/>
          <w:i/>
          <w:sz w:val="24"/>
          <w:szCs w:val="24"/>
        </w:rPr>
        <w:t xml:space="preserve">Laboratory measures </w:t>
      </w:r>
    </w:p>
    <w:p w:rsidR="00CF5E1D" w:rsidRPr="00176E7F" w:rsidRDefault="00CF5E1D" w:rsidP="00CF5E1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rPr>
          <w:rFonts w:eastAsiaTheme="minorHAnsi"/>
          <w:color w:val="231F20"/>
          <w:bdr w:val="none" w:sz="0" w:space="0" w:color="auto"/>
        </w:rPr>
      </w:pPr>
      <w:r w:rsidRPr="00176E7F">
        <w:t xml:space="preserve">The clinical evaluations included a blood draw, from which </w:t>
      </w:r>
      <w:proofErr w:type="spellStart"/>
      <w:r w:rsidRPr="00176E7F">
        <w:t>aPL</w:t>
      </w:r>
      <w:proofErr w:type="spellEnd"/>
      <w:r w:rsidRPr="00176E7F">
        <w:t xml:space="preserve"> and other serum measures were quantified, blinded to all clinical data.  Briefly, a panel of three serum </w:t>
      </w:r>
      <w:proofErr w:type="spellStart"/>
      <w:r w:rsidRPr="00176E7F">
        <w:t>aPL</w:t>
      </w:r>
      <w:proofErr w:type="spellEnd"/>
      <w:r w:rsidRPr="00176E7F">
        <w:t xml:space="preserve"> measures, each with IgG and IgM titers (six measures in all), was collected from the first time point at which a frozen serum specimen was available for the study.</w:t>
      </w:r>
      <w:r w:rsidRPr="00176E7F">
        <w:rPr>
          <w:vertAlign w:val="superscript"/>
        </w:rPr>
        <w:t>13</w:t>
      </w:r>
      <w:r w:rsidRPr="00176E7F">
        <w:t xml:space="preserve"> In a subset of about half of participants, a serum specimen from a second or third time (each about two years apart) was also used to collect longitudinal data on </w:t>
      </w:r>
      <w:proofErr w:type="spellStart"/>
      <w:r w:rsidRPr="00176E7F">
        <w:t>aPL</w:t>
      </w:r>
      <w:proofErr w:type="spellEnd"/>
      <w:r w:rsidRPr="00176E7F">
        <w:t xml:space="preserve">.  Commercial kits were used for </w:t>
      </w:r>
      <w:proofErr w:type="spellStart"/>
      <w:r w:rsidRPr="00176E7F">
        <w:t>anticardiolipin</w:t>
      </w:r>
      <w:proofErr w:type="spellEnd"/>
      <w:r w:rsidRPr="00176E7F">
        <w:t xml:space="preserve"> antibodies (</w:t>
      </w:r>
      <w:proofErr w:type="spellStart"/>
      <w:r w:rsidRPr="00176E7F">
        <w:t>aCL</w:t>
      </w:r>
      <w:proofErr w:type="spellEnd"/>
      <w:r w:rsidRPr="00176E7F">
        <w:t xml:space="preserve">) and </w:t>
      </w:r>
      <w:proofErr w:type="spellStart"/>
      <w:r w:rsidRPr="00176E7F">
        <w:t>antiphosphatidyl</w:t>
      </w:r>
      <w:proofErr w:type="spellEnd"/>
      <w:r w:rsidRPr="00176E7F">
        <w:t>-serine antibodies (</w:t>
      </w:r>
      <w:proofErr w:type="spellStart"/>
      <w:r w:rsidRPr="00176E7F">
        <w:t>aPS</w:t>
      </w:r>
      <w:proofErr w:type="spellEnd"/>
      <w:r w:rsidRPr="00176E7F">
        <w:t xml:space="preserve">) </w:t>
      </w:r>
      <w:r w:rsidRPr="00176E7F">
        <w:rPr>
          <w:rFonts w:eastAsiaTheme="minorHAnsi"/>
          <w:color w:val="231F20"/>
          <w:bdr w:val="none" w:sz="0" w:space="0" w:color="auto"/>
        </w:rPr>
        <w:t>(</w:t>
      </w:r>
      <w:proofErr w:type="spellStart"/>
      <w:r w:rsidRPr="00176E7F">
        <w:rPr>
          <w:rFonts w:eastAsiaTheme="minorHAnsi"/>
          <w:color w:val="231F20"/>
          <w:bdr w:val="none" w:sz="0" w:space="0" w:color="auto"/>
        </w:rPr>
        <w:t>Corgenics</w:t>
      </w:r>
      <w:proofErr w:type="spellEnd"/>
      <w:r w:rsidRPr="00176E7F">
        <w:rPr>
          <w:rFonts w:eastAsiaTheme="minorHAnsi"/>
          <w:color w:val="231F20"/>
          <w:bdr w:val="none" w:sz="0" w:space="0" w:color="auto"/>
        </w:rPr>
        <w:t xml:space="preserve">, Inc.), and </w:t>
      </w:r>
      <w:r w:rsidRPr="00176E7F">
        <w:t>Antibodies to β</w:t>
      </w:r>
      <w:r w:rsidRPr="00176E7F">
        <w:rPr>
          <w:vertAlign w:val="subscript"/>
        </w:rPr>
        <w:t>2</w:t>
      </w:r>
      <w:r w:rsidRPr="00176E7F">
        <w:t>-glycoprotein I (anti-β</w:t>
      </w:r>
      <w:r w:rsidRPr="00176E7F">
        <w:rPr>
          <w:vertAlign w:val="subscript"/>
        </w:rPr>
        <w:t>2</w:t>
      </w:r>
      <w:r w:rsidRPr="00176E7F">
        <w:t xml:space="preserve">GPI) </w:t>
      </w:r>
      <w:r w:rsidRPr="00176E7F">
        <w:rPr>
          <w:rFonts w:eastAsiaTheme="minorHAnsi"/>
          <w:color w:val="231F20"/>
          <w:bdr w:val="none" w:sz="0" w:space="0" w:color="auto"/>
        </w:rPr>
        <w:t>(INOVA Diagnostics, Inc.), according to manufacturer’s instructions. All tests are run in duplicate and if the variance was &gt;15%, assays were repeated.</w:t>
      </w:r>
      <w:r w:rsidRPr="00176E7F">
        <w:t xml:space="preserve">  For analyses, we created a summary variable of overall </w:t>
      </w:r>
      <w:proofErr w:type="spellStart"/>
      <w:r w:rsidRPr="00176E7F">
        <w:t>aPL</w:t>
      </w:r>
      <w:proofErr w:type="spellEnd"/>
      <w:r w:rsidRPr="00176E7F">
        <w:t xml:space="preserve"> positivity (yes vs no), if any of the </w:t>
      </w:r>
      <w:proofErr w:type="spellStart"/>
      <w:r w:rsidRPr="00176E7F">
        <w:t>aPL</w:t>
      </w:r>
      <w:proofErr w:type="spellEnd"/>
      <w:r w:rsidRPr="00176E7F">
        <w:t xml:space="preserve"> assays were positive according to the manufacturer’s threshold.  For secondary analyses, </w:t>
      </w:r>
      <w:proofErr w:type="spellStart"/>
      <w:r w:rsidRPr="00176E7F">
        <w:t>aPL</w:t>
      </w:r>
      <w:proofErr w:type="spellEnd"/>
      <w:r w:rsidRPr="00176E7F">
        <w:t xml:space="preserve"> positivity in a particular category of </w:t>
      </w:r>
      <w:proofErr w:type="spellStart"/>
      <w:r w:rsidRPr="00176E7F">
        <w:t>aPL</w:t>
      </w:r>
      <w:proofErr w:type="spellEnd"/>
      <w:r w:rsidRPr="00176E7F">
        <w:t xml:space="preserve"> (</w:t>
      </w:r>
      <w:proofErr w:type="spellStart"/>
      <w:r w:rsidRPr="00176E7F">
        <w:t>aCL</w:t>
      </w:r>
      <w:proofErr w:type="spellEnd"/>
      <w:r w:rsidRPr="00176E7F">
        <w:t xml:space="preserve">, </w:t>
      </w:r>
      <w:proofErr w:type="spellStart"/>
      <w:r w:rsidRPr="00176E7F">
        <w:t>aPS</w:t>
      </w:r>
      <w:proofErr w:type="spellEnd"/>
      <w:r w:rsidRPr="00176E7F">
        <w:t>, and anti-β</w:t>
      </w:r>
      <w:r w:rsidRPr="00176E7F">
        <w:rPr>
          <w:vertAlign w:val="subscript"/>
        </w:rPr>
        <w:t>2</w:t>
      </w:r>
      <w:r w:rsidRPr="00176E7F">
        <w:t xml:space="preserve">GPI) was determined, and based on whether IgG and/or IgM was positive for that type.  </w:t>
      </w:r>
    </w:p>
    <w:p w:rsidR="00CF5E1D" w:rsidRPr="00176E7F" w:rsidRDefault="00CF5E1D" w:rsidP="00CF5E1D">
      <w:pPr>
        <w:pStyle w:val="Body"/>
        <w:spacing w:line="480" w:lineRule="auto"/>
        <w:rPr>
          <w:rFonts w:ascii="Times New Roman" w:eastAsiaTheme="minorHAnsi" w:hAnsi="Times New Roman" w:cs="Times New Roman"/>
          <w:color w:val="231F20"/>
          <w:sz w:val="24"/>
          <w:szCs w:val="24"/>
          <w:bdr w:val="none" w:sz="0" w:space="0" w:color="auto"/>
        </w:rPr>
      </w:pPr>
      <w:r w:rsidRPr="00176E7F">
        <w:rPr>
          <w:rFonts w:ascii="Times New Roman" w:hAnsi="Times New Roman" w:cs="Times New Roman"/>
          <w:sz w:val="24"/>
          <w:szCs w:val="24"/>
        </w:rPr>
        <w:t xml:space="preserve">Serum markers of inflammation and blood brain barrier (BBB) </w:t>
      </w:r>
      <w:r w:rsidRPr="00176E7F">
        <w:rPr>
          <w:rFonts w:ascii="Times New Roman" w:eastAsiaTheme="minorHAnsi" w:hAnsi="Times New Roman" w:cs="Times New Roman"/>
          <w:color w:val="231F20"/>
          <w:sz w:val="24"/>
          <w:szCs w:val="24"/>
          <w:bdr w:val="none" w:sz="0" w:space="0" w:color="auto"/>
        </w:rPr>
        <w:t xml:space="preserve">permeability were also collected in the same first sample available for the </w:t>
      </w:r>
      <w:proofErr w:type="spellStart"/>
      <w:r w:rsidRPr="00176E7F">
        <w:rPr>
          <w:rFonts w:ascii="Times New Roman" w:eastAsiaTheme="minorHAnsi" w:hAnsi="Times New Roman" w:cs="Times New Roman"/>
          <w:color w:val="231F20"/>
          <w:sz w:val="24"/>
          <w:szCs w:val="24"/>
          <w:bdr w:val="none" w:sz="0" w:space="0" w:color="auto"/>
        </w:rPr>
        <w:t>aPL</w:t>
      </w:r>
      <w:proofErr w:type="spellEnd"/>
      <w:r w:rsidRPr="00176E7F">
        <w:rPr>
          <w:rFonts w:ascii="Times New Roman" w:eastAsiaTheme="minorHAnsi" w:hAnsi="Times New Roman" w:cs="Times New Roman"/>
          <w:color w:val="231F20"/>
          <w:sz w:val="24"/>
          <w:szCs w:val="24"/>
          <w:bdr w:val="none" w:sz="0" w:space="0" w:color="auto"/>
        </w:rPr>
        <w:t xml:space="preserve"> measure, in a subset of about half of participants. Commercial kits were used for C-reactive protein (C-Reactive Protein Ultrasensitive ELISA, </w:t>
      </w:r>
      <w:proofErr w:type="spellStart"/>
      <w:r w:rsidRPr="00176E7F">
        <w:rPr>
          <w:rFonts w:ascii="Times New Roman" w:eastAsiaTheme="minorHAnsi" w:hAnsi="Times New Roman" w:cs="Times New Roman"/>
          <w:color w:val="231F20"/>
          <w:sz w:val="24"/>
          <w:szCs w:val="24"/>
          <w:bdr w:val="none" w:sz="0" w:space="0" w:color="auto"/>
        </w:rPr>
        <w:t>Calbiotech</w:t>
      </w:r>
      <w:proofErr w:type="spellEnd"/>
      <w:r w:rsidRPr="00176E7F">
        <w:rPr>
          <w:rFonts w:ascii="Times New Roman" w:eastAsiaTheme="minorHAnsi" w:hAnsi="Times New Roman" w:cs="Times New Roman"/>
          <w:color w:val="231F20"/>
          <w:sz w:val="24"/>
          <w:szCs w:val="24"/>
          <w:bdr w:val="none" w:sz="0" w:space="0" w:color="auto"/>
        </w:rPr>
        <w:t>), and for matrix metalloproteinase 9 and matrix metalloproteinase tissue inhibitor (R&amp;D Systems, Inc.).  For analyses, we created a summary variable ratio of matrix metalloproteinase (</w:t>
      </w:r>
      <w:proofErr w:type="spellStart"/>
      <w:r w:rsidRPr="00176E7F">
        <w:rPr>
          <w:rFonts w:ascii="Times New Roman" w:eastAsiaTheme="minorHAnsi" w:hAnsi="Times New Roman" w:cs="Times New Roman"/>
          <w:color w:val="231F20"/>
          <w:sz w:val="24"/>
          <w:szCs w:val="24"/>
          <w:bdr w:val="none" w:sz="0" w:space="0" w:color="auto"/>
        </w:rPr>
        <w:t>MMPr</w:t>
      </w:r>
      <w:proofErr w:type="spellEnd"/>
      <w:r w:rsidRPr="00176E7F">
        <w:rPr>
          <w:rFonts w:ascii="Times New Roman" w:eastAsiaTheme="minorHAnsi" w:hAnsi="Times New Roman" w:cs="Times New Roman"/>
          <w:color w:val="231F20"/>
          <w:sz w:val="24"/>
          <w:szCs w:val="24"/>
          <w:bdr w:val="none" w:sz="0" w:space="0" w:color="auto"/>
        </w:rPr>
        <w:t>), by dividing matrix metalloproteinase 9 by matrix metalloproteinase tissue inhibitor, in keeping with published research suggesting that a ratio may be more informative than individual measures.</w:t>
      </w:r>
      <w:r w:rsidRPr="00176E7F">
        <w:rPr>
          <w:rFonts w:ascii="Times New Roman" w:eastAsiaTheme="minorHAnsi" w:hAnsi="Times New Roman" w:cs="Times New Roman"/>
          <w:color w:val="231F20"/>
          <w:sz w:val="24"/>
          <w:szCs w:val="24"/>
          <w:bdr w:val="none" w:sz="0" w:space="0" w:color="auto"/>
          <w:vertAlign w:val="superscript"/>
        </w:rPr>
        <w:t>19</w:t>
      </w:r>
      <w:r w:rsidRPr="00176E7F">
        <w:rPr>
          <w:rFonts w:ascii="Times New Roman" w:eastAsiaTheme="minorHAnsi" w:hAnsi="Times New Roman" w:cs="Times New Roman"/>
          <w:color w:val="231F20"/>
          <w:sz w:val="24"/>
          <w:szCs w:val="24"/>
          <w:bdr w:val="none" w:sz="0" w:space="0" w:color="auto"/>
        </w:rPr>
        <w:t xml:space="preserve">  </w:t>
      </w:r>
    </w:p>
    <w:p w:rsidR="00BE04C6" w:rsidRPr="00176E7F" w:rsidRDefault="00BE04C6" w:rsidP="00BE04C6">
      <w:pPr>
        <w:pStyle w:val="Body"/>
        <w:spacing w:line="480" w:lineRule="auto"/>
        <w:rPr>
          <w:rFonts w:ascii="Times New Roman" w:hAnsi="Times New Roman" w:cs="Times New Roman"/>
          <w:i/>
          <w:sz w:val="24"/>
          <w:szCs w:val="24"/>
        </w:rPr>
      </w:pPr>
      <w:r w:rsidRPr="00176E7F">
        <w:rPr>
          <w:rFonts w:ascii="Times New Roman" w:hAnsi="Times New Roman" w:cs="Times New Roman"/>
          <w:i/>
          <w:sz w:val="24"/>
          <w:szCs w:val="24"/>
        </w:rPr>
        <w:t>Neuroimaging data</w:t>
      </w:r>
    </w:p>
    <w:p w:rsidR="00CF5E1D" w:rsidRPr="00176E7F" w:rsidRDefault="00CF5E1D" w:rsidP="00CF5E1D">
      <w:pPr>
        <w:spacing w:line="480" w:lineRule="auto"/>
      </w:pPr>
      <w:r w:rsidRPr="00176E7F">
        <w:t xml:space="preserve">All brain magnetic resonance imaging (MRI) data were collected blinded to clinical and other data, including laboratory measures. A 1.5 Tesla General Electric (Waukesha, WI) MRI scanner was used to collect 3D </w:t>
      </w:r>
      <w:r w:rsidRPr="00176E7F">
        <w:rPr>
          <w:color w:val="000000"/>
        </w:rPr>
        <w:t>T</w:t>
      </w:r>
      <w:r w:rsidRPr="00176E7F">
        <w:rPr>
          <w:iCs/>
          <w:vertAlign w:val="subscript"/>
        </w:rPr>
        <w:t>1</w:t>
      </w:r>
      <w:r w:rsidRPr="00176E7F">
        <w:t xml:space="preserve">-weighted and 2D </w:t>
      </w:r>
      <w:r w:rsidRPr="00176E7F">
        <w:rPr>
          <w:color w:val="000000"/>
        </w:rPr>
        <w:t>T</w:t>
      </w:r>
      <w:r w:rsidRPr="00176E7F">
        <w:rPr>
          <w:iCs/>
          <w:vertAlign w:val="subscript"/>
        </w:rPr>
        <w:t>2</w:t>
      </w:r>
      <w:r w:rsidRPr="00176E7F">
        <w:t>-weighted FLAIR data, using previously described methods and parameters.</w:t>
      </w:r>
      <w:r w:rsidRPr="00176E7F">
        <w:rPr>
          <w:vertAlign w:val="superscript"/>
        </w:rPr>
        <w:t>20</w:t>
      </w:r>
      <w:r w:rsidRPr="00176E7F">
        <w:t xml:space="preserve"> White matter </w:t>
      </w:r>
      <w:proofErr w:type="spellStart"/>
      <w:r w:rsidRPr="00176E7F">
        <w:t>hyperintensities</w:t>
      </w:r>
      <w:proofErr w:type="spellEnd"/>
      <w:r w:rsidRPr="00176E7F">
        <w:t xml:space="preserve"> were automatically segmented using a support vector machine classifier considering both 3D T</w:t>
      </w:r>
      <w:r w:rsidRPr="00176E7F">
        <w:rPr>
          <w:vertAlign w:val="subscript"/>
        </w:rPr>
        <w:t>1</w:t>
      </w:r>
      <w:r w:rsidRPr="00176E7F">
        <w:t>-weighted and T</w:t>
      </w:r>
      <w:r w:rsidRPr="00176E7F">
        <w:rPr>
          <w:vertAlign w:val="subscript"/>
        </w:rPr>
        <w:t>2</w:t>
      </w:r>
      <w:r w:rsidRPr="00176E7F">
        <w:t>-weighted FLAIR information (WMLS, SBIA, University of Pennsylvania, PA).</w:t>
      </w:r>
      <w:r w:rsidRPr="00176E7F">
        <w:rPr>
          <w:vertAlign w:val="superscript"/>
        </w:rPr>
        <w:t>21</w:t>
      </w:r>
      <w:r w:rsidRPr="00176E7F">
        <w:t xml:space="preserve"> </w:t>
      </w:r>
      <w:r w:rsidRPr="00176E7F">
        <w:rPr>
          <w:iCs/>
          <w:color w:val="000000"/>
        </w:rPr>
        <w:t xml:space="preserve">The total volume of </w:t>
      </w:r>
      <w:r w:rsidRPr="00176E7F">
        <w:rPr>
          <w:rFonts w:eastAsia="Times New Roman"/>
          <w:bdr w:val="none" w:sz="0" w:space="0" w:color="auto"/>
        </w:rPr>
        <w:t xml:space="preserve">white matter </w:t>
      </w:r>
      <w:proofErr w:type="spellStart"/>
      <w:r w:rsidRPr="00176E7F">
        <w:rPr>
          <w:rFonts w:eastAsia="Times New Roman"/>
          <w:bdr w:val="none" w:sz="0" w:space="0" w:color="auto"/>
        </w:rPr>
        <w:t>hyperintensities</w:t>
      </w:r>
      <w:proofErr w:type="spellEnd"/>
      <w:r w:rsidRPr="00176E7F">
        <w:rPr>
          <w:iCs/>
          <w:color w:val="000000"/>
        </w:rPr>
        <w:t xml:space="preserve"> was measured for each participant and then divided by the corresponding intracranial volume (ICV) measured with </w:t>
      </w:r>
      <w:proofErr w:type="spellStart"/>
      <w:r w:rsidRPr="00176E7F">
        <w:rPr>
          <w:iCs/>
          <w:color w:val="000000"/>
        </w:rPr>
        <w:t>Freesurfer</w:t>
      </w:r>
      <w:proofErr w:type="spellEnd"/>
      <w:r w:rsidRPr="00176E7F">
        <w:rPr>
          <w:iCs/>
          <w:color w:val="000000"/>
        </w:rPr>
        <w:t xml:space="preserve"> on 3D </w:t>
      </w:r>
      <w:r w:rsidRPr="00176E7F">
        <w:rPr>
          <w:color w:val="000000"/>
        </w:rPr>
        <w:t>T</w:t>
      </w:r>
      <w:r w:rsidRPr="00176E7F">
        <w:rPr>
          <w:iCs/>
          <w:vertAlign w:val="subscript"/>
        </w:rPr>
        <w:t>1</w:t>
      </w:r>
      <w:r w:rsidRPr="00176E7F">
        <w:t>-weighted images</w:t>
      </w:r>
      <w:r w:rsidRPr="00176E7F">
        <w:rPr>
          <w:iCs/>
        </w:rPr>
        <w:t xml:space="preserve">. MRI data collected at the nearest time interval after the time of the blood draw from which serum </w:t>
      </w:r>
      <w:proofErr w:type="spellStart"/>
      <w:r w:rsidRPr="00176E7F">
        <w:rPr>
          <w:iCs/>
        </w:rPr>
        <w:t>aPL</w:t>
      </w:r>
      <w:proofErr w:type="spellEnd"/>
      <w:r w:rsidRPr="00176E7F">
        <w:rPr>
          <w:iCs/>
        </w:rPr>
        <w:t xml:space="preserve"> were derived were used in this study. For analyses, g</w:t>
      </w:r>
      <w:r w:rsidRPr="00176E7F">
        <w:t xml:space="preserve">iven the skewed distribution of the total white matter </w:t>
      </w:r>
      <w:proofErr w:type="spellStart"/>
      <w:r w:rsidRPr="00176E7F">
        <w:t>hyperintensity</w:t>
      </w:r>
      <w:proofErr w:type="spellEnd"/>
      <w:r w:rsidRPr="00176E7F">
        <w:t xml:space="preserve"> volumes across participants, the values</w:t>
      </w:r>
      <w:r w:rsidRPr="00176E7F">
        <w:rPr>
          <w:rFonts w:eastAsia="Times New Roman"/>
        </w:rPr>
        <w:t xml:space="preserve"> </w:t>
      </w:r>
      <w:r w:rsidRPr="00176E7F">
        <w:t>were logarithmically transformed.</w:t>
      </w:r>
    </w:p>
    <w:p w:rsidR="00CF5E1D" w:rsidRPr="00176E7F" w:rsidRDefault="00CF5E1D" w:rsidP="00CF5E1D">
      <w:pPr>
        <w:pStyle w:val="Body"/>
        <w:spacing w:line="480" w:lineRule="auto"/>
        <w:rPr>
          <w:rFonts w:ascii="Times New Roman" w:hAnsi="Times New Roman" w:cs="Times New Roman"/>
          <w:sz w:val="24"/>
          <w:szCs w:val="24"/>
        </w:rPr>
      </w:pPr>
      <w:r w:rsidRPr="00176E7F">
        <w:rPr>
          <w:rFonts w:ascii="Times New Roman" w:hAnsi="Times New Roman" w:cs="Times New Roman"/>
          <w:sz w:val="24"/>
          <w:szCs w:val="24"/>
        </w:rPr>
        <w:t>Lacunar infarcts larger than 3 mm along the anterior-posterior or left-right axes and larger than 3mm along the superior-inferior axis were manually segmented based on the T</w:t>
      </w:r>
      <w:r w:rsidRPr="00176E7F">
        <w:rPr>
          <w:rFonts w:ascii="Times New Roman" w:hAnsi="Times New Roman" w:cs="Times New Roman"/>
          <w:sz w:val="24"/>
          <w:szCs w:val="24"/>
          <w:vertAlign w:val="subscript"/>
        </w:rPr>
        <w:t>1</w:t>
      </w:r>
      <w:r w:rsidRPr="00176E7F">
        <w:rPr>
          <w:rFonts w:ascii="Times New Roman" w:hAnsi="Times New Roman" w:cs="Times New Roman"/>
          <w:sz w:val="24"/>
          <w:szCs w:val="24"/>
        </w:rPr>
        <w:t>-weighted and T</w:t>
      </w:r>
      <w:r w:rsidRPr="00176E7F">
        <w:rPr>
          <w:rFonts w:ascii="Times New Roman" w:hAnsi="Times New Roman" w:cs="Times New Roman"/>
          <w:sz w:val="24"/>
          <w:szCs w:val="24"/>
          <w:vertAlign w:val="subscript"/>
        </w:rPr>
        <w:t>2</w:t>
      </w:r>
      <w:r w:rsidRPr="00176E7F">
        <w:rPr>
          <w:rFonts w:ascii="Times New Roman" w:hAnsi="Times New Roman" w:cs="Times New Roman"/>
          <w:sz w:val="24"/>
          <w:szCs w:val="24"/>
        </w:rPr>
        <w:t xml:space="preserve">-weighted FLAIR data </w:t>
      </w:r>
      <w:r w:rsidRPr="00176E7F">
        <w:rPr>
          <w:rFonts w:ascii="Times New Roman" w:eastAsia="Times New Roman" w:hAnsi="Times New Roman" w:cs="Times New Roman"/>
          <w:sz w:val="24"/>
          <w:szCs w:val="24"/>
          <w:bdr w:val="none" w:sz="0" w:space="0" w:color="auto"/>
        </w:rPr>
        <w:t xml:space="preserve">in a subset of 330 participants. Inter-rater and intra-rater reliability of the manual infarct segmentation were assessed by means of the </w:t>
      </w:r>
      <w:proofErr w:type="spellStart"/>
      <w:r w:rsidRPr="00176E7F">
        <w:rPr>
          <w:rFonts w:ascii="Times New Roman" w:eastAsia="Times New Roman" w:hAnsi="Times New Roman" w:cs="Times New Roman"/>
          <w:sz w:val="24"/>
          <w:szCs w:val="24"/>
          <w:bdr w:val="none" w:sz="0" w:space="0" w:color="auto"/>
        </w:rPr>
        <w:t>intraclass</w:t>
      </w:r>
      <w:proofErr w:type="spellEnd"/>
      <w:r w:rsidRPr="00176E7F">
        <w:rPr>
          <w:rFonts w:ascii="Times New Roman" w:eastAsia="Times New Roman" w:hAnsi="Times New Roman" w:cs="Times New Roman"/>
          <w:sz w:val="24"/>
          <w:szCs w:val="24"/>
          <w:bdr w:val="none" w:sz="0" w:space="0" w:color="auto"/>
        </w:rPr>
        <w:t xml:space="preserve"> correlation (ICC) based on segmentations of two expert raters on 7 participants, and based on segmentations of one rater on the same 10 participants, respectively. For analyses, we created a dichotomous variable for the presence of one or more infarct</w:t>
      </w:r>
      <w:bookmarkStart w:id="1" w:name="IDX"/>
      <w:bookmarkEnd w:id="1"/>
      <w:r w:rsidRPr="00176E7F">
        <w:rPr>
          <w:rFonts w:ascii="Times New Roman" w:eastAsia="Times New Roman" w:hAnsi="Times New Roman" w:cs="Times New Roman"/>
          <w:sz w:val="24"/>
          <w:szCs w:val="24"/>
          <w:bdr w:val="none" w:sz="0" w:space="0" w:color="auto"/>
        </w:rPr>
        <w:t>s with volume of 3</w:t>
      </w:r>
      <w:r w:rsidRPr="00176E7F">
        <w:rPr>
          <w:rFonts w:ascii="Times New Roman" w:eastAsia="Times New Roman" w:hAnsi="Times New Roman" w:cs="Times New Roman"/>
          <w:sz w:val="24"/>
          <w:szCs w:val="24"/>
          <w:bdr w:val="none" w:sz="0" w:space="0" w:color="auto"/>
          <w:vertAlign w:val="superscript"/>
        </w:rPr>
        <w:t>3</w:t>
      </w:r>
      <w:r w:rsidRPr="00176E7F">
        <w:rPr>
          <w:rFonts w:ascii="Times New Roman" w:eastAsia="Times New Roman" w:hAnsi="Times New Roman" w:cs="Times New Roman"/>
          <w:sz w:val="24"/>
          <w:szCs w:val="24"/>
          <w:bdr w:val="none" w:sz="0" w:space="0" w:color="auto"/>
        </w:rPr>
        <w:t xml:space="preserve"> mm</w:t>
      </w:r>
      <w:r w:rsidRPr="00176E7F">
        <w:rPr>
          <w:rFonts w:ascii="Times New Roman" w:eastAsia="Times New Roman" w:hAnsi="Times New Roman" w:cs="Times New Roman"/>
          <w:sz w:val="24"/>
          <w:szCs w:val="24"/>
          <w:bdr w:val="none" w:sz="0" w:space="0" w:color="auto"/>
          <w:vertAlign w:val="superscript"/>
        </w:rPr>
        <w:t>3</w:t>
      </w:r>
      <w:r w:rsidRPr="00176E7F">
        <w:rPr>
          <w:rFonts w:ascii="Times New Roman" w:eastAsia="Times New Roman" w:hAnsi="Times New Roman" w:cs="Times New Roman"/>
          <w:sz w:val="24"/>
          <w:szCs w:val="24"/>
          <w:bdr w:val="none" w:sz="0" w:space="0" w:color="auto"/>
        </w:rPr>
        <w:t xml:space="preserve"> or more. </w:t>
      </w:r>
    </w:p>
    <w:p w:rsidR="00BE04C6" w:rsidRPr="00176E7F" w:rsidRDefault="00BE04C6" w:rsidP="00BE04C6">
      <w:pPr>
        <w:pStyle w:val="Body"/>
        <w:spacing w:line="480" w:lineRule="auto"/>
        <w:rPr>
          <w:rFonts w:ascii="Times New Roman" w:hAnsi="Times New Roman" w:cs="Times New Roman"/>
          <w:i/>
          <w:sz w:val="24"/>
          <w:szCs w:val="24"/>
        </w:rPr>
      </w:pPr>
      <w:proofErr w:type="spellStart"/>
      <w:r w:rsidRPr="00176E7F">
        <w:rPr>
          <w:rFonts w:ascii="Times New Roman" w:hAnsi="Times New Roman" w:cs="Times New Roman"/>
          <w:i/>
          <w:sz w:val="24"/>
          <w:szCs w:val="24"/>
        </w:rPr>
        <w:t>Neuropathologic</w:t>
      </w:r>
      <w:proofErr w:type="spellEnd"/>
      <w:r w:rsidRPr="00176E7F">
        <w:rPr>
          <w:rFonts w:ascii="Times New Roman" w:hAnsi="Times New Roman" w:cs="Times New Roman"/>
          <w:i/>
          <w:sz w:val="24"/>
          <w:szCs w:val="24"/>
        </w:rPr>
        <w:t xml:space="preserve"> data</w:t>
      </w:r>
    </w:p>
    <w:p w:rsidR="00CF5E1D" w:rsidRPr="00176E7F" w:rsidRDefault="00CF5E1D" w:rsidP="00CF5E1D">
      <w:pPr>
        <w:pStyle w:val="Body"/>
        <w:spacing w:after="0" w:line="480" w:lineRule="auto"/>
        <w:rPr>
          <w:rFonts w:ascii="Times New Roman" w:hAnsi="Times New Roman"/>
          <w:sz w:val="24"/>
          <w:szCs w:val="24"/>
          <w:vertAlign w:val="superscript"/>
        </w:rPr>
      </w:pPr>
      <w:r w:rsidRPr="00176E7F">
        <w:rPr>
          <w:rFonts w:ascii="Times New Roman" w:hAnsi="Times New Roman"/>
          <w:sz w:val="24"/>
          <w:szCs w:val="24"/>
        </w:rPr>
        <w:t xml:space="preserve">Detailed and systematic </w:t>
      </w:r>
      <w:proofErr w:type="spellStart"/>
      <w:r w:rsidRPr="00176E7F">
        <w:rPr>
          <w:rFonts w:ascii="Times New Roman" w:hAnsi="Times New Roman"/>
          <w:sz w:val="24"/>
          <w:szCs w:val="24"/>
        </w:rPr>
        <w:t>neuropathologic</w:t>
      </w:r>
      <w:proofErr w:type="spellEnd"/>
      <w:r w:rsidRPr="00176E7F">
        <w:rPr>
          <w:rFonts w:ascii="Times New Roman" w:hAnsi="Times New Roman"/>
          <w:sz w:val="24"/>
          <w:szCs w:val="24"/>
        </w:rPr>
        <w:t xml:space="preserve"> examinations were conducted in deceased and autopsied participants over the course of the study.</w:t>
      </w:r>
      <w:r w:rsidRPr="00176E7F">
        <w:rPr>
          <w:rFonts w:ascii="Times New Roman" w:hAnsi="Times New Roman"/>
          <w:sz w:val="24"/>
          <w:szCs w:val="24"/>
          <w:vertAlign w:val="superscript"/>
        </w:rPr>
        <w:t>15</w:t>
      </w:r>
      <w:r w:rsidRPr="00176E7F">
        <w:rPr>
          <w:rFonts w:ascii="Times New Roman" w:hAnsi="Times New Roman"/>
          <w:sz w:val="24"/>
          <w:szCs w:val="24"/>
        </w:rPr>
        <w:t xml:space="preserve"> Documentation of common age-related </w:t>
      </w:r>
      <w:proofErr w:type="spellStart"/>
      <w:r w:rsidRPr="00176E7F">
        <w:rPr>
          <w:rFonts w:ascii="Times New Roman" w:hAnsi="Times New Roman"/>
          <w:sz w:val="24"/>
          <w:szCs w:val="24"/>
        </w:rPr>
        <w:t>neuropathologies</w:t>
      </w:r>
      <w:proofErr w:type="spellEnd"/>
      <w:r w:rsidRPr="00176E7F">
        <w:rPr>
          <w:rFonts w:ascii="Times New Roman" w:hAnsi="Times New Roman"/>
          <w:sz w:val="24"/>
          <w:szCs w:val="24"/>
        </w:rPr>
        <w:t xml:space="preserve"> was collected, including for cerebrovascular disease. All postmortem evaluations were conducted blinded to clinical and other data, as previously published.</w:t>
      </w:r>
      <w:r w:rsidRPr="00176E7F">
        <w:rPr>
          <w:rFonts w:ascii="Times New Roman" w:hAnsi="Times New Roman"/>
          <w:sz w:val="24"/>
          <w:szCs w:val="24"/>
          <w:vertAlign w:val="superscript"/>
        </w:rPr>
        <w:t>15</w:t>
      </w:r>
    </w:p>
    <w:p w:rsidR="00CF5E1D" w:rsidRPr="00176E7F" w:rsidRDefault="00CF5E1D" w:rsidP="00CF5E1D">
      <w:pPr>
        <w:pStyle w:val="Body"/>
        <w:spacing w:after="0" w:line="480" w:lineRule="auto"/>
        <w:rPr>
          <w:rFonts w:ascii="Times New Roman" w:hAnsi="Times New Roman"/>
          <w:sz w:val="24"/>
          <w:szCs w:val="24"/>
        </w:rPr>
      </w:pPr>
      <w:r w:rsidRPr="00176E7F">
        <w:rPr>
          <w:rFonts w:ascii="Times New Roman" w:hAnsi="Times New Roman"/>
          <w:sz w:val="24"/>
          <w:szCs w:val="24"/>
        </w:rPr>
        <w:t>All brain infarcts identified on gross (macroscopic) examination were classified by number, volume (in mm</w:t>
      </w:r>
      <w:r w:rsidRPr="00176E7F">
        <w:rPr>
          <w:rFonts w:ascii="Times New Roman" w:hAnsi="Times New Roman"/>
          <w:sz w:val="24"/>
          <w:szCs w:val="24"/>
          <w:vertAlign w:val="superscript"/>
        </w:rPr>
        <w:t>2</w:t>
      </w:r>
      <w:r w:rsidRPr="00176E7F">
        <w:rPr>
          <w:rFonts w:ascii="Times New Roman" w:hAnsi="Times New Roman"/>
          <w:sz w:val="24"/>
          <w:szCs w:val="24"/>
        </w:rPr>
        <w:t xml:space="preserve">) and location, and then confirmed on microscopic examination, and classified by age (chronic, subacute, acute). </w:t>
      </w:r>
      <w:proofErr w:type="spellStart"/>
      <w:r w:rsidRPr="00176E7F">
        <w:rPr>
          <w:rFonts w:ascii="Times New Roman" w:hAnsi="Times New Roman"/>
          <w:sz w:val="24"/>
          <w:szCs w:val="24"/>
        </w:rPr>
        <w:t>Microinfarcts</w:t>
      </w:r>
      <w:proofErr w:type="spellEnd"/>
      <w:r w:rsidRPr="00176E7F">
        <w:rPr>
          <w:rFonts w:ascii="Times New Roman" w:hAnsi="Times New Roman"/>
          <w:sz w:val="24"/>
          <w:szCs w:val="24"/>
        </w:rPr>
        <w:t xml:space="preserve"> were also documented, and defined as infarcts not visible to the naked eye and identified only under microscopy. Location and age were recorded. For analyses, only chronic infarcts were considered, and all infarct variables were categorized into two levels: no infarct (reference group) vs one or more infarcts.  We also considered infarct size (gross- and micro-infarcts) and location (cortical and subcortical).  In addition, we used data on cerebral vessel disease for large vessels assessed on gross examination (atherosclerosis), and small vessels based on histologic examination (arteriolosclerosis), as reported elsewhere.</w:t>
      </w:r>
      <w:proofErr w:type="gramStart"/>
      <w:r w:rsidRPr="00176E7F">
        <w:rPr>
          <w:rFonts w:ascii="Times New Roman" w:hAnsi="Times New Roman"/>
          <w:sz w:val="24"/>
          <w:szCs w:val="24"/>
          <w:vertAlign w:val="superscript"/>
        </w:rPr>
        <w:t>22</w:t>
      </w:r>
      <w:r w:rsidRPr="00176E7F">
        <w:rPr>
          <w:rFonts w:ascii="Times New Roman" w:hAnsi="Times New Roman"/>
          <w:sz w:val="24"/>
          <w:szCs w:val="24"/>
        </w:rPr>
        <w:t xml:space="preserve">  For</w:t>
      </w:r>
      <w:proofErr w:type="gramEnd"/>
      <w:r w:rsidRPr="00176E7F">
        <w:rPr>
          <w:rFonts w:ascii="Times New Roman" w:hAnsi="Times New Roman"/>
          <w:sz w:val="24"/>
          <w:szCs w:val="24"/>
        </w:rPr>
        <w:t xml:space="preserve"> analyses, we categorized level of severity of vessel pathology into none, mild, moderate, and severe.  </w:t>
      </w:r>
    </w:p>
    <w:p w:rsidR="00BE04C6" w:rsidRPr="00176E7F" w:rsidRDefault="00BE04C6" w:rsidP="00BE04C6">
      <w:pPr>
        <w:pStyle w:val="Body"/>
        <w:spacing w:line="480" w:lineRule="auto"/>
        <w:rPr>
          <w:rFonts w:ascii="Times New Roman" w:hAnsi="Times New Roman" w:cs="Times New Roman"/>
          <w:i/>
          <w:sz w:val="24"/>
          <w:szCs w:val="24"/>
        </w:rPr>
      </w:pPr>
      <w:r w:rsidRPr="00176E7F">
        <w:rPr>
          <w:rFonts w:ascii="Times New Roman" w:hAnsi="Times New Roman" w:cs="Times New Roman"/>
          <w:i/>
          <w:sz w:val="24"/>
          <w:szCs w:val="24"/>
        </w:rPr>
        <w:t>Statistical analysis</w:t>
      </w:r>
    </w:p>
    <w:p w:rsidR="00CF5E1D" w:rsidRPr="00176E7F" w:rsidRDefault="00CF5E1D" w:rsidP="00CF5E1D">
      <w:pPr>
        <w:pStyle w:val="Body"/>
        <w:spacing w:line="480" w:lineRule="auto"/>
        <w:rPr>
          <w:rFonts w:ascii="Times New Roman" w:hAnsi="Times New Roman" w:cs="Times New Roman"/>
          <w:sz w:val="24"/>
          <w:szCs w:val="24"/>
        </w:rPr>
      </w:pPr>
      <w:r w:rsidRPr="00176E7F">
        <w:rPr>
          <w:rFonts w:ascii="Times New Roman" w:hAnsi="Times New Roman" w:cs="Times New Roman"/>
          <w:sz w:val="24"/>
          <w:szCs w:val="24"/>
        </w:rPr>
        <w:t xml:space="preserve">Descriptive analyses were performed. </w:t>
      </w:r>
      <w:r w:rsidRPr="00176E7F">
        <w:rPr>
          <w:rFonts w:ascii="Times New Roman" w:eastAsia="Times New Roman" w:hAnsi="Times New Roman" w:cs="Times New Roman"/>
          <w:sz w:val="24"/>
          <w:szCs w:val="24"/>
          <w:bdr w:val="none" w:sz="0" w:space="0" w:color="auto"/>
        </w:rPr>
        <w:t xml:space="preserve">All subsequent analyses were adjusted for age, sex, and education. </w:t>
      </w:r>
      <w:r w:rsidRPr="00176E7F">
        <w:rPr>
          <w:rFonts w:ascii="Times New Roman" w:hAnsi="Times New Roman" w:cs="Times New Roman"/>
          <w:sz w:val="24"/>
          <w:szCs w:val="24"/>
        </w:rPr>
        <w:t xml:space="preserve">To test the primary hypothesis that overall </w:t>
      </w:r>
      <w:proofErr w:type="spellStart"/>
      <w:r w:rsidRPr="00176E7F">
        <w:rPr>
          <w:rFonts w:ascii="Times New Roman" w:hAnsi="Times New Roman" w:cs="Times New Roman"/>
          <w:sz w:val="24"/>
          <w:szCs w:val="24"/>
        </w:rPr>
        <w:t>aPL</w:t>
      </w:r>
      <w:proofErr w:type="spellEnd"/>
      <w:r w:rsidRPr="00176E7F">
        <w:rPr>
          <w:rFonts w:ascii="Times New Roman" w:hAnsi="Times New Roman" w:cs="Times New Roman"/>
          <w:sz w:val="24"/>
          <w:szCs w:val="24"/>
        </w:rPr>
        <w:t xml:space="preserve"> positivity at baseline is related to change in the primary outcome variables of cognitive and motor function, we conducted two linear mixed effect models, one with the global cognitive function score as the outcome and another with the global parkinsonian signs score as the outcome. Models included terms for overall </w:t>
      </w:r>
      <w:proofErr w:type="spellStart"/>
      <w:r w:rsidRPr="00176E7F">
        <w:rPr>
          <w:rFonts w:ascii="Times New Roman" w:hAnsi="Times New Roman" w:cs="Times New Roman"/>
          <w:sz w:val="24"/>
          <w:szCs w:val="24"/>
        </w:rPr>
        <w:t>aPL</w:t>
      </w:r>
      <w:proofErr w:type="spellEnd"/>
      <w:r w:rsidRPr="00176E7F">
        <w:rPr>
          <w:rFonts w:ascii="Times New Roman" w:hAnsi="Times New Roman" w:cs="Times New Roman"/>
          <w:sz w:val="24"/>
          <w:szCs w:val="24"/>
        </w:rPr>
        <w:t xml:space="preserve"> positivity (level effect), time from baseline, and the interaction between the two variables (overall </w:t>
      </w:r>
      <w:proofErr w:type="spellStart"/>
      <w:r w:rsidRPr="00176E7F">
        <w:rPr>
          <w:rFonts w:ascii="Times New Roman" w:hAnsi="Times New Roman" w:cs="Times New Roman"/>
          <w:sz w:val="24"/>
          <w:szCs w:val="24"/>
        </w:rPr>
        <w:t>aPL</w:t>
      </w:r>
      <w:proofErr w:type="spellEnd"/>
      <w:r w:rsidRPr="00176E7F">
        <w:rPr>
          <w:rFonts w:ascii="Times New Roman" w:hAnsi="Times New Roman" w:cs="Times New Roman"/>
          <w:sz w:val="24"/>
          <w:szCs w:val="24"/>
        </w:rPr>
        <w:t xml:space="preserve"> positivity × time: change effect). In secondary analyses, we conducted similar analyses but replacing the outcome each time with one of the five cognitive domains (perceptual speed, working memory, episodic memory, semantic memory, and visuospatial abilities), and then with the motor function measures including the parkinsonian signs sub-scores (gait disturbance, bradykinesia) and the global motor score measure.  We used logistic mixed effect models for additional parkinsonian sign scores for the presence/absence of tremor and, separately, for the presence/absence of rigidity as outcomes. </w:t>
      </w:r>
    </w:p>
    <w:p w:rsidR="00CF5E1D" w:rsidRPr="00176E7F" w:rsidRDefault="00CF5E1D" w:rsidP="00CF5E1D">
      <w:pPr>
        <w:pStyle w:val="Body"/>
        <w:spacing w:line="480" w:lineRule="auto"/>
        <w:rPr>
          <w:rFonts w:ascii="Times New Roman" w:eastAsia="Times New Roman" w:hAnsi="Times New Roman" w:cs="Times New Roman"/>
          <w:sz w:val="24"/>
          <w:szCs w:val="24"/>
          <w:bdr w:val="none" w:sz="0" w:space="0" w:color="auto"/>
        </w:rPr>
      </w:pPr>
      <w:r w:rsidRPr="00176E7F">
        <w:rPr>
          <w:rFonts w:ascii="Times New Roman" w:hAnsi="Times New Roman" w:cs="Times New Roman"/>
          <w:sz w:val="24"/>
          <w:szCs w:val="24"/>
        </w:rPr>
        <w:t xml:space="preserve">To test the association of overall </w:t>
      </w:r>
      <w:proofErr w:type="spellStart"/>
      <w:r w:rsidRPr="00176E7F">
        <w:rPr>
          <w:rFonts w:ascii="Times New Roman" w:hAnsi="Times New Roman" w:cs="Times New Roman"/>
          <w:sz w:val="24"/>
          <w:szCs w:val="24"/>
        </w:rPr>
        <w:t>aPL</w:t>
      </w:r>
      <w:proofErr w:type="spellEnd"/>
      <w:r w:rsidRPr="00176E7F">
        <w:rPr>
          <w:rFonts w:ascii="Times New Roman" w:hAnsi="Times New Roman" w:cs="Times New Roman"/>
          <w:sz w:val="24"/>
          <w:szCs w:val="24"/>
        </w:rPr>
        <w:t xml:space="preserve"> positivity with other secondary outcomes with only one measurement in time (in serum, on neuroimaging, on neuropathology), we used linear regressions for continuous outcomes, logistic regressions for binary outcomes, and ordinal logistic regressions for ordinal level outcomes. The outcomes were CRP values, </w:t>
      </w:r>
      <w:proofErr w:type="spellStart"/>
      <w:r w:rsidRPr="00176E7F">
        <w:rPr>
          <w:rFonts w:ascii="Times New Roman" w:hAnsi="Times New Roman" w:cs="Times New Roman"/>
          <w:sz w:val="24"/>
          <w:szCs w:val="24"/>
        </w:rPr>
        <w:t>MMPr</w:t>
      </w:r>
      <w:proofErr w:type="spellEnd"/>
      <w:r w:rsidRPr="00176E7F">
        <w:rPr>
          <w:rFonts w:ascii="Times New Roman" w:hAnsi="Times New Roman" w:cs="Times New Roman"/>
          <w:sz w:val="24"/>
          <w:szCs w:val="24"/>
        </w:rPr>
        <w:t xml:space="preserve"> values, MRI </w:t>
      </w:r>
      <w:r w:rsidRPr="00176E7F">
        <w:rPr>
          <w:rFonts w:ascii="Times New Roman" w:eastAsia="Times New Roman" w:hAnsi="Times New Roman" w:cs="Times New Roman"/>
          <w:sz w:val="24"/>
          <w:szCs w:val="24"/>
          <w:bdr w:val="none" w:sz="0" w:space="0" w:color="auto"/>
        </w:rPr>
        <w:t xml:space="preserve">white matter </w:t>
      </w:r>
      <w:proofErr w:type="spellStart"/>
      <w:r w:rsidRPr="00176E7F">
        <w:rPr>
          <w:rFonts w:ascii="Times New Roman" w:eastAsia="Times New Roman" w:hAnsi="Times New Roman" w:cs="Times New Roman"/>
          <w:sz w:val="24"/>
          <w:szCs w:val="24"/>
          <w:bdr w:val="none" w:sz="0" w:space="0" w:color="auto"/>
        </w:rPr>
        <w:t>hyperintensities</w:t>
      </w:r>
      <w:proofErr w:type="spellEnd"/>
      <w:r w:rsidRPr="00176E7F">
        <w:rPr>
          <w:rFonts w:ascii="Times New Roman" w:eastAsia="Times New Roman" w:hAnsi="Times New Roman" w:cs="Times New Roman"/>
          <w:sz w:val="24"/>
          <w:szCs w:val="24"/>
          <w:bdr w:val="none" w:sz="0" w:space="0" w:color="auto"/>
        </w:rPr>
        <w:t xml:space="preserve"> values, the </w:t>
      </w:r>
      <w:r w:rsidRPr="00176E7F">
        <w:rPr>
          <w:rFonts w:ascii="Times New Roman" w:hAnsi="Times New Roman" w:cs="Times New Roman"/>
          <w:sz w:val="24"/>
          <w:szCs w:val="24"/>
        </w:rPr>
        <w:t xml:space="preserve">presence of </w:t>
      </w:r>
      <w:r w:rsidRPr="00176E7F">
        <w:rPr>
          <w:rFonts w:ascii="Times New Roman" w:eastAsia="Times New Roman" w:hAnsi="Times New Roman" w:cs="Times New Roman"/>
          <w:sz w:val="24"/>
          <w:szCs w:val="24"/>
          <w:bdr w:val="none" w:sz="0" w:space="0" w:color="auto"/>
        </w:rPr>
        <w:t xml:space="preserve">MRI infarcts, and the presence of </w:t>
      </w:r>
      <w:r w:rsidRPr="00176E7F">
        <w:rPr>
          <w:rFonts w:ascii="Times New Roman" w:hAnsi="Times New Roman" w:cs="Times New Roman"/>
          <w:sz w:val="24"/>
          <w:szCs w:val="24"/>
        </w:rPr>
        <w:t xml:space="preserve">postmortem </w:t>
      </w:r>
      <w:r w:rsidRPr="00176E7F">
        <w:rPr>
          <w:rFonts w:ascii="Times New Roman" w:eastAsia="Times New Roman" w:hAnsi="Times New Roman" w:cs="Times New Roman"/>
          <w:sz w:val="24"/>
          <w:szCs w:val="24"/>
          <w:bdr w:val="none" w:sz="0" w:space="0" w:color="auto"/>
        </w:rPr>
        <w:t>infarcts on neuropathology (and separately for gross- and micro-infarcts; cortical and subcortical infarcts), as well as ordinal levels of severity of cerebral vessel disease outcomes (separately for atherosclerosis and arteriolosclerosis).</w:t>
      </w:r>
    </w:p>
    <w:p w:rsidR="00CF5E1D" w:rsidRPr="00176E7F" w:rsidRDefault="00CF5E1D" w:rsidP="00CF5E1D">
      <w:pPr>
        <w:pStyle w:val="Body"/>
        <w:spacing w:line="480" w:lineRule="auto"/>
        <w:rPr>
          <w:rFonts w:ascii="Times New Roman" w:hAnsi="Times New Roman" w:cs="Times New Roman"/>
          <w:sz w:val="24"/>
          <w:szCs w:val="24"/>
        </w:rPr>
      </w:pPr>
      <w:r w:rsidRPr="00176E7F">
        <w:rPr>
          <w:rFonts w:ascii="Times New Roman" w:hAnsi="Times New Roman" w:cs="Times New Roman"/>
          <w:sz w:val="24"/>
          <w:szCs w:val="24"/>
        </w:rPr>
        <w:t>The core models were validated graphically and analytically and analyses were programmed in SAS v9.4 (SAS Institute Inc.) system for Linux.</w:t>
      </w:r>
    </w:p>
    <w:p w:rsidR="00BE04C6" w:rsidRPr="00176E7F" w:rsidRDefault="00BE04C6" w:rsidP="00BE04C6">
      <w:pPr>
        <w:pStyle w:val="Body"/>
        <w:spacing w:line="480" w:lineRule="auto"/>
        <w:rPr>
          <w:rFonts w:ascii="Times New Roman" w:eastAsia="Times New Roman" w:hAnsi="Times New Roman" w:cs="Times New Roman"/>
          <w:sz w:val="24"/>
          <w:szCs w:val="24"/>
        </w:rPr>
      </w:pPr>
    </w:p>
    <w:p w:rsidR="00BE04C6" w:rsidRPr="00176E7F" w:rsidRDefault="00BE04C6" w:rsidP="00BE04C6">
      <w:pPr>
        <w:pStyle w:val="Body"/>
        <w:spacing w:line="480" w:lineRule="auto"/>
        <w:rPr>
          <w:rFonts w:ascii="Times New Roman" w:eastAsia="Times New Roman" w:hAnsi="Times New Roman" w:cs="Times New Roman"/>
          <w:b/>
          <w:sz w:val="28"/>
          <w:szCs w:val="28"/>
        </w:rPr>
      </w:pPr>
      <w:r w:rsidRPr="00176E7F">
        <w:rPr>
          <w:rFonts w:ascii="Times New Roman" w:eastAsia="Times New Roman" w:hAnsi="Times New Roman" w:cs="Times New Roman"/>
          <w:b/>
          <w:sz w:val="28"/>
          <w:szCs w:val="28"/>
        </w:rPr>
        <w:t>R</w:t>
      </w:r>
      <w:r w:rsidR="00F57B67" w:rsidRPr="00176E7F">
        <w:rPr>
          <w:rFonts w:ascii="Times New Roman" w:eastAsia="Times New Roman" w:hAnsi="Times New Roman" w:cs="Times New Roman"/>
          <w:b/>
          <w:sz w:val="28"/>
          <w:szCs w:val="28"/>
        </w:rPr>
        <w:t>esults</w:t>
      </w:r>
    </w:p>
    <w:p w:rsidR="00BE04C6" w:rsidRPr="00176E7F" w:rsidRDefault="00BE04C6" w:rsidP="00BE04C6">
      <w:pPr>
        <w:pStyle w:val="Body"/>
        <w:spacing w:line="480" w:lineRule="auto"/>
        <w:rPr>
          <w:rFonts w:ascii="Times New Roman" w:hAnsi="Times New Roman" w:cs="Times New Roman"/>
          <w:i/>
          <w:sz w:val="24"/>
          <w:szCs w:val="24"/>
        </w:rPr>
      </w:pPr>
      <w:r w:rsidRPr="00176E7F">
        <w:rPr>
          <w:rFonts w:ascii="Times New Roman" w:hAnsi="Times New Roman" w:cs="Times New Roman"/>
          <w:i/>
          <w:sz w:val="24"/>
          <w:szCs w:val="24"/>
        </w:rPr>
        <w:t>Participant characteristics and laboratory measures</w:t>
      </w:r>
    </w:p>
    <w:p w:rsidR="00CF5E1D" w:rsidRPr="00176E7F" w:rsidRDefault="00CF5E1D" w:rsidP="00CF5E1D">
      <w:pPr>
        <w:pStyle w:val="Body"/>
        <w:spacing w:line="480" w:lineRule="auto"/>
        <w:rPr>
          <w:rFonts w:ascii="Times New Roman" w:eastAsia="Times New Roman" w:hAnsi="Times New Roman" w:cs="Times New Roman"/>
          <w:sz w:val="24"/>
          <w:szCs w:val="24"/>
        </w:rPr>
      </w:pPr>
      <w:r w:rsidRPr="00176E7F">
        <w:rPr>
          <w:rFonts w:ascii="Times New Roman" w:hAnsi="Times New Roman" w:cs="Times New Roman"/>
          <w:sz w:val="24"/>
          <w:szCs w:val="24"/>
        </w:rPr>
        <w:t xml:space="preserve">The demographic, clinical, neuroimaging, and </w:t>
      </w:r>
      <w:proofErr w:type="spellStart"/>
      <w:r w:rsidRPr="00176E7F">
        <w:rPr>
          <w:rFonts w:ascii="Times New Roman" w:hAnsi="Times New Roman" w:cs="Times New Roman"/>
          <w:sz w:val="24"/>
          <w:szCs w:val="24"/>
        </w:rPr>
        <w:t>neuropathologic</w:t>
      </w:r>
      <w:proofErr w:type="spellEnd"/>
      <w:r w:rsidRPr="00176E7F">
        <w:rPr>
          <w:rFonts w:ascii="Times New Roman" w:hAnsi="Times New Roman" w:cs="Times New Roman"/>
          <w:sz w:val="24"/>
          <w:szCs w:val="24"/>
        </w:rPr>
        <w:t xml:space="preserve"> characteristics of participants are shown in Table 1, for the total group of participants, and separately for those with and without overall </w:t>
      </w:r>
      <w:proofErr w:type="spellStart"/>
      <w:r w:rsidRPr="00176E7F">
        <w:rPr>
          <w:rFonts w:ascii="Times New Roman" w:hAnsi="Times New Roman" w:cs="Times New Roman"/>
          <w:sz w:val="24"/>
          <w:szCs w:val="24"/>
        </w:rPr>
        <w:t>aPL</w:t>
      </w:r>
      <w:proofErr w:type="spellEnd"/>
      <w:r w:rsidRPr="00176E7F">
        <w:rPr>
          <w:rFonts w:ascii="Times New Roman" w:hAnsi="Times New Roman" w:cs="Times New Roman"/>
          <w:sz w:val="24"/>
          <w:szCs w:val="24"/>
        </w:rPr>
        <w:t xml:space="preserve"> positivity at baseline, defined by positivity on any of the assays at the first measurement.  One in five participants had </w:t>
      </w:r>
      <w:proofErr w:type="spellStart"/>
      <w:r w:rsidRPr="00176E7F">
        <w:rPr>
          <w:rFonts w:ascii="Times New Roman" w:hAnsi="Times New Roman" w:cs="Times New Roman"/>
          <w:sz w:val="24"/>
          <w:szCs w:val="24"/>
        </w:rPr>
        <w:t>aPL</w:t>
      </w:r>
      <w:proofErr w:type="spellEnd"/>
      <w:r w:rsidRPr="00176E7F">
        <w:rPr>
          <w:rFonts w:ascii="Times New Roman" w:hAnsi="Times New Roman" w:cs="Times New Roman"/>
          <w:sz w:val="24"/>
          <w:szCs w:val="24"/>
        </w:rPr>
        <w:t xml:space="preserve"> positivity at baseline.  W</w:t>
      </w:r>
      <w:r w:rsidRPr="00176E7F">
        <w:rPr>
          <w:rFonts w:ascii="Times New Roman" w:eastAsia="Times New Roman" w:hAnsi="Times New Roman" w:cs="Times New Roman"/>
          <w:sz w:val="24"/>
          <w:szCs w:val="24"/>
        </w:rPr>
        <w:t xml:space="preserve">hen comparing participants with and without overall </w:t>
      </w:r>
      <w:proofErr w:type="spellStart"/>
      <w:r w:rsidRPr="00176E7F">
        <w:rPr>
          <w:rFonts w:ascii="Times New Roman" w:eastAsia="Times New Roman" w:hAnsi="Times New Roman" w:cs="Times New Roman"/>
          <w:sz w:val="24"/>
          <w:szCs w:val="24"/>
        </w:rPr>
        <w:t>aPL</w:t>
      </w:r>
      <w:proofErr w:type="spellEnd"/>
      <w:r w:rsidRPr="00176E7F">
        <w:rPr>
          <w:rFonts w:ascii="Times New Roman" w:eastAsia="Times New Roman" w:hAnsi="Times New Roman" w:cs="Times New Roman"/>
          <w:sz w:val="24"/>
          <w:szCs w:val="24"/>
        </w:rPr>
        <w:t xml:space="preserve"> positivity, t</w:t>
      </w:r>
      <w:r w:rsidRPr="00176E7F">
        <w:rPr>
          <w:rFonts w:ascii="Times New Roman" w:hAnsi="Times New Roman" w:cs="Times New Roman"/>
          <w:sz w:val="24"/>
          <w:szCs w:val="24"/>
        </w:rPr>
        <w:t xml:space="preserve">here was no </w:t>
      </w:r>
      <w:r w:rsidRPr="00176E7F">
        <w:rPr>
          <w:rFonts w:ascii="Times New Roman" w:eastAsia="Times New Roman" w:hAnsi="Times New Roman" w:cs="Times New Roman"/>
          <w:sz w:val="24"/>
          <w:szCs w:val="24"/>
        </w:rPr>
        <w:t>difference in age (</w:t>
      </w:r>
      <w:proofErr w:type="gramStart"/>
      <w:r w:rsidRPr="00176E7F">
        <w:rPr>
          <w:rFonts w:ascii="Times New Roman" w:hAnsi="Times New Roman" w:cs="Times New Roman"/>
          <w:sz w:val="24"/>
          <w:szCs w:val="24"/>
        </w:rPr>
        <w:t>t(</w:t>
      </w:r>
      <w:proofErr w:type="gramEnd"/>
      <w:r w:rsidRPr="00176E7F">
        <w:rPr>
          <w:rFonts w:ascii="Times New Roman" w:hAnsi="Times New Roman" w:cs="Times New Roman"/>
          <w:sz w:val="24"/>
          <w:szCs w:val="24"/>
        </w:rPr>
        <w:t xml:space="preserve">343.72)= -0.57, </w:t>
      </w:r>
      <w:r w:rsidRPr="00176E7F">
        <w:rPr>
          <w:rFonts w:ascii="Times New Roman" w:hAnsi="Times New Roman" w:cs="Times New Roman"/>
          <w:i/>
          <w:sz w:val="24"/>
          <w:szCs w:val="24"/>
        </w:rPr>
        <w:t>p=</w:t>
      </w:r>
      <w:r w:rsidRPr="00176E7F">
        <w:rPr>
          <w:rFonts w:ascii="Times New Roman" w:hAnsi="Times New Roman" w:cs="Times New Roman"/>
          <w:sz w:val="24"/>
          <w:szCs w:val="24"/>
        </w:rPr>
        <w:t>0.568</w:t>
      </w:r>
      <w:r w:rsidRPr="00176E7F">
        <w:rPr>
          <w:rFonts w:ascii="Times New Roman" w:eastAsia="Times New Roman" w:hAnsi="Times New Roman" w:cs="Times New Roman"/>
          <w:sz w:val="24"/>
          <w:szCs w:val="24"/>
        </w:rPr>
        <w:t>), sex (χ</w:t>
      </w:r>
      <w:r w:rsidRPr="00176E7F">
        <w:rPr>
          <w:rFonts w:ascii="Times New Roman" w:eastAsia="Times New Roman" w:hAnsi="Times New Roman" w:cs="Times New Roman"/>
          <w:sz w:val="24"/>
          <w:szCs w:val="24"/>
          <w:vertAlign w:val="superscript"/>
        </w:rPr>
        <w:t>2</w:t>
      </w:r>
      <w:r w:rsidRPr="00176E7F">
        <w:rPr>
          <w:rFonts w:ascii="Times New Roman" w:hAnsi="Times New Roman" w:cs="Times New Roman"/>
          <w:color w:val="auto"/>
          <w:sz w:val="24"/>
          <w:szCs w:val="24"/>
          <w:bdr w:val="none" w:sz="0" w:space="0" w:color="auto" w:frame="1"/>
        </w:rPr>
        <w:t xml:space="preserve">(1) </w:t>
      </w:r>
      <w:r w:rsidRPr="00176E7F">
        <w:rPr>
          <w:rFonts w:ascii="Times New Roman" w:eastAsia="Times New Roman" w:hAnsi="Times New Roman" w:cs="Times New Roman"/>
          <w:sz w:val="24"/>
          <w:szCs w:val="24"/>
        </w:rPr>
        <w:t xml:space="preserve">=0.010, </w:t>
      </w:r>
      <w:r w:rsidRPr="00176E7F">
        <w:rPr>
          <w:rFonts w:ascii="Times New Roman" w:eastAsia="Times New Roman" w:hAnsi="Times New Roman" w:cs="Times New Roman"/>
          <w:i/>
          <w:sz w:val="24"/>
          <w:szCs w:val="24"/>
        </w:rPr>
        <w:t>p=</w:t>
      </w:r>
      <w:r w:rsidRPr="00176E7F">
        <w:rPr>
          <w:rFonts w:ascii="Times New Roman" w:eastAsia="Times New Roman" w:hAnsi="Times New Roman" w:cs="Times New Roman"/>
          <w:sz w:val="24"/>
          <w:szCs w:val="24"/>
        </w:rPr>
        <w:t>0.752), or education (</w:t>
      </w:r>
      <w:r w:rsidRPr="00176E7F">
        <w:rPr>
          <w:rFonts w:ascii="Times New Roman" w:hAnsi="Times New Roman" w:cs="Times New Roman"/>
          <w:sz w:val="24"/>
          <w:szCs w:val="24"/>
        </w:rPr>
        <w:t xml:space="preserve">t(954) = 0.40, </w:t>
      </w:r>
      <w:r w:rsidRPr="00176E7F">
        <w:rPr>
          <w:rFonts w:ascii="Times New Roman" w:hAnsi="Times New Roman" w:cs="Times New Roman"/>
          <w:i/>
          <w:sz w:val="24"/>
          <w:szCs w:val="24"/>
        </w:rPr>
        <w:t>p=</w:t>
      </w:r>
      <w:r w:rsidRPr="00176E7F">
        <w:rPr>
          <w:rFonts w:ascii="Times New Roman" w:hAnsi="Times New Roman" w:cs="Times New Roman"/>
          <w:sz w:val="24"/>
          <w:szCs w:val="24"/>
        </w:rPr>
        <w:t>0.686</w:t>
      </w:r>
      <w:r w:rsidRPr="00176E7F">
        <w:rPr>
          <w:rFonts w:ascii="Times New Roman" w:eastAsia="Times New Roman" w:hAnsi="Times New Roman" w:cs="Times New Roman"/>
          <w:sz w:val="24"/>
          <w:szCs w:val="24"/>
        </w:rPr>
        <w:t xml:space="preserve">).  The descriptive data on the panel of the three individual </w:t>
      </w:r>
      <w:proofErr w:type="spellStart"/>
      <w:r w:rsidRPr="00176E7F">
        <w:rPr>
          <w:rFonts w:ascii="Times New Roman" w:eastAsia="Times New Roman" w:hAnsi="Times New Roman" w:cs="Times New Roman"/>
          <w:sz w:val="24"/>
          <w:szCs w:val="24"/>
        </w:rPr>
        <w:t>aPL</w:t>
      </w:r>
      <w:proofErr w:type="spellEnd"/>
      <w:r w:rsidRPr="00176E7F">
        <w:rPr>
          <w:rFonts w:ascii="Times New Roman" w:eastAsia="Times New Roman" w:hAnsi="Times New Roman" w:cs="Times New Roman"/>
          <w:sz w:val="24"/>
          <w:szCs w:val="24"/>
        </w:rPr>
        <w:t xml:space="preserve"> measures, including for IgG and IgM separately for each, is provided in Table 2.  </w:t>
      </w:r>
      <w:proofErr w:type="spellStart"/>
      <w:r w:rsidRPr="00176E7F">
        <w:rPr>
          <w:rFonts w:ascii="Times New Roman" w:eastAsia="Times New Roman" w:hAnsi="Times New Roman" w:cs="Times New Roman"/>
          <w:sz w:val="24"/>
          <w:szCs w:val="24"/>
        </w:rPr>
        <w:t>Anticardiolipin</w:t>
      </w:r>
      <w:proofErr w:type="spellEnd"/>
      <w:r w:rsidRPr="00176E7F">
        <w:rPr>
          <w:rFonts w:ascii="Times New Roman" w:eastAsia="Times New Roman" w:hAnsi="Times New Roman" w:cs="Times New Roman"/>
          <w:sz w:val="24"/>
          <w:szCs w:val="24"/>
        </w:rPr>
        <w:t xml:space="preserve"> antibodies were the most frequent single type of </w:t>
      </w:r>
      <w:proofErr w:type="spellStart"/>
      <w:r w:rsidRPr="00176E7F">
        <w:rPr>
          <w:rFonts w:ascii="Times New Roman" w:eastAsia="Times New Roman" w:hAnsi="Times New Roman" w:cs="Times New Roman"/>
          <w:sz w:val="24"/>
          <w:szCs w:val="24"/>
        </w:rPr>
        <w:t>aPL</w:t>
      </w:r>
      <w:proofErr w:type="spellEnd"/>
      <w:r w:rsidRPr="00176E7F">
        <w:rPr>
          <w:rFonts w:ascii="Times New Roman" w:eastAsia="Times New Roman" w:hAnsi="Times New Roman" w:cs="Times New Roman"/>
          <w:sz w:val="24"/>
          <w:szCs w:val="24"/>
        </w:rPr>
        <w:t xml:space="preserve">, present in 17.3% of participants at baseline.  </w:t>
      </w:r>
      <w:r w:rsidRPr="00176E7F">
        <w:rPr>
          <w:rFonts w:ascii="Times New Roman" w:hAnsi="Times New Roman" w:cs="Times New Roman"/>
          <w:sz w:val="24"/>
          <w:szCs w:val="24"/>
        </w:rPr>
        <w:t xml:space="preserve">Further, </w:t>
      </w:r>
      <w:proofErr w:type="spellStart"/>
      <w:r w:rsidRPr="00176E7F">
        <w:rPr>
          <w:rFonts w:ascii="Times New Roman" w:hAnsi="Times New Roman" w:cs="Times New Roman"/>
          <w:sz w:val="24"/>
          <w:szCs w:val="24"/>
        </w:rPr>
        <w:t>aPLs</w:t>
      </w:r>
      <w:proofErr w:type="spellEnd"/>
      <w:r w:rsidRPr="00176E7F">
        <w:rPr>
          <w:rFonts w:ascii="Times New Roman" w:hAnsi="Times New Roman" w:cs="Times New Roman"/>
          <w:sz w:val="24"/>
          <w:szCs w:val="24"/>
        </w:rPr>
        <w:t xml:space="preserve"> were measured over time in 463/956 (48.4%) participants (463 with two time points; 324 with three time points with measures about 2 years apart), during an average time interval from first-to-last measurement of 4.10 (SD=2.30) years.  Comparing the first measurement to the last, among the 115 participant with overall </w:t>
      </w:r>
      <w:proofErr w:type="spellStart"/>
      <w:r w:rsidRPr="00176E7F">
        <w:rPr>
          <w:rFonts w:ascii="Times New Roman" w:hAnsi="Times New Roman" w:cs="Times New Roman"/>
          <w:sz w:val="24"/>
          <w:szCs w:val="24"/>
        </w:rPr>
        <w:t>aPL</w:t>
      </w:r>
      <w:proofErr w:type="spellEnd"/>
      <w:r w:rsidRPr="00176E7F">
        <w:rPr>
          <w:rFonts w:ascii="Times New Roman" w:hAnsi="Times New Roman" w:cs="Times New Roman"/>
          <w:sz w:val="24"/>
          <w:szCs w:val="24"/>
        </w:rPr>
        <w:t xml:space="preserve"> positivity at the first measure, 82/115 (71.30%) remained positive at the last time point measured, suggesting variability in the </w:t>
      </w:r>
      <w:proofErr w:type="spellStart"/>
      <w:r w:rsidRPr="00176E7F">
        <w:rPr>
          <w:rFonts w:ascii="Times New Roman" w:hAnsi="Times New Roman" w:cs="Times New Roman"/>
          <w:sz w:val="24"/>
          <w:szCs w:val="24"/>
        </w:rPr>
        <w:t>aPL</w:t>
      </w:r>
      <w:proofErr w:type="spellEnd"/>
      <w:r w:rsidRPr="00176E7F">
        <w:rPr>
          <w:rFonts w:ascii="Times New Roman" w:hAnsi="Times New Roman" w:cs="Times New Roman"/>
          <w:sz w:val="24"/>
          <w:szCs w:val="24"/>
        </w:rPr>
        <w:t xml:space="preserve"> over time.  A subset of 481/953 participants also had laboratory serum markers of inflammation measured at baseline at the same time point as the first </w:t>
      </w:r>
      <w:proofErr w:type="spellStart"/>
      <w:r w:rsidRPr="00176E7F">
        <w:rPr>
          <w:rFonts w:ascii="Times New Roman" w:hAnsi="Times New Roman" w:cs="Times New Roman"/>
          <w:sz w:val="24"/>
          <w:szCs w:val="24"/>
        </w:rPr>
        <w:t>aPL</w:t>
      </w:r>
      <w:proofErr w:type="spellEnd"/>
      <w:r w:rsidRPr="00176E7F">
        <w:rPr>
          <w:rFonts w:ascii="Times New Roman" w:hAnsi="Times New Roman" w:cs="Times New Roman"/>
          <w:sz w:val="24"/>
          <w:szCs w:val="24"/>
        </w:rPr>
        <w:t xml:space="preserve"> measurement: CRP was on average lower, and the MMP ratio higher, in participants with </w:t>
      </w:r>
      <w:proofErr w:type="spellStart"/>
      <w:r w:rsidRPr="00176E7F">
        <w:rPr>
          <w:rFonts w:ascii="Times New Roman" w:hAnsi="Times New Roman" w:cs="Times New Roman"/>
          <w:sz w:val="24"/>
          <w:szCs w:val="24"/>
        </w:rPr>
        <w:t>aPL</w:t>
      </w:r>
      <w:proofErr w:type="spellEnd"/>
      <w:r w:rsidRPr="00176E7F">
        <w:rPr>
          <w:rFonts w:ascii="Times New Roman" w:hAnsi="Times New Roman" w:cs="Times New Roman"/>
          <w:sz w:val="24"/>
          <w:szCs w:val="24"/>
        </w:rPr>
        <w:t xml:space="preserve"> positivity compared to those without (Table 1; both p&gt;0.123for comparisons).  </w:t>
      </w:r>
    </w:p>
    <w:p w:rsidR="00CF5E1D" w:rsidRPr="00176E7F" w:rsidRDefault="00CF5E1D" w:rsidP="00CF5E1D">
      <w:pPr>
        <w:pStyle w:val="Body"/>
        <w:spacing w:line="480" w:lineRule="auto"/>
        <w:rPr>
          <w:rFonts w:ascii="Times New Roman" w:eastAsia="Times New Roman" w:hAnsi="Times New Roman" w:cs="Times New Roman"/>
          <w:sz w:val="24"/>
          <w:szCs w:val="24"/>
        </w:rPr>
      </w:pPr>
      <w:r w:rsidRPr="00176E7F">
        <w:rPr>
          <w:rFonts w:ascii="Times New Roman" w:hAnsi="Times New Roman" w:cs="Times New Roman"/>
          <w:sz w:val="24"/>
          <w:szCs w:val="24"/>
        </w:rPr>
        <w:t xml:space="preserve">A subset of 413 participants had neuroimaging brain MRI data on white matter </w:t>
      </w:r>
      <w:proofErr w:type="spellStart"/>
      <w:r w:rsidRPr="00176E7F">
        <w:rPr>
          <w:rFonts w:ascii="Times New Roman" w:hAnsi="Times New Roman" w:cs="Times New Roman"/>
          <w:sz w:val="24"/>
          <w:szCs w:val="24"/>
        </w:rPr>
        <w:t>hyperintensities</w:t>
      </w:r>
      <w:proofErr w:type="spellEnd"/>
      <w:r w:rsidRPr="00176E7F">
        <w:rPr>
          <w:rFonts w:ascii="Times New Roman" w:hAnsi="Times New Roman" w:cs="Times New Roman"/>
          <w:sz w:val="24"/>
          <w:szCs w:val="24"/>
        </w:rPr>
        <w:t xml:space="preserve"> conducted after the first </w:t>
      </w:r>
      <w:proofErr w:type="spellStart"/>
      <w:r w:rsidRPr="00176E7F">
        <w:rPr>
          <w:rFonts w:ascii="Times New Roman" w:hAnsi="Times New Roman" w:cs="Times New Roman"/>
          <w:sz w:val="24"/>
          <w:szCs w:val="24"/>
        </w:rPr>
        <w:t>aPL</w:t>
      </w:r>
      <w:proofErr w:type="spellEnd"/>
      <w:r w:rsidRPr="00176E7F">
        <w:rPr>
          <w:rFonts w:ascii="Times New Roman" w:hAnsi="Times New Roman" w:cs="Times New Roman"/>
          <w:sz w:val="24"/>
          <w:szCs w:val="24"/>
        </w:rPr>
        <w:t xml:space="preserve"> measure was collected (within 3.3 (SD=3.1) years after the </w:t>
      </w:r>
      <w:proofErr w:type="spellStart"/>
      <w:r w:rsidRPr="00176E7F">
        <w:rPr>
          <w:rFonts w:ascii="Times New Roman" w:hAnsi="Times New Roman" w:cs="Times New Roman"/>
          <w:sz w:val="24"/>
          <w:szCs w:val="24"/>
        </w:rPr>
        <w:t>aPL</w:t>
      </w:r>
      <w:proofErr w:type="spellEnd"/>
      <w:r w:rsidRPr="00176E7F">
        <w:rPr>
          <w:rFonts w:ascii="Times New Roman" w:hAnsi="Times New Roman" w:cs="Times New Roman"/>
          <w:sz w:val="24"/>
          <w:szCs w:val="24"/>
        </w:rPr>
        <w:t>, on average; range 0-12 years), and there were 330 participants with MRI data on infarcts (Table 1).</w:t>
      </w:r>
    </w:p>
    <w:p w:rsidR="00CF5E1D" w:rsidRPr="00176E7F" w:rsidRDefault="00CF5E1D" w:rsidP="00CF5E1D">
      <w:pPr>
        <w:pStyle w:val="Body"/>
        <w:tabs>
          <w:tab w:val="left" w:pos="3420"/>
        </w:tabs>
        <w:spacing w:line="480" w:lineRule="auto"/>
        <w:rPr>
          <w:rFonts w:ascii="Times New Roman" w:eastAsia="Times New Roman" w:hAnsi="Times New Roman" w:cs="Times New Roman"/>
          <w:sz w:val="24"/>
          <w:szCs w:val="24"/>
        </w:rPr>
      </w:pPr>
      <w:r w:rsidRPr="00176E7F">
        <w:rPr>
          <w:rFonts w:ascii="Times New Roman" w:eastAsia="Times New Roman" w:hAnsi="Times New Roman" w:cs="Times New Roman"/>
          <w:sz w:val="24"/>
          <w:szCs w:val="24"/>
        </w:rPr>
        <w:t xml:space="preserve">Over the course of the study, 699 participants with </w:t>
      </w:r>
      <w:proofErr w:type="spellStart"/>
      <w:r w:rsidRPr="00176E7F">
        <w:rPr>
          <w:rFonts w:ascii="Times New Roman" w:eastAsia="Times New Roman" w:hAnsi="Times New Roman" w:cs="Times New Roman"/>
          <w:sz w:val="24"/>
          <w:szCs w:val="24"/>
        </w:rPr>
        <w:t>aPL</w:t>
      </w:r>
      <w:proofErr w:type="spellEnd"/>
      <w:r w:rsidRPr="00176E7F">
        <w:rPr>
          <w:rFonts w:ascii="Times New Roman" w:eastAsia="Times New Roman" w:hAnsi="Times New Roman" w:cs="Times New Roman"/>
          <w:sz w:val="24"/>
          <w:szCs w:val="24"/>
        </w:rPr>
        <w:t xml:space="preserve"> data died and underwent an autopsy and had </w:t>
      </w:r>
      <w:proofErr w:type="spellStart"/>
      <w:r w:rsidRPr="00176E7F">
        <w:rPr>
          <w:rFonts w:ascii="Times New Roman" w:eastAsia="Times New Roman" w:hAnsi="Times New Roman" w:cs="Times New Roman"/>
          <w:sz w:val="24"/>
          <w:szCs w:val="24"/>
        </w:rPr>
        <w:t>neuropathologic</w:t>
      </w:r>
      <w:proofErr w:type="spellEnd"/>
      <w:r w:rsidRPr="00176E7F">
        <w:rPr>
          <w:rFonts w:ascii="Times New Roman" w:eastAsia="Times New Roman" w:hAnsi="Times New Roman" w:cs="Times New Roman"/>
          <w:sz w:val="24"/>
          <w:szCs w:val="24"/>
        </w:rPr>
        <w:t xml:space="preserve"> data available at the time of these analyses (mean age at death =89.2 (SD =6.4) years). </w:t>
      </w:r>
      <w:proofErr w:type="spellStart"/>
      <w:r w:rsidRPr="00176E7F">
        <w:rPr>
          <w:rFonts w:ascii="Times New Roman" w:eastAsia="Times New Roman" w:hAnsi="Times New Roman" w:cs="Times New Roman"/>
          <w:sz w:val="24"/>
          <w:szCs w:val="24"/>
        </w:rPr>
        <w:t>Neuropathologic</w:t>
      </w:r>
      <w:proofErr w:type="spellEnd"/>
      <w:r w:rsidRPr="00176E7F">
        <w:rPr>
          <w:rFonts w:ascii="Times New Roman" w:eastAsia="Times New Roman" w:hAnsi="Times New Roman" w:cs="Times New Roman"/>
          <w:sz w:val="24"/>
          <w:szCs w:val="24"/>
        </w:rPr>
        <w:t xml:space="preserve"> data showed that cerebrovascular disease was very common, with half (50.7%) of participants having one or more brain infarcts present (chronic, and of any size or location), and about a third of subjects having evidence of moderate-to-severe cerebral vessel diseases (Table 1).  </w:t>
      </w:r>
    </w:p>
    <w:p w:rsidR="008A551B" w:rsidRPr="00176E7F" w:rsidRDefault="00F553FD" w:rsidP="008A551B">
      <w:pPr>
        <w:pStyle w:val="Body"/>
        <w:spacing w:line="480" w:lineRule="auto"/>
        <w:rPr>
          <w:rFonts w:ascii="Times New Roman" w:hAnsi="Times New Roman" w:cs="Times New Roman"/>
          <w:i/>
          <w:sz w:val="24"/>
          <w:szCs w:val="24"/>
        </w:rPr>
      </w:pPr>
      <w:r w:rsidRPr="00176E7F">
        <w:rPr>
          <w:rFonts w:ascii="Times New Roman" w:hAnsi="Times New Roman" w:cs="Times New Roman"/>
          <w:i/>
          <w:sz w:val="24"/>
          <w:szCs w:val="24"/>
        </w:rPr>
        <w:t>Relation of i</w:t>
      </w:r>
      <w:r w:rsidR="008A551B" w:rsidRPr="00176E7F">
        <w:rPr>
          <w:rFonts w:ascii="Times New Roman" w:hAnsi="Times New Roman" w:cs="Times New Roman"/>
          <w:i/>
          <w:sz w:val="24"/>
          <w:szCs w:val="24"/>
        </w:rPr>
        <w:t xml:space="preserve">ndividual </w:t>
      </w:r>
      <w:proofErr w:type="spellStart"/>
      <w:r w:rsidR="008A551B" w:rsidRPr="00176E7F">
        <w:rPr>
          <w:rFonts w:ascii="Times New Roman" w:hAnsi="Times New Roman" w:cs="Times New Roman"/>
          <w:i/>
          <w:sz w:val="24"/>
          <w:szCs w:val="24"/>
        </w:rPr>
        <w:t>aPL</w:t>
      </w:r>
      <w:proofErr w:type="spellEnd"/>
      <w:r w:rsidR="008A551B" w:rsidRPr="00176E7F">
        <w:rPr>
          <w:rFonts w:ascii="Times New Roman" w:hAnsi="Times New Roman" w:cs="Times New Roman"/>
          <w:i/>
          <w:sz w:val="24"/>
          <w:szCs w:val="24"/>
        </w:rPr>
        <w:t xml:space="preserve"> as continuous measures </w:t>
      </w:r>
      <w:r w:rsidRPr="00176E7F">
        <w:rPr>
          <w:rFonts w:ascii="Times New Roman" w:hAnsi="Times New Roman" w:cs="Times New Roman"/>
          <w:i/>
          <w:sz w:val="24"/>
          <w:szCs w:val="24"/>
        </w:rPr>
        <w:t xml:space="preserve">to change in </w:t>
      </w:r>
      <w:r w:rsidR="008A551B" w:rsidRPr="00176E7F">
        <w:rPr>
          <w:rFonts w:ascii="Times New Roman" w:hAnsi="Times New Roman" w:cs="Times New Roman"/>
          <w:i/>
          <w:sz w:val="24"/>
          <w:szCs w:val="24"/>
        </w:rPr>
        <w:t>cognitive and motor</w:t>
      </w:r>
      <w:r w:rsidRPr="00176E7F">
        <w:rPr>
          <w:rFonts w:ascii="Times New Roman" w:hAnsi="Times New Roman" w:cs="Times New Roman"/>
          <w:i/>
          <w:sz w:val="24"/>
          <w:szCs w:val="24"/>
        </w:rPr>
        <w:t xml:space="preserve"> function</w:t>
      </w:r>
    </w:p>
    <w:p w:rsidR="008B5B63" w:rsidRPr="00176E7F" w:rsidRDefault="008A551B" w:rsidP="008A551B">
      <w:pPr>
        <w:spacing w:line="480" w:lineRule="auto"/>
      </w:pPr>
      <w:r w:rsidRPr="00176E7F">
        <w:t xml:space="preserve">Each of the six individual </w:t>
      </w:r>
      <w:proofErr w:type="spellStart"/>
      <w:r w:rsidRPr="00176E7F">
        <w:t>aPL</w:t>
      </w:r>
      <w:proofErr w:type="spellEnd"/>
      <w:r w:rsidRPr="00176E7F">
        <w:t xml:space="preserve"> were measured and data are </w:t>
      </w:r>
      <w:r w:rsidR="00AE520D" w:rsidRPr="00176E7F">
        <w:t>shown in the Table.  W</w:t>
      </w:r>
      <w:r w:rsidRPr="00176E7F">
        <w:t>e</w:t>
      </w:r>
      <w:r w:rsidR="00F553FD" w:rsidRPr="00176E7F">
        <w:t xml:space="preserve"> </w:t>
      </w:r>
      <w:r w:rsidRPr="00176E7F">
        <w:t xml:space="preserve">conducted </w:t>
      </w:r>
      <w:r w:rsidR="00F553FD" w:rsidRPr="00176E7F">
        <w:t xml:space="preserve">secondary </w:t>
      </w:r>
      <w:r w:rsidR="00F553FD" w:rsidRPr="00176E7F">
        <w:rPr>
          <w:rFonts w:eastAsia="Times New Roman"/>
        </w:rPr>
        <w:t>analyses using a series of mixed effects models, all adjusted for age, sex, and education,</w:t>
      </w:r>
      <w:r w:rsidRPr="00176E7F">
        <w:t xml:space="preserve"> to examine the relation of</w:t>
      </w:r>
      <w:r w:rsidR="00AE520D" w:rsidRPr="00176E7F">
        <w:t xml:space="preserve"> each </w:t>
      </w:r>
      <w:proofErr w:type="spellStart"/>
      <w:r w:rsidRPr="00176E7F">
        <w:t>aPL</w:t>
      </w:r>
      <w:proofErr w:type="spellEnd"/>
      <w:r w:rsidRPr="00176E7F">
        <w:t xml:space="preserve"> </w:t>
      </w:r>
      <w:r w:rsidR="00AE520D" w:rsidRPr="00176E7F">
        <w:t xml:space="preserve">as a continuous </w:t>
      </w:r>
      <w:r w:rsidR="00620445" w:rsidRPr="00176E7F">
        <w:t>variable</w:t>
      </w:r>
      <w:r w:rsidR="00AE520D" w:rsidRPr="00176E7F">
        <w:t xml:space="preserve">, </w:t>
      </w:r>
      <w:r w:rsidR="00F553FD" w:rsidRPr="00176E7F">
        <w:t>to</w:t>
      </w:r>
      <w:r w:rsidRPr="00176E7F">
        <w:t xml:space="preserve"> </w:t>
      </w:r>
      <w:r w:rsidR="00D35D71" w:rsidRPr="00176E7F">
        <w:t xml:space="preserve">decline in the global </w:t>
      </w:r>
      <w:r w:rsidR="00C85873" w:rsidRPr="00176E7F">
        <w:t>cognitive function score</w:t>
      </w:r>
      <w:r w:rsidR="00D35D71" w:rsidRPr="00176E7F">
        <w:t xml:space="preserve"> </w:t>
      </w:r>
      <w:r w:rsidRPr="00176E7F">
        <w:t>and</w:t>
      </w:r>
      <w:r w:rsidR="00C85873" w:rsidRPr="00176E7F">
        <w:t xml:space="preserve"> </w:t>
      </w:r>
      <w:r w:rsidR="00F553FD" w:rsidRPr="00176E7F">
        <w:t>to</w:t>
      </w:r>
      <w:r w:rsidRPr="00176E7F">
        <w:t xml:space="preserve"> </w:t>
      </w:r>
      <w:r w:rsidR="00D35D71" w:rsidRPr="00176E7F">
        <w:t xml:space="preserve">worsening </w:t>
      </w:r>
      <w:r w:rsidR="00C85873" w:rsidRPr="00176E7F">
        <w:t xml:space="preserve">in the global </w:t>
      </w:r>
      <w:r w:rsidR="00D35D71" w:rsidRPr="00176E7F">
        <w:t>parkinsonian signs score</w:t>
      </w:r>
      <w:r w:rsidRPr="00176E7F">
        <w:t xml:space="preserve">.  Result </w:t>
      </w:r>
      <w:r w:rsidR="00C85873" w:rsidRPr="00176E7F">
        <w:t xml:space="preserve">from these 12 analyses </w:t>
      </w:r>
      <w:r w:rsidRPr="00176E7F">
        <w:t xml:space="preserve">did not show significant </w:t>
      </w:r>
      <w:r w:rsidR="00F553FD" w:rsidRPr="00176E7F">
        <w:t>relations</w:t>
      </w:r>
      <w:r w:rsidR="00D35D71" w:rsidRPr="00176E7F">
        <w:t xml:space="preserve"> (data not shown)</w:t>
      </w:r>
      <w:r w:rsidR="008B5B63" w:rsidRPr="00176E7F">
        <w:t>, except for anti-β</w:t>
      </w:r>
      <w:r w:rsidR="008B5B63" w:rsidRPr="00176E7F">
        <w:rPr>
          <w:vertAlign w:val="subscript"/>
        </w:rPr>
        <w:t>2</w:t>
      </w:r>
      <w:r w:rsidR="008B5B63" w:rsidRPr="00176E7F">
        <w:t xml:space="preserve">GPI which was related to a faster decline in </w:t>
      </w:r>
      <w:r w:rsidR="00F553FD" w:rsidRPr="00176E7F">
        <w:t xml:space="preserve">global </w:t>
      </w:r>
      <w:r w:rsidR="008B5B63" w:rsidRPr="00176E7F">
        <w:t xml:space="preserve">cognition (estimate= -0.002, SE=0.001; </w:t>
      </w:r>
      <w:r w:rsidR="008B5B63" w:rsidRPr="00176E7F">
        <w:rPr>
          <w:i/>
        </w:rPr>
        <w:t>p&lt;</w:t>
      </w:r>
      <w:r w:rsidR="008B5B63" w:rsidRPr="00176E7F">
        <w:t>0.001)</w:t>
      </w:r>
      <w:r w:rsidRPr="00176E7F">
        <w:t>.</w:t>
      </w:r>
    </w:p>
    <w:p w:rsidR="008B5B63" w:rsidRPr="00176E7F" w:rsidRDefault="008B5B63" w:rsidP="008A551B">
      <w:pPr>
        <w:spacing w:line="480" w:lineRule="auto"/>
      </w:pPr>
    </w:p>
    <w:p w:rsidR="00335950" w:rsidRPr="00176E7F" w:rsidRDefault="00335950" w:rsidP="008A551B">
      <w:pPr>
        <w:spacing w:line="480" w:lineRule="auto"/>
      </w:pPr>
    </w:p>
    <w:p w:rsidR="00335950" w:rsidRPr="00176E7F" w:rsidRDefault="00335950" w:rsidP="008A551B">
      <w:pPr>
        <w:spacing w:line="480" w:lineRule="auto"/>
      </w:pPr>
    </w:p>
    <w:p w:rsidR="00335950" w:rsidRPr="00176E7F" w:rsidRDefault="00335950" w:rsidP="008A551B">
      <w:pPr>
        <w:spacing w:line="480" w:lineRule="auto"/>
      </w:pPr>
    </w:p>
    <w:p w:rsidR="00335950" w:rsidRPr="00176E7F" w:rsidRDefault="00335950" w:rsidP="008A551B">
      <w:pPr>
        <w:spacing w:line="480" w:lineRule="auto"/>
      </w:pPr>
    </w:p>
    <w:p w:rsidR="00335950" w:rsidRPr="00176E7F" w:rsidRDefault="00335950" w:rsidP="00F553FD">
      <w:pPr>
        <w:spacing w:line="480" w:lineRule="auto"/>
        <w:ind w:left="450" w:hanging="1170"/>
      </w:pPr>
      <w:r w:rsidRPr="00176E7F">
        <w:rPr>
          <w:b/>
        </w:rPr>
        <w:t>Table.</w:t>
      </w:r>
      <w:r w:rsidRPr="00176E7F">
        <w:t xml:space="preserve"> Individual </w:t>
      </w:r>
      <w:proofErr w:type="spellStart"/>
      <w:r w:rsidRPr="00176E7F">
        <w:t>aPL</w:t>
      </w:r>
      <w:proofErr w:type="spellEnd"/>
      <w:r w:rsidRPr="00176E7F">
        <w:t xml:space="preserve"> </w:t>
      </w:r>
      <w:r w:rsidR="00AE520D" w:rsidRPr="00176E7F">
        <w:t>measurements</w:t>
      </w:r>
      <w:r w:rsidRPr="00176E7F">
        <w:t xml:space="preserve"> among 956 participants</w:t>
      </w:r>
    </w:p>
    <w:tbl>
      <w:tblPr>
        <w:tblW w:w="11063" w:type="dxa"/>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6"/>
        <w:gridCol w:w="1260"/>
        <w:gridCol w:w="1260"/>
        <w:gridCol w:w="1260"/>
        <w:gridCol w:w="1260"/>
        <w:gridCol w:w="1347"/>
      </w:tblGrid>
      <w:tr w:rsidR="00620445" w:rsidRPr="00176E7F" w:rsidTr="00E4159D">
        <w:tc>
          <w:tcPr>
            <w:tcW w:w="4676" w:type="dxa"/>
          </w:tcPr>
          <w:p w:rsidR="00620445" w:rsidRPr="00176E7F" w:rsidRDefault="00620445" w:rsidP="00620445">
            <w:pPr>
              <w:autoSpaceDE w:val="0"/>
              <w:autoSpaceDN w:val="0"/>
              <w:adjustRightInd w:val="0"/>
              <w:spacing w:line="480" w:lineRule="auto"/>
              <w:jc w:val="both"/>
              <w:rPr>
                <w:b/>
              </w:rPr>
            </w:pPr>
            <w:r w:rsidRPr="00176E7F">
              <w:rPr>
                <w:b/>
              </w:rPr>
              <w:t>Variable</w:t>
            </w:r>
          </w:p>
        </w:tc>
        <w:tc>
          <w:tcPr>
            <w:tcW w:w="1260" w:type="dxa"/>
          </w:tcPr>
          <w:p w:rsidR="00620445" w:rsidRPr="00176E7F" w:rsidRDefault="00620445" w:rsidP="00620445">
            <w:pPr>
              <w:autoSpaceDE w:val="0"/>
              <w:autoSpaceDN w:val="0"/>
              <w:adjustRightInd w:val="0"/>
              <w:spacing w:line="480" w:lineRule="auto"/>
              <w:jc w:val="center"/>
              <w:rPr>
                <w:rFonts w:eastAsia="Times New Roman"/>
                <w:b/>
                <w:bdr w:val="none" w:sz="0" w:space="0" w:color="auto"/>
              </w:rPr>
            </w:pPr>
            <w:r w:rsidRPr="00176E7F">
              <w:rPr>
                <w:b/>
              </w:rPr>
              <w:t>Median</w:t>
            </w:r>
          </w:p>
        </w:tc>
        <w:tc>
          <w:tcPr>
            <w:tcW w:w="2520" w:type="dxa"/>
            <w:gridSpan w:val="2"/>
          </w:tcPr>
          <w:p w:rsidR="00620445" w:rsidRPr="00176E7F" w:rsidRDefault="00620445" w:rsidP="00620445">
            <w:pPr>
              <w:autoSpaceDE w:val="0"/>
              <w:autoSpaceDN w:val="0"/>
              <w:adjustRightInd w:val="0"/>
              <w:spacing w:line="480" w:lineRule="auto"/>
              <w:jc w:val="center"/>
              <w:rPr>
                <w:rFonts w:eastAsia="Times New Roman"/>
                <w:b/>
                <w:bdr w:val="none" w:sz="0" w:space="0" w:color="auto"/>
              </w:rPr>
            </w:pPr>
            <w:r w:rsidRPr="00176E7F">
              <w:rPr>
                <w:rFonts w:eastAsia="Times New Roman"/>
                <w:b/>
                <w:bdr w:val="none" w:sz="0" w:space="0" w:color="auto"/>
              </w:rPr>
              <w:t>Interquartile range</w:t>
            </w:r>
          </w:p>
        </w:tc>
        <w:tc>
          <w:tcPr>
            <w:tcW w:w="1260" w:type="dxa"/>
          </w:tcPr>
          <w:p w:rsidR="00620445" w:rsidRPr="00176E7F" w:rsidRDefault="00620445" w:rsidP="00620445">
            <w:pPr>
              <w:autoSpaceDE w:val="0"/>
              <w:autoSpaceDN w:val="0"/>
              <w:adjustRightInd w:val="0"/>
              <w:spacing w:line="480" w:lineRule="auto"/>
              <w:jc w:val="center"/>
              <w:rPr>
                <w:rFonts w:eastAsia="Times New Roman"/>
                <w:b/>
                <w:bdr w:val="none" w:sz="0" w:space="0" w:color="auto"/>
              </w:rPr>
            </w:pPr>
            <w:r w:rsidRPr="00176E7F">
              <w:rPr>
                <w:b/>
              </w:rPr>
              <w:t>Minimum</w:t>
            </w:r>
          </w:p>
        </w:tc>
        <w:tc>
          <w:tcPr>
            <w:tcW w:w="1347" w:type="dxa"/>
          </w:tcPr>
          <w:p w:rsidR="00620445" w:rsidRPr="00176E7F" w:rsidRDefault="00620445" w:rsidP="00620445">
            <w:pPr>
              <w:autoSpaceDE w:val="0"/>
              <w:autoSpaceDN w:val="0"/>
              <w:adjustRightInd w:val="0"/>
              <w:spacing w:line="480" w:lineRule="auto"/>
              <w:jc w:val="center"/>
              <w:rPr>
                <w:rFonts w:eastAsia="Times New Roman"/>
                <w:b/>
                <w:bdr w:val="none" w:sz="0" w:space="0" w:color="auto"/>
              </w:rPr>
            </w:pPr>
            <w:r w:rsidRPr="00176E7F">
              <w:rPr>
                <w:b/>
              </w:rPr>
              <w:t>Maximum</w:t>
            </w:r>
          </w:p>
        </w:tc>
      </w:tr>
      <w:tr w:rsidR="00620445" w:rsidRPr="00176E7F" w:rsidTr="00620445">
        <w:tc>
          <w:tcPr>
            <w:tcW w:w="4676" w:type="dxa"/>
          </w:tcPr>
          <w:p w:rsidR="00620445" w:rsidRPr="00176E7F" w:rsidRDefault="00620445" w:rsidP="00620445">
            <w:pPr>
              <w:autoSpaceDE w:val="0"/>
              <w:autoSpaceDN w:val="0"/>
              <w:adjustRightInd w:val="0"/>
              <w:spacing w:before="100" w:beforeAutospacing="1" w:line="480" w:lineRule="auto"/>
            </w:pPr>
          </w:p>
        </w:tc>
        <w:tc>
          <w:tcPr>
            <w:tcW w:w="1260" w:type="dxa"/>
          </w:tcPr>
          <w:p w:rsidR="00620445" w:rsidRPr="00176E7F" w:rsidRDefault="00620445" w:rsidP="00620445">
            <w:pPr>
              <w:autoSpaceDE w:val="0"/>
              <w:autoSpaceDN w:val="0"/>
              <w:adjustRightInd w:val="0"/>
              <w:spacing w:before="100" w:beforeAutospacing="1" w:line="480" w:lineRule="auto"/>
              <w:jc w:val="center"/>
            </w:pPr>
          </w:p>
        </w:tc>
        <w:tc>
          <w:tcPr>
            <w:tcW w:w="1260" w:type="dxa"/>
          </w:tcPr>
          <w:p w:rsidR="00620445" w:rsidRPr="00176E7F" w:rsidRDefault="00620445" w:rsidP="00620445">
            <w:pPr>
              <w:autoSpaceDE w:val="0"/>
              <w:autoSpaceDN w:val="0"/>
              <w:adjustRightInd w:val="0"/>
              <w:spacing w:before="100" w:beforeAutospacing="1" w:line="480" w:lineRule="auto"/>
              <w:jc w:val="center"/>
            </w:pPr>
            <w:r w:rsidRPr="00176E7F">
              <w:t>Lower quartile</w:t>
            </w:r>
          </w:p>
        </w:tc>
        <w:tc>
          <w:tcPr>
            <w:tcW w:w="1260" w:type="dxa"/>
          </w:tcPr>
          <w:p w:rsidR="00620445" w:rsidRPr="00176E7F" w:rsidRDefault="00620445" w:rsidP="00620445">
            <w:pPr>
              <w:autoSpaceDE w:val="0"/>
              <w:autoSpaceDN w:val="0"/>
              <w:adjustRightInd w:val="0"/>
              <w:spacing w:before="100" w:beforeAutospacing="1" w:line="480" w:lineRule="auto"/>
              <w:jc w:val="center"/>
            </w:pPr>
            <w:r w:rsidRPr="00176E7F">
              <w:t>Upper quartile</w:t>
            </w:r>
          </w:p>
        </w:tc>
        <w:tc>
          <w:tcPr>
            <w:tcW w:w="1260" w:type="dxa"/>
          </w:tcPr>
          <w:p w:rsidR="00620445" w:rsidRPr="00176E7F" w:rsidRDefault="00620445" w:rsidP="00620445">
            <w:pPr>
              <w:autoSpaceDE w:val="0"/>
              <w:autoSpaceDN w:val="0"/>
              <w:adjustRightInd w:val="0"/>
              <w:spacing w:before="100" w:beforeAutospacing="1" w:line="480" w:lineRule="auto"/>
              <w:jc w:val="center"/>
            </w:pPr>
          </w:p>
        </w:tc>
        <w:tc>
          <w:tcPr>
            <w:tcW w:w="1347" w:type="dxa"/>
          </w:tcPr>
          <w:p w:rsidR="00620445" w:rsidRPr="00176E7F" w:rsidRDefault="00620445" w:rsidP="00620445">
            <w:pPr>
              <w:autoSpaceDE w:val="0"/>
              <w:autoSpaceDN w:val="0"/>
              <w:adjustRightInd w:val="0"/>
              <w:spacing w:before="100" w:beforeAutospacing="1" w:line="480" w:lineRule="auto"/>
              <w:jc w:val="center"/>
            </w:pPr>
          </w:p>
        </w:tc>
      </w:tr>
      <w:tr w:rsidR="00620445" w:rsidRPr="00176E7F" w:rsidTr="00620445">
        <w:tc>
          <w:tcPr>
            <w:tcW w:w="4676" w:type="dxa"/>
          </w:tcPr>
          <w:p w:rsidR="00620445" w:rsidRPr="00176E7F" w:rsidRDefault="00620445" w:rsidP="00620445">
            <w:pPr>
              <w:autoSpaceDE w:val="0"/>
              <w:autoSpaceDN w:val="0"/>
              <w:adjustRightInd w:val="0"/>
              <w:spacing w:before="100" w:beforeAutospacing="1" w:line="480" w:lineRule="auto"/>
            </w:pPr>
            <w:r w:rsidRPr="00176E7F">
              <w:t xml:space="preserve">   </w:t>
            </w:r>
            <w:proofErr w:type="spellStart"/>
            <w:r w:rsidRPr="00176E7F">
              <w:t>Anticardiolipin</w:t>
            </w:r>
            <w:proofErr w:type="spellEnd"/>
            <w:r w:rsidRPr="00176E7F">
              <w:t xml:space="preserve"> antibodies (</w:t>
            </w:r>
            <w:proofErr w:type="spellStart"/>
            <w:r w:rsidRPr="00176E7F">
              <w:t>aCL</w:t>
            </w:r>
            <w:proofErr w:type="spellEnd"/>
            <w:r w:rsidRPr="00176E7F">
              <w:t xml:space="preserve">)  </w:t>
            </w:r>
          </w:p>
        </w:tc>
        <w:tc>
          <w:tcPr>
            <w:tcW w:w="1260" w:type="dxa"/>
          </w:tcPr>
          <w:p w:rsidR="00620445" w:rsidRPr="00176E7F" w:rsidRDefault="00620445" w:rsidP="00620445">
            <w:pPr>
              <w:autoSpaceDE w:val="0"/>
              <w:autoSpaceDN w:val="0"/>
              <w:adjustRightInd w:val="0"/>
              <w:spacing w:before="100" w:beforeAutospacing="1" w:line="480" w:lineRule="auto"/>
              <w:jc w:val="center"/>
            </w:pPr>
          </w:p>
        </w:tc>
        <w:tc>
          <w:tcPr>
            <w:tcW w:w="1260" w:type="dxa"/>
          </w:tcPr>
          <w:p w:rsidR="00620445" w:rsidRPr="00176E7F" w:rsidRDefault="00620445" w:rsidP="00620445">
            <w:pPr>
              <w:autoSpaceDE w:val="0"/>
              <w:autoSpaceDN w:val="0"/>
              <w:adjustRightInd w:val="0"/>
              <w:spacing w:before="100" w:beforeAutospacing="1" w:line="480" w:lineRule="auto"/>
              <w:jc w:val="center"/>
            </w:pPr>
          </w:p>
        </w:tc>
        <w:tc>
          <w:tcPr>
            <w:tcW w:w="1260" w:type="dxa"/>
          </w:tcPr>
          <w:p w:rsidR="00620445" w:rsidRPr="00176E7F" w:rsidRDefault="00620445" w:rsidP="00620445">
            <w:pPr>
              <w:autoSpaceDE w:val="0"/>
              <w:autoSpaceDN w:val="0"/>
              <w:adjustRightInd w:val="0"/>
              <w:spacing w:before="100" w:beforeAutospacing="1" w:line="480" w:lineRule="auto"/>
              <w:jc w:val="center"/>
            </w:pPr>
          </w:p>
        </w:tc>
        <w:tc>
          <w:tcPr>
            <w:tcW w:w="1260" w:type="dxa"/>
          </w:tcPr>
          <w:p w:rsidR="00620445" w:rsidRPr="00176E7F" w:rsidRDefault="00620445" w:rsidP="00620445">
            <w:pPr>
              <w:autoSpaceDE w:val="0"/>
              <w:autoSpaceDN w:val="0"/>
              <w:adjustRightInd w:val="0"/>
              <w:spacing w:before="100" w:beforeAutospacing="1" w:line="480" w:lineRule="auto"/>
              <w:jc w:val="center"/>
            </w:pPr>
          </w:p>
        </w:tc>
        <w:tc>
          <w:tcPr>
            <w:tcW w:w="1347" w:type="dxa"/>
          </w:tcPr>
          <w:p w:rsidR="00620445" w:rsidRPr="00176E7F" w:rsidRDefault="00620445" w:rsidP="00620445">
            <w:pPr>
              <w:autoSpaceDE w:val="0"/>
              <w:autoSpaceDN w:val="0"/>
              <w:adjustRightInd w:val="0"/>
              <w:spacing w:before="100" w:beforeAutospacing="1" w:line="480" w:lineRule="auto"/>
              <w:jc w:val="center"/>
            </w:pPr>
          </w:p>
        </w:tc>
      </w:tr>
      <w:tr w:rsidR="00620445" w:rsidRPr="00176E7F" w:rsidTr="00620445">
        <w:tc>
          <w:tcPr>
            <w:tcW w:w="4676" w:type="dxa"/>
          </w:tcPr>
          <w:p w:rsidR="00620445" w:rsidRPr="00176E7F" w:rsidRDefault="00620445" w:rsidP="00620445">
            <w:pPr>
              <w:autoSpaceDE w:val="0"/>
              <w:autoSpaceDN w:val="0"/>
              <w:adjustRightInd w:val="0"/>
              <w:spacing w:before="100" w:beforeAutospacing="1" w:line="480" w:lineRule="auto"/>
            </w:pPr>
            <w:r w:rsidRPr="00176E7F">
              <w:t xml:space="preserve">      IgG </w:t>
            </w:r>
          </w:p>
        </w:tc>
        <w:tc>
          <w:tcPr>
            <w:tcW w:w="1260" w:type="dxa"/>
          </w:tcPr>
          <w:p w:rsidR="00620445" w:rsidRPr="00176E7F" w:rsidRDefault="00620445" w:rsidP="00620445">
            <w:pPr>
              <w:autoSpaceDE w:val="0"/>
              <w:autoSpaceDN w:val="0"/>
              <w:adjustRightInd w:val="0"/>
              <w:spacing w:before="100" w:beforeAutospacing="1" w:line="480" w:lineRule="auto"/>
              <w:jc w:val="center"/>
            </w:pPr>
            <w:r w:rsidRPr="00176E7F">
              <w:t>5.543</w:t>
            </w:r>
          </w:p>
        </w:tc>
        <w:tc>
          <w:tcPr>
            <w:tcW w:w="1260" w:type="dxa"/>
          </w:tcPr>
          <w:p w:rsidR="00620445" w:rsidRPr="00176E7F" w:rsidRDefault="00620445" w:rsidP="00620445">
            <w:pPr>
              <w:spacing w:line="252" w:lineRule="auto"/>
              <w:jc w:val="center"/>
              <w:rPr>
                <w:rFonts w:eastAsiaTheme="minorHAnsi"/>
                <w:bdr w:val="none" w:sz="0" w:space="0" w:color="auto"/>
              </w:rPr>
            </w:pPr>
            <w:r w:rsidRPr="00176E7F">
              <w:t>3.309</w:t>
            </w:r>
          </w:p>
        </w:tc>
        <w:tc>
          <w:tcPr>
            <w:tcW w:w="1260" w:type="dxa"/>
          </w:tcPr>
          <w:p w:rsidR="00620445" w:rsidRPr="00176E7F" w:rsidRDefault="00620445" w:rsidP="00620445">
            <w:pPr>
              <w:spacing w:line="252" w:lineRule="auto"/>
              <w:jc w:val="center"/>
            </w:pPr>
            <w:r w:rsidRPr="00176E7F">
              <w:t>9.52</w:t>
            </w:r>
          </w:p>
        </w:tc>
        <w:tc>
          <w:tcPr>
            <w:tcW w:w="1260" w:type="dxa"/>
          </w:tcPr>
          <w:p w:rsidR="00620445" w:rsidRPr="00176E7F" w:rsidRDefault="00620445" w:rsidP="00620445">
            <w:pPr>
              <w:autoSpaceDE w:val="0"/>
              <w:autoSpaceDN w:val="0"/>
              <w:adjustRightInd w:val="0"/>
              <w:spacing w:before="100" w:beforeAutospacing="1" w:line="480" w:lineRule="auto"/>
              <w:jc w:val="center"/>
            </w:pPr>
            <w:r w:rsidRPr="00176E7F">
              <w:t>0.392</w:t>
            </w:r>
          </w:p>
        </w:tc>
        <w:tc>
          <w:tcPr>
            <w:tcW w:w="1347" w:type="dxa"/>
          </w:tcPr>
          <w:p w:rsidR="00620445" w:rsidRPr="00176E7F" w:rsidRDefault="00620445" w:rsidP="00620445">
            <w:pPr>
              <w:autoSpaceDE w:val="0"/>
              <w:autoSpaceDN w:val="0"/>
              <w:adjustRightInd w:val="0"/>
              <w:spacing w:before="100" w:beforeAutospacing="1" w:line="480" w:lineRule="auto"/>
              <w:jc w:val="center"/>
            </w:pPr>
            <w:r w:rsidRPr="00176E7F">
              <w:t>85.247</w:t>
            </w:r>
          </w:p>
        </w:tc>
      </w:tr>
      <w:tr w:rsidR="00620445" w:rsidRPr="00176E7F" w:rsidTr="00620445">
        <w:tc>
          <w:tcPr>
            <w:tcW w:w="4676" w:type="dxa"/>
          </w:tcPr>
          <w:p w:rsidR="00620445" w:rsidRPr="00176E7F" w:rsidRDefault="00620445" w:rsidP="00620445">
            <w:pPr>
              <w:autoSpaceDE w:val="0"/>
              <w:autoSpaceDN w:val="0"/>
              <w:adjustRightInd w:val="0"/>
              <w:spacing w:before="100" w:beforeAutospacing="1" w:line="480" w:lineRule="auto"/>
            </w:pPr>
            <w:r w:rsidRPr="00176E7F">
              <w:t xml:space="preserve">      IgM </w:t>
            </w:r>
          </w:p>
        </w:tc>
        <w:tc>
          <w:tcPr>
            <w:tcW w:w="1260" w:type="dxa"/>
          </w:tcPr>
          <w:p w:rsidR="00620445" w:rsidRPr="00176E7F" w:rsidRDefault="00620445" w:rsidP="00620445">
            <w:pPr>
              <w:autoSpaceDE w:val="0"/>
              <w:autoSpaceDN w:val="0"/>
              <w:adjustRightInd w:val="0"/>
              <w:spacing w:before="100" w:beforeAutospacing="1" w:line="480" w:lineRule="auto"/>
              <w:jc w:val="center"/>
            </w:pPr>
            <w:r w:rsidRPr="00176E7F">
              <w:t>3.456</w:t>
            </w:r>
          </w:p>
        </w:tc>
        <w:tc>
          <w:tcPr>
            <w:tcW w:w="1260" w:type="dxa"/>
          </w:tcPr>
          <w:p w:rsidR="00620445" w:rsidRPr="00176E7F" w:rsidRDefault="00620445" w:rsidP="00620445">
            <w:pPr>
              <w:spacing w:line="252" w:lineRule="auto"/>
              <w:jc w:val="center"/>
            </w:pPr>
            <w:r w:rsidRPr="00176E7F">
              <w:t>1.799</w:t>
            </w:r>
          </w:p>
        </w:tc>
        <w:tc>
          <w:tcPr>
            <w:tcW w:w="1260" w:type="dxa"/>
          </w:tcPr>
          <w:p w:rsidR="00620445" w:rsidRPr="00176E7F" w:rsidRDefault="00620445" w:rsidP="00620445">
            <w:pPr>
              <w:spacing w:line="252" w:lineRule="auto"/>
              <w:jc w:val="center"/>
            </w:pPr>
            <w:r w:rsidRPr="00176E7F">
              <w:t>6.834</w:t>
            </w:r>
          </w:p>
        </w:tc>
        <w:tc>
          <w:tcPr>
            <w:tcW w:w="1260" w:type="dxa"/>
          </w:tcPr>
          <w:p w:rsidR="00620445" w:rsidRPr="00176E7F" w:rsidRDefault="00620445" w:rsidP="00620445">
            <w:pPr>
              <w:autoSpaceDE w:val="0"/>
              <w:autoSpaceDN w:val="0"/>
              <w:adjustRightInd w:val="0"/>
              <w:spacing w:before="100" w:beforeAutospacing="1" w:line="480" w:lineRule="auto"/>
              <w:jc w:val="center"/>
            </w:pPr>
            <w:r w:rsidRPr="00176E7F">
              <w:t>0.234</w:t>
            </w:r>
          </w:p>
        </w:tc>
        <w:tc>
          <w:tcPr>
            <w:tcW w:w="1347" w:type="dxa"/>
          </w:tcPr>
          <w:p w:rsidR="00620445" w:rsidRPr="00176E7F" w:rsidRDefault="00620445" w:rsidP="00620445">
            <w:pPr>
              <w:autoSpaceDE w:val="0"/>
              <w:autoSpaceDN w:val="0"/>
              <w:adjustRightInd w:val="0"/>
              <w:spacing w:before="100" w:beforeAutospacing="1" w:line="480" w:lineRule="auto"/>
              <w:jc w:val="center"/>
            </w:pPr>
            <w:r w:rsidRPr="00176E7F">
              <w:t>66.636</w:t>
            </w:r>
          </w:p>
        </w:tc>
      </w:tr>
      <w:tr w:rsidR="00620445" w:rsidRPr="00176E7F" w:rsidTr="00620445">
        <w:tc>
          <w:tcPr>
            <w:tcW w:w="4676" w:type="dxa"/>
          </w:tcPr>
          <w:p w:rsidR="00620445" w:rsidRPr="00176E7F" w:rsidRDefault="00620445" w:rsidP="00620445">
            <w:pPr>
              <w:autoSpaceDE w:val="0"/>
              <w:autoSpaceDN w:val="0"/>
              <w:adjustRightInd w:val="0"/>
              <w:spacing w:before="100" w:beforeAutospacing="1" w:line="480" w:lineRule="auto"/>
            </w:pPr>
            <w:r w:rsidRPr="00176E7F">
              <w:t xml:space="preserve">   Antibodies to β</w:t>
            </w:r>
            <w:r w:rsidRPr="00176E7F">
              <w:rPr>
                <w:vertAlign w:val="subscript"/>
              </w:rPr>
              <w:t>2</w:t>
            </w:r>
            <w:r w:rsidRPr="00176E7F">
              <w:t>-glycoprotein I (anti-β</w:t>
            </w:r>
            <w:r w:rsidRPr="00176E7F">
              <w:rPr>
                <w:vertAlign w:val="subscript"/>
              </w:rPr>
              <w:t>2</w:t>
            </w:r>
            <w:r w:rsidRPr="00176E7F">
              <w:t xml:space="preserve">GPI) </w:t>
            </w:r>
          </w:p>
        </w:tc>
        <w:tc>
          <w:tcPr>
            <w:tcW w:w="1260" w:type="dxa"/>
          </w:tcPr>
          <w:p w:rsidR="00620445" w:rsidRPr="00176E7F" w:rsidRDefault="00620445" w:rsidP="00620445">
            <w:pPr>
              <w:autoSpaceDE w:val="0"/>
              <w:autoSpaceDN w:val="0"/>
              <w:adjustRightInd w:val="0"/>
              <w:spacing w:before="100" w:beforeAutospacing="1" w:line="480" w:lineRule="auto"/>
              <w:jc w:val="center"/>
            </w:pPr>
          </w:p>
        </w:tc>
        <w:tc>
          <w:tcPr>
            <w:tcW w:w="1260" w:type="dxa"/>
          </w:tcPr>
          <w:p w:rsidR="00620445" w:rsidRPr="00176E7F" w:rsidRDefault="00620445" w:rsidP="00620445">
            <w:pPr>
              <w:autoSpaceDE w:val="0"/>
              <w:autoSpaceDN w:val="0"/>
              <w:adjustRightInd w:val="0"/>
              <w:spacing w:before="100" w:beforeAutospacing="1" w:line="480" w:lineRule="auto"/>
              <w:jc w:val="center"/>
            </w:pPr>
          </w:p>
        </w:tc>
        <w:tc>
          <w:tcPr>
            <w:tcW w:w="1260" w:type="dxa"/>
          </w:tcPr>
          <w:p w:rsidR="00620445" w:rsidRPr="00176E7F" w:rsidRDefault="00620445" w:rsidP="00620445">
            <w:pPr>
              <w:autoSpaceDE w:val="0"/>
              <w:autoSpaceDN w:val="0"/>
              <w:adjustRightInd w:val="0"/>
              <w:spacing w:before="100" w:beforeAutospacing="1" w:line="480" w:lineRule="auto"/>
              <w:jc w:val="center"/>
            </w:pPr>
          </w:p>
        </w:tc>
        <w:tc>
          <w:tcPr>
            <w:tcW w:w="1260" w:type="dxa"/>
          </w:tcPr>
          <w:p w:rsidR="00620445" w:rsidRPr="00176E7F" w:rsidRDefault="00620445" w:rsidP="00620445">
            <w:pPr>
              <w:autoSpaceDE w:val="0"/>
              <w:autoSpaceDN w:val="0"/>
              <w:adjustRightInd w:val="0"/>
              <w:spacing w:before="100" w:beforeAutospacing="1" w:line="480" w:lineRule="auto"/>
              <w:jc w:val="center"/>
            </w:pPr>
          </w:p>
        </w:tc>
        <w:tc>
          <w:tcPr>
            <w:tcW w:w="1347" w:type="dxa"/>
          </w:tcPr>
          <w:p w:rsidR="00620445" w:rsidRPr="00176E7F" w:rsidRDefault="00620445" w:rsidP="00620445">
            <w:pPr>
              <w:autoSpaceDE w:val="0"/>
              <w:autoSpaceDN w:val="0"/>
              <w:adjustRightInd w:val="0"/>
              <w:spacing w:before="100" w:beforeAutospacing="1" w:line="480" w:lineRule="auto"/>
              <w:jc w:val="center"/>
            </w:pPr>
          </w:p>
        </w:tc>
      </w:tr>
      <w:tr w:rsidR="00620445" w:rsidRPr="00176E7F" w:rsidTr="00620445">
        <w:tc>
          <w:tcPr>
            <w:tcW w:w="4676" w:type="dxa"/>
          </w:tcPr>
          <w:p w:rsidR="00620445" w:rsidRPr="00176E7F" w:rsidRDefault="00620445" w:rsidP="00620445">
            <w:pPr>
              <w:autoSpaceDE w:val="0"/>
              <w:autoSpaceDN w:val="0"/>
              <w:adjustRightInd w:val="0"/>
              <w:spacing w:before="100" w:beforeAutospacing="1" w:line="480" w:lineRule="auto"/>
            </w:pPr>
            <w:r w:rsidRPr="00176E7F">
              <w:t xml:space="preserve">      IgG </w:t>
            </w:r>
          </w:p>
        </w:tc>
        <w:tc>
          <w:tcPr>
            <w:tcW w:w="1260" w:type="dxa"/>
          </w:tcPr>
          <w:p w:rsidR="00620445" w:rsidRPr="00176E7F" w:rsidRDefault="00620445" w:rsidP="00620445">
            <w:pPr>
              <w:autoSpaceDE w:val="0"/>
              <w:autoSpaceDN w:val="0"/>
              <w:adjustRightInd w:val="0"/>
              <w:spacing w:before="100" w:beforeAutospacing="1" w:line="480" w:lineRule="auto"/>
              <w:jc w:val="center"/>
            </w:pPr>
            <w:r w:rsidRPr="00176E7F">
              <w:t>2.412</w:t>
            </w:r>
          </w:p>
        </w:tc>
        <w:tc>
          <w:tcPr>
            <w:tcW w:w="1260" w:type="dxa"/>
          </w:tcPr>
          <w:p w:rsidR="00620445" w:rsidRPr="00176E7F" w:rsidRDefault="00620445" w:rsidP="00620445">
            <w:pPr>
              <w:spacing w:line="252" w:lineRule="auto"/>
              <w:jc w:val="center"/>
              <w:rPr>
                <w:rFonts w:eastAsiaTheme="minorHAnsi"/>
                <w:bdr w:val="none" w:sz="0" w:space="0" w:color="auto"/>
              </w:rPr>
            </w:pPr>
            <w:r w:rsidRPr="00176E7F">
              <w:t>1.821</w:t>
            </w:r>
          </w:p>
        </w:tc>
        <w:tc>
          <w:tcPr>
            <w:tcW w:w="1260" w:type="dxa"/>
          </w:tcPr>
          <w:p w:rsidR="00620445" w:rsidRPr="00176E7F" w:rsidRDefault="00620445" w:rsidP="00620445">
            <w:pPr>
              <w:spacing w:line="252" w:lineRule="auto"/>
              <w:jc w:val="center"/>
            </w:pPr>
            <w:r w:rsidRPr="00176E7F">
              <w:t>3.506</w:t>
            </w:r>
          </w:p>
        </w:tc>
        <w:tc>
          <w:tcPr>
            <w:tcW w:w="1260" w:type="dxa"/>
          </w:tcPr>
          <w:p w:rsidR="00620445" w:rsidRPr="00176E7F" w:rsidRDefault="00620445" w:rsidP="00620445">
            <w:pPr>
              <w:autoSpaceDE w:val="0"/>
              <w:autoSpaceDN w:val="0"/>
              <w:adjustRightInd w:val="0"/>
              <w:spacing w:before="100" w:beforeAutospacing="1" w:line="480" w:lineRule="auto"/>
              <w:jc w:val="center"/>
            </w:pPr>
            <w:r w:rsidRPr="00176E7F">
              <w:t>0.502</w:t>
            </w:r>
          </w:p>
        </w:tc>
        <w:tc>
          <w:tcPr>
            <w:tcW w:w="1347" w:type="dxa"/>
          </w:tcPr>
          <w:p w:rsidR="00620445" w:rsidRPr="00176E7F" w:rsidRDefault="00620445" w:rsidP="00620445">
            <w:pPr>
              <w:autoSpaceDE w:val="0"/>
              <w:autoSpaceDN w:val="0"/>
              <w:adjustRightInd w:val="0"/>
              <w:spacing w:before="100" w:beforeAutospacing="1" w:line="480" w:lineRule="auto"/>
              <w:jc w:val="center"/>
            </w:pPr>
            <w:r w:rsidRPr="00176E7F">
              <w:t>111.130</w:t>
            </w:r>
          </w:p>
        </w:tc>
      </w:tr>
      <w:tr w:rsidR="00620445" w:rsidRPr="00176E7F" w:rsidTr="00620445">
        <w:tc>
          <w:tcPr>
            <w:tcW w:w="4676" w:type="dxa"/>
          </w:tcPr>
          <w:p w:rsidR="00620445" w:rsidRPr="00176E7F" w:rsidRDefault="00620445" w:rsidP="00620445">
            <w:pPr>
              <w:autoSpaceDE w:val="0"/>
              <w:autoSpaceDN w:val="0"/>
              <w:adjustRightInd w:val="0"/>
              <w:spacing w:before="100" w:beforeAutospacing="1" w:line="480" w:lineRule="auto"/>
            </w:pPr>
            <w:r w:rsidRPr="00176E7F">
              <w:t xml:space="preserve">      IgM</w:t>
            </w:r>
          </w:p>
        </w:tc>
        <w:tc>
          <w:tcPr>
            <w:tcW w:w="1260" w:type="dxa"/>
          </w:tcPr>
          <w:p w:rsidR="00620445" w:rsidRPr="00176E7F" w:rsidRDefault="00620445" w:rsidP="00620445">
            <w:pPr>
              <w:autoSpaceDE w:val="0"/>
              <w:autoSpaceDN w:val="0"/>
              <w:adjustRightInd w:val="0"/>
              <w:spacing w:before="100" w:beforeAutospacing="1" w:line="480" w:lineRule="auto"/>
              <w:jc w:val="center"/>
            </w:pPr>
            <w:r w:rsidRPr="00176E7F">
              <w:t>1.956</w:t>
            </w:r>
          </w:p>
        </w:tc>
        <w:tc>
          <w:tcPr>
            <w:tcW w:w="1260" w:type="dxa"/>
          </w:tcPr>
          <w:p w:rsidR="00620445" w:rsidRPr="00176E7F" w:rsidRDefault="00620445" w:rsidP="00620445">
            <w:pPr>
              <w:spacing w:line="252" w:lineRule="auto"/>
              <w:jc w:val="center"/>
            </w:pPr>
            <w:r w:rsidRPr="00176E7F">
              <w:t>1.111</w:t>
            </w:r>
          </w:p>
        </w:tc>
        <w:tc>
          <w:tcPr>
            <w:tcW w:w="1260" w:type="dxa"/>
          </w:tcPr>
          <w:p w:rsidR="00620445" w:rsidRPr="00176E7F" w:rsidRDefault="00620445" w:rsidP="00620445">
            <w:pPr>
              <w:spacing w:line="252" w:lineRule="auto"/>
              <w:jc w:val="center"/>
            </w:pPr>
            <w:r w:rsidRPr="00176E7F">
              <w:t>3.716</w:t>
            </w:r>
          </w:p>
        </w:tc>
        <w:tc>
          <w:tcPr>
            <w:tcW w:w="1260" w:type="dxa"/>
          </w:tcPr>
          <w:p w:rsidR="00620445" w:rsidRPr="00176E7F" w:rsidRDefault="00620445" w:rsidP="00620445">
            <w:pPr>
              <w:autoSpaceDE w:val="0"/>
              <w:autoSpaceDN w:val="0"/>
              <w:adjustRightInd w:val="0"/>
              <w:spacing w:before="100" w:beforeAutospacing="1" w:line="480" w:lineRule="auto"/>
              <w:jc w:val="center"/>
            </w:pPr>
            <w:r w:rsidRPr="00176E7F">
              <w:t>0.001</w:t>
            </w:r>
          </w:p>
        </w:tc>
        <w:tc>
          <w:tcPr>
            <w:tcW w:w="1347" w:type="dxa"/>
          </w:tcPr>
          <w:p w:rsidR="00620445" w:rsidRPr="00176E7F" w:rsidRDefault="00620445" w:rsidP="00620445">
            <w:pPr>
              <w:autoSpaceDE w:val="0"/>
              <w:autoSpaceDN w:val="0"/>
              <w:adjustRightInd w:val="0"/>
              <w:spacing w:before="100" w:beforeAutospacing="1" w:line="480" w:lineRule="auto"/>
              <w:jc w:val="center"/>
            </w:pPr>
            <w:r w:rsidRPr="00176E7F">
              <w:t>197.015</w:t>
            </w:r>
          </w:p>
        </w:tc>
      </w:tr>
      <w:tr w:rsidR="00620445" w:rsidRPr="00176E7F" w:rsidTr="00620445">
        <w:tc>
          <w:tcPr>
            <w:tcW w:w="4676" w:type="dxa"/>
          </w:tcPr>
          <w:p w:rsidR="00620445" w:rsidRPr="00176E7F" w:rsidRDefault="00620445" w:rsidP="00620445">
            <w:pPr>
              <w:autoSpaceDE w:val="0"/>
              <w:autoSpaceDN w:val="0"/>
              <w:adjustRightInd w:val="0"/>
              <w:spacing w:before="100" w:beforeAutospacing="1" w:line="480" w:lineRule="auto"/>
            </w:pPr>
            <w:r w:rsidRPr="00176E7F">
              <w:t xml:space="preserve">   </w:t>
            </w:r>
            <w:proofErr w:type="spellStart"/>
            <w:r w:rsidRPr="00176E7F">
              <w:t>Antiphosphatidyl</w:t>
            </w:r>
            <w:proofErr w:type="spellEnd"/>
            <w:r w:rsidRPr="00176E7F">
              <w:t>-serine antibodies (</w:t>
            </w:r>
            <w:proofErr w:type="spellStart"/>
            <w:r w:rsidRPr="00176E7F">
              <w:t>aPS</w:t>
            </w:r>
            <w:proofErr w:type="spellEnd"/>
            <w:r w:rsidRPr="00176E7F">
              <w:t xml:space="preserve">)    </w:t>
            </w:r>
          </w:p>
        </w:tc>
        <w:tc>
          <w:tcPr>
            <w:tcW w:w="1260" w:type="dxa"/>
          </w:tcPr>
          <w:p w:rsidR="00620445" w:rsidRPr="00176E7F" w:rsidRDefault="00620445" w:rsidP="00620445">
            <w:pPr>
              <w:autoSpaceDE w:val="0"/>
              <w:autoSpaceDN w:val="0"/>
              <w:adjustRightInd w:val="0"/>
              <w:spacing w:before="100" w:beforeAutospacing="1" w:line="480" w:lineRule="auto"/>
              <w:jc w:val="center"/>
            </w:pPr>
          </w:p>
        </w:tc>
        <w:tc>
          <w:tcPr>
            <w:tcW w:w="1260" w:type="dxa"/>
          </w:tcPr>
          <w:p w:rsidR="00620445" w:rsidRPr="00176E7F" w:rsidRDefault="00620445" w:rsidP="00620445">
            <w:pPr>
              <w:autoSpaceDE w:val="0"/>
              <w:autoSpaceDN w:val="0"/>
              <w:adjustRightInd w:val="0"/>
              <w:spacing w:before="100" w:beforeAutospacing="1" w:line="480" w:lineRule="auto"/>
              <w:jc w:val="center"/>
            </w:pPr>
          </w:p>
        </w:tc>
        <w:tc>
          <w:tcPr>
            <w:tcW w:w="1260" w:type="dxa"/>
          </w:tcPr>
          <w:p w:rsidR="00620445" w:rsidRPr="00176E7F" w:rsidRDefault="00620445" w:rsidP="00620445">
            <w:pPr>
              <w:autoSpaceDE w:val="0"/>
              <w:autoSpaceDN w:val="0"/>
              <w:adjustRightInd w:val="0"/>
              <w:spacing w:before="100" w:beforeAutospacing="1" w:line="480" w:lineRule="auto"/>
              <w:jc w:val="center"/>
            </w:pPr>
          </w:p>
        </w:tc>
        <w:tc>
          <w:tcPr>
            <w:tcW w:w="1260" w:type="dxa"/>
          </w:tcPr>
          <w:p w:rsidR="00620445" w:rsidRPr="00176E7F" w:rsidRDefault="00620445" w:rsidP="00620445">
            <w:pPr>
              <w:autoSpaceDE w:val="0"/>
              <w:autoSpaceDN w:val="0"/>
              <w:adjustRightInd w:val="0"/>
              <w:spacing w:before="100" w:beforeAutospacing="1" w:line="480" w:lineRule="auto"/>
              <w:jc w:val="center"/>
            </w:pPr>
          </w:p>
        </w:tc>
        <w:tc>
          <w:tcPr>
            <w:tcW w:w="1347" w:type="dxa"/>
          </w:tcPr>
          <w:p w:rsidR="00620445" w:rsidRPr="00176E7F" w:rsidRDefault="00620445" w:rsidP="00620445">
            <w:pPr>
              <w:autoSpaceDE w:val="0"/>
              <w:autoSpaceDN w:val="0"/>
              <w:adjustRightInd w:val="0"/>
              <w:spacing w:before="100" w:beforeAutospacing="1" w:line="480" w:lineRule="auto"/>
              <w:jc w:val="center"/>
            </w:pPr>
          </w:p>
        </w:tc>
      </w:tr>
      <w:tr w:rsidR="00620445" w:rsidRPr="00176E7F" w:rsidTr="00620445">
        <w:tc>
          <w:tcPr>
            <w:tcW w:w="4676" w:type="dxa"/>
          </w:tcPr>
          <w:p w:rsidR="00620445" w:rsidRPr="00176E7F" w:rsidRDefault="00620445" w:rsidP="00620445">
            <w:pPr>
              <w:autoSpaceDE w:val="0"/>
              <w:autoSpaceDN w:val="0"/>
              <w:adjustRightInd w:val="0"/>
              <w:spacing w:before="100" w:beforeAutospacing="1" w:line="480" w:lineRule="auto"/>
            </w:pPr>
            <w:r w:rsidRPr="00176E7F">
              <w:t xml:space="preserve">      IgG </w:t>
            </w:r>
          </w:p>
        </w:tc>
        <w:tc>
          <w:tcPr>
            <w:tcW w:w="1260" w:type="dxa"/>
          </w:tcPr>
          <w:p w:rsidR="00620445" w:rsidRPr="00176E7F" w:rsidRDefault="00620445" w:rsidP="00620445">
            <w:pPr>
              <w:autoSpaceDE w:val="0"/>
              <w:autoSpaceDN w:val="0"/>
              <w:adjustRightInd w:val="0"/>
              <w:spacing w:before="100" w:beforeAutospacing="1" w:line="480" w:lineRule="auto"/>
              <w:jc w:val="center"/>
            </w:pPr>
            <w:r w:rsidRPr="00176E7F">
              <w:t>2.549</w:t>
            </w:r>
          </w:p>
        </w:tc>
        <w:tc>
          <w:tcPr>
            <w:tcW w:w="1260" w:type="dxa"/>
          </w:tcPr>
          <w:p w:rsidR="00620445" w:rsidRPr="00176E7F" w:rsidRDefault="00620445" w:rsidP="00620445">
            <w:pPr>
              <w:spacing w:line="252" w:lineRule="auto"/>
              <w:jc w:val="center"/>
              <w:rPr>
                <w:rFonts w:eastAsiaTheme="minorHAnsi"/>
                <w:bdr w:val="none" w:sz="0" w:space="0" w:color="auto"/>
              </w:rPr>
            </w:pPr>
            <w:r w:rsidRPr="00176E7F">
              <w:t>1.478</w:t>
            </w:r>
          </w:p>
        </w:tc>
        <w:tc>
          <w:tcPr>
            <w:tcW w:w="1260" w:type="dxa"/>
          </w:tcPr>
          <w:p w:rsidR="00620445" w:rsidRPr="00176E7F" w:rsidRDefault="00620445" w:rsidP="00620445">
            <w:pPr>
              <w:spacing w:line="252" w:lineRule="auto"/>
              <w:jc w:val="center"/>
            </w:pPr>
            <w:r w:rsidRPr="00176E7F">
              <w:t>4.643</w:t>
            </w:r>
          </w:p>
        </w:tc>
        <w:tc>
          <w:tcPr>
            <w:tcW w:w="1260" w:type="dxa"/>
          </w:tcPr>
          <w:p w:rsidR="00620445" w:rsidRPr="00176E7F" w:rsidRDefault="00620445" w:rsidP="00620445">
            <w:pPr>
              <w:autoSpaceDE w:val="0"/>
              <w:autoSpaceDN w:val="0"/>
              <w:adjustRightInd w:val="0"/>
              <w:spacing w:before="100" w:beforeAutospacing="1" w:line="480" w:lineRule="auto"/>
              <w:jc w:val="center"/>
            </w:pPr>
            <w:r w:rsidRPr="00176E7F">
              <w:t>0.104</w:t>
            </w:r>
          </w:p>
        </w:tc>
        <w:tc>
          <w:tcPr>
            <w:tcW w:w="1347" w:type="dxa"/>
          </w:tcPr>
          <w:p w:rsidR="00620445" w:rsidRPr="00176E7F" w:rsidRDefault="00620445" w:rsidP="00620445">
            <w:pPr>
              <w:autoSpaceDE w:val="0"/>
              <w:autoSpaceDN w:val="0"/>
              <w:adjustRightInd w:val="0"/>
              <w:spacing w:before="100" w:beforeAutospacing="1" w:line="480" w:lineRule="auto"/>
              <w:jc w:val="center"/>
            </w:pPr>
            <w:r w:rsidRPr="00176E7F">
              <w:t>66.709</w:t>
            </w:r>
          </w:p>
        </w:tc>
      </w:tr>
      <w:tr w:rsidR="00620445" w:rsidRPr="002333B9" w:rsidTr="00620445">
        <w:tc>
          <w:tcPr>
            <w:tcW w:w="4676" w:type="dxa"/>
          </w:tcPr>
          <w:p w:rsidR="00620445" w:rsidRPr="00176E7F" w:rsidRDefault="00620445" w:rsidP="00620445">
            <w:pPr>
              <w:autoSpaceDE w:val="0"/>
              <w:autoSpaceDN w:val="0"/>
              <w:adjustRightInd w:val="0"/>
              <w:spacing w:before="100" w:beforeAutospacing="1" w:line="480" w:lineRule="auto"/>
            </w:pPr>
            <w:r w:rsidRPr="00176E7F">
              <w:t xml:space="preserve">      IgM </w:t>
            </w:r>
          </w:p>
        </w:tc>
        <w:tc>
          <w:tcPr>
            <w:tcW w:w="1260" w:type="dxa"/>
          </w:tcPr>
          <w:p w:rsidR="00620445" w:rsidRPr="00176E7F" w:rsidRDefault="00620445" w:rsidP="00620445">
            <w:pPr>
              <w:autoSpaceDE w:val="0"/>
              <w:autoSpaceDN w:val="0"/>
              <w:adjustRightInd w:val="0"/>
              <w:spacing w:before="100" w:beforeAutospacing="1" w:line="480" w:lineRule="auto"/>
              <w:jc w:val="center"/>
            </w:pPr>
            <w:r w:rsidRPr="00176E7F">
              <w:t>3.712</w:t>
            </w:r>
          </w:p>
        </w:tc>
        <w:tc>
          <w:tcPr>
            <w:tcW w:w="1260" w:type="dxa"/>
          </w:tcPr>
          <w:p w:rsidR="00620445" w:rsidRPr="00176E7F" w:rsidRDefault="00620445" w:rsidP="00620445">
            <w:pPr>
              <w:spacing w:line="252" w:lineRule="auto"/>
              <w:jc w:val="center"/>
            </w:pPr>
            <w:r w:rsidRPr="00176E7F">
              <w:t>1.968</w:t>
            </w:r>
          </w:p>
        </w:tc>
        <w:tc>
          <w:tcPr>
            <w:tcW w:w="1260" w:type="dxa"/>
          </w:tcPr>
          <w:p w:rsidR="00620445" w:rsidRPr="00176E7F" w:rsidRDefault="00620445" w:rsidP="00620445">
            <w:pPr>
              <w:spacing w:line="252" w:lineRule="auto"/>
              <w:jc w:val="center"/>
            </w:pPr>
            <w:r w:rsidRPr="00176E7F">
              <w:t>7.639</w:t>
            </w:r>
          </w:p>
        </w:tc>
        <w:tc>
          <w:tcPr>
            <w:tcW w:w="1260" w:type="dxa"/>
          </w:tcPr>
          <w:p w:rsidR="00620445" w:rsidRPr="00176E7F" w:rsidRDefault="00620445" w:rsidP="00620445">
            <w:pPr>
              <w:autoSpaceDE w:val="0"/>
              <w:autoSpaceDN w:val="0"/>
              <w:adjustRightInd w:val="0"/>
              <w:spacing w:before="100" w:beforeAutospacing="1" w:line="480" w:lineRule="auto"/>
              <w:jc w:val="center"/>
            </w:pPr>
            <w:r w:rsidRPr="00176E7F">
              <w:t>0.188</w:t>
            </w:r>
          </w:p>
        </w:tc>
        <w:tc>
          <w:tcPr>
            <w:tcW w:w="1347" w:type="dxa"/>
          </w:tcPr>
          <w:p w:rsidR="00620445" w:rsidRPr="00176E7F" w:rsidRDefault="00620445" w:rsidP="00620445">
            <w:pPr>
              <w:autoSpaceDE w:val="0"/>
              <w:autoSpaceDN w:val="0"/>
              <w:adjustRightInd w:val="0"/>
              <w:spacing w:before="100" w:beforeAutospacing="1" w:line="480" w:lineRule="auto"/>
              <w:jc w:val="center"/>
            </w:pPr>
            <w:r w:rsidRPr="00176E7F">
              <w:t>76.501</w:t>
            </w:r>
          </w:p>
        </w:tc>
      </w:tr>
    </w:tbl>
    <w:p w:rsidR="00335950" w:rsidRPr="002333B9" w:rsidRDefault="00335950" w:rsidP="00335950">
      <w:pPr>
        <w:pStyle w:val="Body"/>
        <w:spacing w:line="480" w:lineRule="auto"/>
        <w:ind w:left="270"/>
        <w:rPr>
          <w:rFonts w:ascii="Times New Roman" w:hAnsi="Times New Roman" w:cs="Times New Roman"/>
          <w:b/>
          <w:bCs/>
          <w:sz w:val="24"/>
          <w:szCs w:val="24"/>
        </w:rPr>
      </w:pPr>
    </w:p>
    <w:p w:rsidR="00335950" w:rsidRPr="002333B9" w:rsidRDefault="00335950" w:rsidP="00D35D71">
      <w:pPr>
        <w:pStyle w:val="Body"/>
        <w:spacing w:line="480" w:lineRule="auto"/>
        <w:rPr>
          <w:rFonts w:ascii="Times New Roman" w:hAnsi="Times New Roman" w:cs="Times New Roman"/>
          <w:b/>
          <w:bCs/>
          <w:sz w:val="24"/>
          <w:szCs w:val="24"/>
        </w:rPr>
      </w:pPr>
    </w:p>
    <w:p w:rsidR="00335950" w:rsidRDefault="00335950" w:rsidP="00335950">
      <w:pPr>
        <w:pStyle w:val="Body"/>
        <w:spacing w:line="480" w:lineRule="auto"/>
        <w:ind w:left="270"/>
        <w:rPr>
          <w:rFonts w:ascii="Times New Roman" w:hAnsi="Times New Roman"/>
          <w:b/>
          <w:bCs/>
          <w:sz w:val="24"/>
          <w:szCs w:val="24"/>
        </w:rPr>
      </w:pPr>
    </w:p>
    <w:p w:rsidR="00335950" w:rsidRDefault="00335950" w:rsidP="00335950">
      <w:pPr>
        <w:pStyle w:val="Body"/>
        <w:spacing w:line="480" w:lineRule="auto"/>
        <w:ind w:left="270"/>
        <w:rPr>
          <w:rFonts w:ascii="Times New Roman" w:hAnsi="Times New Roman"/>
          <w:b/>
          <w:bCs/>
          <w:sz w:val="24"/>
          <w:szCs w:val="24"/>
        </w:rPr>
      </w:pPr>
    </w:p>
    <w:p w:rsidR="00335950" w:rsidRDefault="00335950" w:rsidP="00335950">
      <w:pPr>
        <w:pStyle w:val="Body"/>
        <w:spacing w:line="480" w:lineRule="auto"/>
        <w:rPr>
          <w:rFonts w:ascii="Times New Roman" w:hAnsi="Times New Roman"/>
          <w:b/>
          <w:bCs/>
          <w:sz w:val="24"/>
          <w:szCs w:val="24"/>
        </w:rPr>
      </w:pPr>
    </w:p>
    <w:p w:rsidR="00335950" w:rsidRDefault="00335950" w:rsidP="008A551B">
      <w:pPr>
        <w:spacing w:line="480" w:lineRule="auto"/>
      </w:pPr>
    </w:p>
    <w:sectPr w:rsidR="003359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4C6"/>
    <w:rsid w:val="00176E7F"/>
    <w:rsid w:val="001E2339"/>
    <w:rsid w:val="00251936"/>
    <w:rsid w:val="002542EB"/>
    <w:rsid w:val="00335950"/>
    <w:rsid w:val="00337520"/>
    <w:rsid w:val="004A75FF"/>
    <w:rsid w:val="00620445"/>
    <w:rsid w:val="00635847"/>
    <w:rsid w:val="007224FA"/>
    <w:rsid w:val="00736997"/>
    <w:rsid w:val="008A551B"/>
    <w:rsid w:val="008B5B63"/>
    <w:rsid w:val="00A55D7C"/>
    <w:rsid w:val="00A97E70"/>
    <w:rsid w:val="00AE520D"/>
    <w:rsid w:val="00B846D6"/>
    <w:rsid w:val="00BE04C6"/>
    <w:rsid w:val="00C85873"/>
    <w:rsid w:val="00CA2BF9"/>
    <w:rsid w:val="00CF5E1D"/>
    <w:rsid w:val="00D35D71"/>
    <w:rsid w:val="00F553FD"/>
    <w:rsid w:val="00F57B67"/>
    <w:rsid w:val="00FD0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CD0770-9854-4B9E-A495-B938D8049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E04C6"/>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BE04C6"/>
    <w:pPr>
      <w:pBdr>
        <w:top w:val="nil"/>
        <w:left w:val="nil"/>
        <w:bottom w:val="nil"/>
        <w:right w:val="nil"/>
        <w:between w:val="nil"/>
        <w:bar w:val="nil"/>
      </w:pBdr>
      <w:spacing w:after="200" w:line="276" w:lineRule="auto"/>
    </w:pPr>
    <w:rPr>
      <w:rFonts w:ascii="Calibri" w:eastAsia="Calibri" w:hAnsi="Calibri" w:cs="Calibri"/>
      <w:color w:val="000000"/>
      <w:u w:color="000000"/>
      <w:bdr w:val="nil"/>
    </w:rPr>
  </w:style>
  <w:style w:type="character" w:customStyle="1" w:styleId="InternetLink">
    <w:name w:val="Internet Link"/>
    <w:basedOn w:val="DefaultParagraphFont"/>
    <w:rsid w:val="00BE04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adc.rus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2291</Words>
  <Characters>13060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Arvanitakis</dc:creator>
  <cp:keywords/>
  <dc:description/>
  <cp:lastModifiedBy>Zoe Arvanitakis</cp:lastModifiedBy>
  <cp:revision>3</cp:revision>
  <dcterms:created xsi:type="dcterms:W3CDTF">2019-02-20T20:11:00Z</dcterms:created>
  <dcterms:modified xsi:type="dcterms:W3CDTF">2019-02-20T20:13:00Z</dcterms:modified>
</cp:coreProperties>
</file>