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B81E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  <w:r w:rsidRPr="007E4653">
        <w:rPr>
          <w:rFonts w:ascii="Times New Roman" w:hAnsi="Times New Roman" w:cs="Times New Roman"/>
          <w:b/>
          <w:bCs/>
          <w:u w:val="single"/>
        </w:rPr>
        <w:t>Supplementary material</w:t>
      </w:r>
    </w:p>
    <w:p w14:paraId="1B3D4B7D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1985C62A" w14:textId="77777777" w:rsidR="00A92057" w:rsidRPr="007E4653" w:rsidRDefault="00A92057" w:rsidP="00A92057">
      <w:pPr>
        <w:pStyle w:val="BodyA"/>
        <w:rPr>
          <w:rFonts w:ascii="Times New Roman" w:hAnsi="Times New Roman" w:cs="Times New Roman"/>
          <w:b/>
          <w:bCs/>
        </w:rPr>
      </w:pPr>
      <w:r w:rsidRPr="007E4653">
        <w:rPr>
          <w:rFonts w:ascii="Times New Roman" w:hAnsi="Times New Roman" w:cs="Times New Roman"/>
          <w:b/>
          <w:bCs/>
        </w:rPr>
        <w:t>S1. Search strategy: The following strategy was used to search MEDLINE (PubMed):</w:t>
      </w:r>
    </w:p>
    <w:p w14:paraId="3C10053C" w14:textId="77777777" w:rsidR="00A92057" w:rsidRPr="007E4653" w:rsidRDefault="00A92057" w:rsidP="00A92057">
      <w:pPr>
        <w:pStyle w:val="BodyA"/>
        <w:rPr>
          <w:rFonts w:ascii="Times New Roman" w:hAnsi="Times New Roman" w:cs="Times New Roman"/>
          <w:b/>
          <w:bCs/>
        </w:rPr>
      </w:pPr>
    </w:p>
    <w:p w14:paraId="4DA5AFAE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1. "</w:t>
      </w:r>
      <w:r w:rsidRPr="007E4653">
        <w:rPr>
          <w:rFonts w:ascii="Times New Roman" w:hAnsi="Times New Roman" w:cs="Times New Roman"/>
          <w:shd w:val="clear" w:color="auto" w:fill="FFFFFF"/>
        </w:rPr>
        <w:t>Pulmonary Disease, Chronic Obstructive</w:t>
      </w:r>
      <w:r w:rsidRPr="007E4653">
        <w:rPr>
          <w:rFonts w:ascii="Times New Roman" w:hAnsi="Times New Roman" w:cs="Times New Roman"/>
        </w:rPr>
        <w:t>"[Mesh]</w:t>
      </w:r>
    </w:p>
    <w:p w14:paraId="68517ABA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2. “</w:t>
      </w:r>
      <w:r w:rsidRPr="007E4653">
        <w:rPr>
          <w:rFonts w:ascii="Times New Roman" w:hAnsi="Times New Roman" w:cs="Times New Roman"/>
          <w:shd w:val="clear" w:color="auto" w:fill="FFFFFF"/>
        </w:rPr>
        <w:t>COPD, Severe Early-Onset” [Supplementary Concept]</w:t>
      </w:r>
      <w:r w:rsidRPr="007E4653">
        <w:rPr>
          <w:rFonts w:ascii="Times New Roman" w:hAnsi="Times New Roman" w:cs="Times New Roman"/>
        </w:rPr>
        <w:t xml:space="preserve"> </w:t>
      </w:r>
    </w:p>
    <w:p w14:paraId="18DE2D94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 xml:space="preserve">3. </w:t>
      </w:r>
      <w:r w:rsidRPr="007E4653">
        <w:rPr>
          <w:rFonts w:ascii="Times New Roman" w:hAnsi="Times New Roman" w:cs="Times New Roman"/>
          <w:shd w:val="clear" w:color="auto" w:fill="FFFFFF"/>
        </w:rPr>
        <w:t>Pulmonary Emphysema</w:t>
      </w:r>
      <w:r w:rsidRPr="007E4653">
        <w:rPr>
          <w:rFonts w:ascii="Times New Roman" w:hAnsi="Times New Roman" w:cs="Times New Roman"/>
        </w:rPr>
        <w:t xml:space="preserve"> [Mesh]</w:t>
      </w:r>
    </w:p>
    <w:p w14:paraId="1E8751D9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 xml:space="preserve">4. </w:t>
      </w:r>
      <w:r w:rsidRPr="007E4653">
        <w:rPr>
          <w:rFonts w:ascii="Times New Roman" w:hAnsi="Times New Roman" w:cs="Times New Roman"/>
          <w:shd w:val="clear" w:color="auto" w:fill="FFFFFF"/>
        </w:rPr>
        <w:t>Emphysema</w:t>
      </w:r>
      <w:r w:rsidRPr="007E4653">
        <w:rPr>
          <w:rFonts w:ascii="Times New Roman" w:hAnsi="Times New Roman" w:cs="Times New Roman"/>
        </w:rPr>
        <w:t xml:space="preserve"> [Mesh]</w:t>
      </w:r>
    </w:p>
    <w:p w14:paraId="485BA575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5. #1 OR #2 OR #3 OR #4</w:t>
      </w:r>
    </w:p>
    <w:p w14:paraId="7EE7591C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6. Bronchoscopy [Mesh]</w:t>
      </w:r>
    </w:p>
    <w:p w14:paraId="0C527EB0" w14:textId="77777777" w:rsidR="00A92057" w:rsidRPr="007E4653" w:rsidRDefault="00A92057" w:rsidP="00A92057">
      <w:pPr>
        <w:pStyle w:val="BodyA"/>
        <w:shd w:val="clear" w:color="auto" w:fill="FFFFFF"/>
        <w:spacing w:before="100" w:after="100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7. Lung Volume Reduction [</w:t>
      </w:r>
      <w:proofErr w:type="gramStart"/>
      <w:r w:rsidRPr="007E4653">
        <w:rPr>
          <w:rFonts w:ascii="Times New Roman" w:hAnsi="Times New Roman" w:cs="Times New Roman"/>
        </w:rPr>
        <w:t>Non Mesh</w:t>
      </w:r>
      <w:proofErr w:type="gramEnd"/>
      <w:r w:rsidRPr="007E4653">
        <w:rPr>
          <w:rFonts w:ascii="Times New Roman" w:hAnsi="Times New Roman" w:cs="Times New Roman"/>
        </w:rPr>
        <w:t>]</w:t>
      </w:r>
    </w:p>
    <w:p w14:paraId="53D2CE9F" w14:textId="77777777" w:rsidR="00A92057" w:rsidRPr="007E4653" w:rsidRDefault="00A92057" w:rsidP="00A92057">
      <w:pPr>
        <w:pStyle w:val="BodyA"/>
        <w:shd w:val="clear" w:color="auto" w:fill="FFFFFF"/>
        <w:spacing w:before="100" w:after="100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8. Reduction, Lung Volume [</w:t>
      </w:r>
      <w:proofErr w:type="gramStart"/>
      <w:r w:rsidRPr="007E4653">
        <w:rPr>
          <w:rFonts w:ascii="Times New Roman" w:hAnsi="Times New Roman" w:cs="Times New Roman"/>
        </w:rPr>
        <w:t>Non Mesh</w:t>
      </w:r>
      <w:proofErr w:type="gramEnd"/>
      <w:r w:rsidRPr="007E4653">
        <w:rPr>
          <w:rFonts w:ascii="Times New Roman" w:hAnsi="Times New Roman" w:cs="Times New Roman"/>
        </w:rPr>
        <w:t>]</w:t>
      </w:r>
    </w:p>
    <w:p w14:paraId="594D9BCD" w14:textId="77777777" w:rsidR="00A92057" w:rsidRPr="007E4653" w:rsidRDefault="00A92057" w:rsidP="00A92057">
      <w:pPr>
        <w:pStyle w:val="BodyA"/>
        <w:shd w:val="clear" w:color="auto" w:fill="FFFFFF"/>
        <w:spacing w:before="100" w:after="100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9. Volume Reduction, Lung [</w:t>
      </w:r>
      <w:proofErr w:type="gramStart"/>
      <w:r w:rsidRPr="007E4653">
        <w:rPr>
          <w:rFonts w:ascii="Times New Roman" w:hAnsi="Times New Roman" w:cs="Times New Roman"/>
        </w:rPr>
        <w:t>Non Mesh</w:t>
      </w:r>
      <w:proofErr w:type="gramEnd"/>
      <w:r w:rsidRPr="007E4653">
        <w:rPr>
          <w:rFonts w:ascii="Times New Roman" w:hAnsi="Times New Roman" w:cs="Times New Roman"/>
        </w:rPr>
        <w:t>]</w:t>
      </w:r>
    </w:p>
    <w:p w14:paraId="115EF2D9" w14:textId="77777777" w:rsidR="00A92057" w:rsidRPr="007E4653" w:rsidRDefault="00A92057" w:rsidP="00A92057">
      <w:pPr>
        <w:pStyle w:val="BodyA"/>
        <w:shd w:val="clear" w:color="auto" w:fill="FFFFFF"/>
        <w:spacing w:before="100" w:after="100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10. Endobronchial valve</w:t>
      </w:r>
    </w:p>
    <w:p w14:paraId="02972D7A" w14:textId="77777777" w:rsidR="00A92057" w:rsidRPr="007E4653" w:rsidRDefault="00A92057" w:rsidP="00A92057">
      <w:pPr>
        <w:pStyle w:val="BodyA"/>
        <w:shd w:val="clear" w:color="auto" w:fill="FFFFFF"/>
        <w:spacing w:before="100" w:after="100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11. #6 OR #7 OR #8 OR #9 OR#10</w:t>
      </w:r>
    </w:p>
    <w:p w14:paraId="7CB84F19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12. Randomized controlled trial [Publication Type]</w:t>
      </w:r>
    </w:p>
    <w:p w14:paraId="45BF719D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</w:p>
    <w:p w14:paraId="5C76646F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13. #5 AND #11 AND #12</w:t>
      </w:r>
    </w:p>
    <w:p w14:paraId="44F7CC58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</w:p>
    <w:p w14:paraId="71671386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  <w:r w:rsidRPr="007E4653">
        <w:rPr>
          <w:rFonts w:ascii="Times New Roman" w:hAnsi="Times New Roman" w:cs="Times New Roman"/>
        </w:rPr>
        <w:t>The MEDLINE strategy will be adapted to the syntax and subject headings of the other databases.</w:t>
      </w:r>
    </w:p>
    <w:p w14:paraId="1A64E76E" w14:textId="77777777" w:rsidR="00A92057" w:rsidRPr="007E4653" w:rsidRDefault="00A92057" w:rsidP="00A92057">
      <w:pPr>
        <w:pStyle w:val="BodyA"/>
        <w:rPr>
          <w:rFonts w:ascii="Times New Roman" w:hAnsi="Times New Roman" w:cs="Times New Roman"/>
        </w:rPr>
      </w:pPr>
    </w:p>
    <w:p w14:paraId="2C0F223B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5BA0FEE8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4A600371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6070D4E0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63A37282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106CDCF7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3B65AD3F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46B42899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08863FD7" w14:textId="77777777" w:rsidR="00A92057" w:rsidRPr="007E4653" w:rsidRDefault="00A92057" w:rsidP="00A92057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214BCECF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74499B69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46DBFE89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00C09D1F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78586F72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73B869AA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04BA90E1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0454AD6E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3F8E1673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49000A2D" w14:textId="430136A1" w:rsidR="00A92057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2099A751" w14:textId="41B48653" w:rsidR="009F3925" w:rsidRDefault="009F3925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4591E4F6" w14:textId="09097DCC" w:rsidR="009F3925" w:rsidRDefault="009F3925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4C2BB913" w14:textId="4467F00F" w:rsidR="009F3925" w:rsidRDefault="009F3925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62714757" w14:textId="2ECAB0EB" w:rsidR="009F3925" w:rsidRDefault="009F3925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30F1F8D2" w14:textId="4DE354C6" w:rsidR="009F3925" w:rsidRDefault="009F3925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4241768D" w14:textId="16969D33" w:rsidR="009F3925" w:rsidRPr="00DC1BFA" w:rsidRDefault="00326852" w:rsidP="009F3925">
      <w:pPr>
        <w:pStyle w:val="BodyA"/>
        <w:widowContro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Supplementary </w:t>
      </w:r>
      <w:r w:rsidR="009F3925" w:rsidRPr="00DC1BFA">
        <w:rPr>
          <w:rFonts w:asciiTheme="minorHAnsi" w:hAnsiTheme="minorHAnsi" w:cs="Arial"/>
          <w:bCs/>
        </w:rPr>
        <w:t xml:space="preserve">Figure </w:t>
      </w:r>
      <w:r>
        <w:rPr>
          <w:rFonts w:asciiTheme="minorHAnsi" w:hAnsiTheme="minorHAnsi" w:cs="Arial"/>
          <w:bCs/>
        </w:rPr>
        <w:t>1</w:t>
      </w:r>
      <w:r w:rsidR="009F3925" w:rsidRPr="00DC1BFA">
        <w:rPr>
          <w:rFonts w:asciiTheme="minorHAnsi" w:hAnsiTheme="minorHAnsi" w:cs="Arial"/>
          <w:bCs/>
        </w:rPr>
        <w:t xml:space="preserve">. </w:t>
      </w:r>
      <w:r w:rsidR="009F3925">
        <w:rPr>
          <w:rFonts w:asciiTheme="minorHAnsi" w:eastAsia="Calibri Light" w:hAnsiTheme="minorHAnsi" w:cs="Arial"/>
        </w:rPr>
        <w:t xml:space="preserve">Comparison 2. Subgroup analysis. </w:t>
      </w:r>
      <w:r w:rsidR="009F3925" w:rsidRPr="00DC1BFA">
        <w:rPr>
          <w:rFonts w:asciiTheme="minorHAnsi" w:eastAsia="Calibri Light" w:hAnsiTheme="minorHAnsi" w:cs="Arial"/>
        </w:rPr>
        <w:t>Change in FEV</w:t>
      </w:r>
      <w:r w:rsidR="009F3925" w:rsidRPr="00DC1BFA">
        <w:rPr>
          <w:rFonts w:asciiTheme="minorHAnsi" w:eastAsia="Calibri Light" w:hAnsiTheme="minorHAnsi" w:cs="Arial"/>
          <w:vertAlign w:val="subscript"/>
        </w:rPr>
        <w:t>1</w:t>
      </w:r>
      <w:r w:rsidR="009F3925" w:rsidRPr="00DC1BFA">
        <w:rPr>
          <w:rFonts w:asciiTheme="minorHAnsi" w:eastAsia="Calibri Light" w:hAnsiTheme="minorHAnsi" w:cs="Arial"/>
        </w:rPr>
        <w:t xml:space="preserve"> after treatment</w:t>
      </w:r>
      <w:r w:rsidR="009F3925">
        <w:rPr>
          <w:rFonts w:asciiTheme="minorHAnsi" w:eastAsia="Calibri Light" w:hAnsiTheme="minorHAnsi" w:cs="Arial"/>
        </w:rPr>
        <w:t xml:space="preserve"> according to Follow up</w:t>
      </w:r>
    </w:p>
    <w:p w14:paraId="5FC5CC74" w14:textId="77777777" w:rsidR="009F3925" w:rsidRPr="007E4653" w:rsidRDefault="009F3925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2193365E" w14:textId="132423A6" w:rsidR="00A92057" w:rsidRPr="007E4653" w:rsidRDefault="009F3925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  <w:r w:rsidRPr="00DD39BD">
        <w:rPr>
          <w:rFonts w:asciiTheme="minorHAnsi" w:hAnsiTheme="minorHAnsi" w:cs="Arial"/>
          <w:bCs/>
          <w:noProof/>
          <w:lang w:eastAsia="en-US"/>
        </w:rPr>
        <w:drawing>
          <wp:inline distT="0" distB="0" distL="0" distR="0" wp14:anchorId="6C7846CF" wp14:editId="5D41532E">
            <wp:extent cx="5765800" cy="2133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ollowup.Forest plo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7BB5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51FD7268" w14:textId="77777777" w:rsidR="0006017B" w:rsidRPr="007E4653" w:rsidRDefault="0006017B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4DB78CB6" w14:textId="3B169081" w:rsidR="009F3925" w:rsidRDefault="00326852" w:rsidP="009F3925">
      <w:pPr>
        <w:pStyle w:val="BodyA"/>
        <w:widowControl w:val="0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Supplementary </w:t>
      </w:r>
      <w:r w:rsidR="009F3925" w:rsidRPr="00DC1BFA">
        <w:rPr>
          <w:rFonts w:asciiTheme="minorHAnsi" w:hAnsiTheme="minorHAnsi" w:cs="Arial"/>
          <w:bCs/>
        </w:rPr>
        <w:t xml:space="preserve">Figure </w:t>
      </w:r>
      <w:r>
        <w:rPr>
          <w:rFonts w:asciiTheme="minorHAnsi" w:hAnsiTheme="minorHAnsi" w:cs="Arial"/>
          <w:bCs/>
        </w:rPr>
        <w:t>2</w:t>
      </w:r>
      <w:r w:rsidR="009F3925" w:rsidRPr="00DC1BFA">
        <w:rPr>
          <w:rFonts w:asciiTheme="minorHAnsi" w:hAnsiTheme="minorHAnsi" w:cs="Arial"/>
        </w:rPr>
        <w:t xml:space="preserve">. </w:t>
      </w:r>
      <w:r w:rsidR="009F3925">
        <w:rPr>
          <w:rFonts w:asciiTheme="minorHAnsi" w:hAnsiTheme="minorHAnsi" w:cs="Arial"/>
        </w:rPr>
        <w:t xml:space="preserve">Subgroup. Change in FEV1 according to </w:t>
      </w:r>
      <w:r>
        <w:rPr>
          <w:rFonts w:asciiTheme="minorHAnsi" w:hAnsiTheme="minorHAnsi" w:cs="Arial"/>
        </w:rPr>
        <w:t xml:space="preserve">type of control group </w:t>
      </w:r>
    </w:p>
    <w:p w14:paraId="6494B356" w14:textId="731A2983" w:rsidR="009F3925" w:rsidRDefault="009F3925" w:rsidP="009F3925">
      <w:pPr>
        <w:pStyle w:val="BodyA"/>
        <w:widowContro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5EB53BA3" w14:textId="4EE32C0E" w:rsidR="007E4653" w:rsidRDefault="00326852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7C1DE209" wp14:editId="2F3DF8EA">
            <wp:extent cx="5765800" cy="213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parator.Forest pl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1A553" w14:textId="77777777" w:rsidR="007E4653" w:rsidRDefault="007E4653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</w:p>
    <w:p w14:paraId="5A54916E" w14:textId="77777777" w:rsidR="007E4653" w:rsidRDefault="007E4653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</w:p>
    <w:p w14:paraId="178EE6B5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40137F3C" w14:textId="087E0D28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  <w:r w:rsidRPr="007E4653">
        <w:rPr>
          <w:rFonts w:ascii="Times New Roman" w:hAnsi="Times New Roman" w:cs="Times New Roman"/>
          <w:bCs/>
        </w:rPr>
        <w:t xml:space="preserve">Supplementary figure </w:t>
      </w:r>
      <w:r w:rsidR="00B14A71">
        <w:rPr>
          <w:rFonts w:ascii="Times New Roman" w:hAnsi="Times New Roman" w:cs="Times New Roman"/>
          <w:bCs/>
        </w:rPr>
        <w:t>3</w:t>
      </w:r>
      <w:r w:rsidRPr="007E4653">
        <w:rPr>
          <w:rFonts w:ascii="Times New Roman" w:hAnsi="Times New Roman" w:cs="Times New Roman"/>
          <w:bCs/>
        </w:rPr>
        <w:t>. Relative risk of mortality after intervention</w:t>
      </w:r>
    </w:p>
    <w:p w14:paraId="4704EE59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</w:p>
    <w:p w14:paraId="2338A619" w14:textId="482CF35A" w:rsidR="00A92057" w:rsidRPr="007E4653" w:rsidRDefault="00D52E85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7F80A446" wp14:editId="61169C99">
            <wp:extent cx="54483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tality.Forest pl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48D7C9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388B1788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47A503CA" w14:textId="77777777" w:rsidR="007E4653" w:rsidRPr="007E4653" w:rsidRDefault="007E4653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</w:p>
    <w:p w14:paraId="32988970" w14:textId="77777777" w:rsidR="007E4653" w:rsidRPr="007E4653" w:rsidRDefault="007E4653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</w:p>
    <w:p w14:paraId="685DDD46" w14:textId="77777777" w:rsidR="007E4653" w:rsidRPr="007E4653" w:rsidRDefault="007E4653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</w:p>
    <w:p w14:paraId="0DD54085" w14:textId="694B9D94" w:rsidR="007E4653" w:rsidRDefault="001E6612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Supplementary figure 4. Subgroup analysis of pneumothorax according to emphysema distribution</w:t>
      </w:r>
    </w:p>
    <w:p w14:paraId="67A247B2" w14:textId="10182C5C" w:rsidR="001E6612" w:rsidRPr="007E4653" w:rsidRDefault="001E6612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0A6A8D35" wp14:editId="0CD35FD5">
            <wp:extent cx="5054600" cy="2438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phNeumo.Forest pl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393E1" w14:textId="77777777" w:rsidR="007E4653" w:rsidRPr="007E4653" w:rsidRDefault="007E4653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</w:p>
    <w:p w14:paraId="4B128A42" w14:textId="4E93206F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  <w:r w:rsidRPr="007E4653">
        <w:rPr>
          <w:rFonts w:ascii="Times New Roman" w:hAnsi="Times New Roman" w:cs="Times New Roman"/>
          <w:bCs/>
        </w:rPr>
        <w:t xml:space="preserve">Supplementary figure </w:t>
      </w:r>
      <w:r w:rsidR="001E6612">
        <w:rPr>
          <w:rFonts w:ascii="Times New Roman" w:hAnsi="Times New Roman" w:cs="Times New Roman"/>
          <w:bCs/>
        </w:rPr>
        <w:t>5</w:t>
      </w:r>
      <w:r w:rsidRPr="007E4653">
        <w:rPr>
          <w:rFonts w:ascii="Times New Roman" w:hAnsi="Times New Roman" w:cs="Times New Roman"/>
          <w:bCs/>
        </w:rPr>
        <w:t>. Funnel plot. Changes in FEV</w:t>
      </w:r>
      <w:r w:rsidRPr="007E4653">
        <w:rPr>
          <w:rFonts w:ascii="Times New Roman" w:hAnsi="Times New Roman" w:cs="Times New Roman"/>
          <w:bCs/>
          <w:vertAlign w:val="subscript"/>
        </w:rPr>
        <w:t>1</w:t>
      </w:r>
    </w:p>
    <w:p w14:paraId="214ED541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</w:p>
    <w:p w14:paraId="6857D8D5" w14:textId="44804414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0D264264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0FCDB618" w14:textId="3D23E95E" w:rsidR="00A92057" w:rsidRPr="007E4653" w:rsidRDefault="000A37EE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25BCA1BA" wp14:editId="0569A1EF">
            <wp:extent cx="3810000" cy="25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V1Funnel pl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F804C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7079CBAF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0B87DDE1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20FC4D60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0A3116D9" w14:textId="77777777" w:rsidR="00A92057" w:rsidRPr="007E4653" w:rsidRDefault="00A92057" w:rsidP="00B14A71">
      <w:pPr>
        <w:pStyle w:val="BodyA"/>
        <w:widowControl w:val="0"/>
        <w:rPr>
          <w:rFonts w:ascii="Times New Roman" w:hAnsi="Times New Roman" w:cs="Times New Roman"/>
          <w:bCs/>
        </w:rPr>
      </w:pPr>
    </w:p>
    <w:p w14:paraId="18463470" w14:textId="05F361D2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  <w:r w:rsidRPr="007E4653">
        <w:rPr>
          <w:rFonts w:ascii="Times New Roman" w:hAnsi="Times New Roman" w:cs="Times New Roman"/>
          <w:bCs/>
        </w:rPr>
        <w:t xml:space="preserve">Supplementary figure </w:t>
      </w:r>
      <w:r w:rsidR="001E6612">
        <w:rPr>
          <w:rFonts w:ascii="Times New Roman" w:hAnsi="Times New Roman" w:cs="Times New Roman"/>
          <w:bCs/>
        </w:rPr>
        <w:t>6</w:t>
      </w:r>
      <w:r w:rsidRPr="007E4653">
        <w:rPr>
          <w:rFonts w:ascii="Times New Roman" w:hAnsi="Times New Roman" w:cs="Times New Roman"/>
          <w:bCs/>
        </w:rPr>
        <w:t>. Funnel plot. Changes in SGRQ</w:t>
      </w:r>
    </w:p>
    <w:p w14:paraId="5856699A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061E2CA3" w14:textId="004B4E17" w:rsidR="00A92057" w:rsidRPr="007E4653" w:rsidRDefault="000A37EE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inline distT="0" distB="0" distL="0" distR="0" wp14:anchorId="63FF892B" wp14:editId="31B9B70A">
            <wp:extent cx="5715000" cy="3810000"/>
            <wp:effectExtent l="0" t="0" r="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GRQ.Funnel plo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2E13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652B65F8" w14:textId="42C4B372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  <w:r w:rsidRPr="007E4653">
        <w:rPr>
          <w:rFonts w:ascii="Times New Roman" w:hAnsi="Times New Roman" w:cs="Times New Roman"/>
          <w:bCs/>
        </w:rPr>
        <w:t xml:space="preserve">Supplementary figure </w:t>
      </w:r>
      <w:r w:rsidR="001E6612">
        <w:rPr>
          <w:rFonts w:ascii="Times New Roman" w:hAnsi="Times New Roman" w:cs="Times New Roman"/>
          <w:bCs/>
        </w:rPr>
        <w:t>7</w:t>
      </w:r>
      <w:r w:rsidRPr="007E4653">
        <w:rPr>
          <w:rFonts w:ascii="Times New Roman" w:hAnsi="Times New Roman" w:cs="Times New Roman"/>
          <w:bCs/>
        </w:rPr>
        <w:t>. Funnel plot. Changes in 6MWT</w:t>
      </w:r>
    </w:p>
    <w:p w14:paraId="4CF3B77B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</w:p>
    <w:p w14:paraId="3CD2C219" w14:textId="6A347B3A" w:rsidR="00A92057" w:rsidRPr="007E4653" w:rsidRDefault="000A37EE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7A68430C" wp14:editId="33D0807A">
            <wp:extent cx="3810000" cy="25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MWT.Funnel pl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1FCE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016A232B" w14:textId="1D8BA042" w:rsidR="00A92057" w:rsidRDefault="001E6612" w:rsidP="00B14A71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  <w:r w:rsidRPr="007E4653">
        <w:rPr>
          <w:rFonts w:ascii="Times New Roman" w:hAnsi="Times New Roman" w:cs="Times New Roman"/>
          <w:bCs/>
        </w:rPr>
        <w:t xml:space="preserve">Supplementary </w:t>
      </w:r>
      <w:r w:rsidRPr="001E6612">
        <w:rPr>
          <w:rFonts w:ascii="Times New Roman" w:hAnsi="Times New Roman" w:cs="Times New Roman"/>
          <w:bCs/>
        </w:rPr>
        <w:t xml:space="preserve">figure 8. </w:t>
      </w:r>
      <w:r w:rsidR="000A37EE" w:rsidRPr="001E6612">
        <w:rPr>
          <w:rFonts w:ascii="Times New Roman" w:hAnsi="Times New Roman" w:cs="Times New Roman"/>
          <w:bCs/>
        </w:rPr>
        <w:t>Funnel plot. Change in RV</w:t>
      </w:r>
    </w:p>
    <w:p w14:paraId="2130C80B" w14:textId="4A8B1C8B" w:rsidR="000A37EE" w:rsidRDefault="000A37EE" w:rsidP="00B14A71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55D2D4DA" w14:textId="1F6841FC" w:rsidR="000A37EE" w:rsidRDefault="000A37EE" w:rsidP="00B14A71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inline distT="0" distB="0" distL="0" distR="0" wp14:anchorId="7DB823FB" wp14:editId="44A746BE">
            <wp:extent cx="3810000" cy="254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V.Funnel plo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CECE4" w14:textId="77777777" w:rsidR="000A37EE" w:rsidRPr="007E4653" w:rsidRDefault="000A37EE" w:rsidP="00B14A71">
      <w:pPr>
        <w:pStyle w:val="BodyA"/>
        <w:widowControl w:val="0"/>
        <w:rPr>
          <w:rFonts w:ascii="Times New Roman" w:hAnsi="Times New Roman" w:cs="Times New Roman"/>
          <w:b/>
          <w:bCs/>
          <w:u w:val="single"/>
        </w:rPr>
      </w:pPr>
    </w:p>
    <w:p w14:paraId="5FD3C983" w14:textId="75132816" w:rsidR="00A92057" w:rsidRPr="007E4653" w:rsidRDefault="00A92057" w:rsidP="00B14A71">
      <w:pPr>
        <w:pStyle w:val="BodyA"/>
        <w:widowControl w:val="0"/>
        <w:rPr>
          <w:rFonts w:ascii="Times New Roman" w:hAnsi="Times New Roman" w:cs="Times New Roman"/>
          <w:bCs/>
        </w:rPr>
      </w:pPr>
      <w:r w:rsidRPr="007E4653">
        <w:rPr>
          <w:rFonts w:ascii="Times New Roman" w:hAnsi="Times New Roman" w:cs="Times New Roman"/>
          <w:bCs/>
        </w:rPr>
        <w:t xml:space="preserve">Supplementary figure </w:t>
      </w:r>
      <w:r w:rsidR="001E6612">
        <w:rPr>
          <w:rFonts w:ascii="Times New Roman" w:hAnsi="Times New Roman" w:cs="Times New Roman"/>
          <w:bCs/>
        </w:rPr>
        <w:t>9</w:t>
      </w:r>
      <w:r w:rsidRPr="007E4653">
        <w:rPr>
          <w:rFonts w:ascii="Times New Roman" w:hAnsi="Times New Roman" w:cs="Times New Roman"/>
          <w:bCs/>
        </w:rPr>
        <w:t xml:space="preserve">. Funnel plot. Risk of mortality </w:t>
      </w:r>
      <w:r w:rsidRPr="007E4653">
        <w:rPr>
          <w:rFonts w:ascii="Times New Roman" w:hAnsi="Times New Roman" w:cs="Times New Roman"/>
          <w:bCs/>
        </w:rPr>
        <w:br/>
      </w:r>
    </w:p>
    <w:p w14:paraId="5AE69CD4" w14:textId="6051C714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5C1B4815" w14:textId="77777777" w:rsidR="00A92057" w:rsidRPr="007E4653" w:rsidRDefault="00A92057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</w:p>
    <w:p w14:paraId="1DA92A05" w14:textId="0FF181C1" w:rsidR="00A92057" w:rsidRPr="007E4653" w:rsidRDefault="000A37EE" w:rsidP="00A92057">
      <w:pPr>
        <w:pStyle w:val="BodyA"/>
        <w:widowControl w:val="0"/>
        <w:ind w:left="640" w:hanging="6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 wp14:anchorId="3F0B7EFD" wp14:editId="014B16F0">
            <wp:extent cx="3810000" cy="254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rtality.Funnel plo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A325F" w14:textId="59A75F88" w:rsidR="00A92057" w:rsidRPr="00B14A71" w:rsidRDefault="00A92057" w:rsidP="00B14A71">
      <w:pPr>
        <w:pStyle w:val="BodyA"/>
        <w:widowControl w:val="0"/>
        <w:ind w:left="640" w:hanging="640"/>
        <w:rPr>
          <w:rFonts w:ascii="Times New Roman" w:hAnsi="Times New Roman" w:cs="Times New Roman"/>
          <w:bCs/>
        </w:rPr>
      </w:pPr>
      <w:r w:rsidRPr="007E4653">
        <w:rPr>
          <w:rFonts w:ascii="Times New Roman" w:hAnsi="Times New Roman" w:cs="Times New Roman"/>
          <w:bCs/>
        </w:rPr>
        <w:t xml:space="preserve">Supplementary figure </w:t>
      </w:r>
      <w:r w:rsidR="001E6612">
        <w:rPr>
          <w:rFonts w:ascii="Times New Roman" w:hAnsi="Times New Roman" w:cs="Times New Roman"/>
          <w:bCs/>
        </w:rPr>
        <w:t>10</w:t>
      </w:r>
      <w:r w:rsidRPr="007E4653">
        <w:rPr>
          <w:rFonts w:ascii="Times New Roman" w:hAnsi="Times New Roman" w:cs="Times New Roman"/>
          <w:bCs/>
        </w:rPr>
        <w:t>. Funnel plot. Risk of pneumothorax</w:t>
      </w:r>
    </w:p>
    <w:p w14:paraId="635FCBAD" w14:textId="55DEE59A" w:rsidR="00D65A5F" w:rsidRPr="007E4653" w:rsidRDefault="000A3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31B2FF1" wp14:editId="35CDD6A7">
            <wp:extent cx="3810000" cy="254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neumo.Funnel plo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A5F" w:rsidRPr="007E4653" w:rsidSect="00E9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57"/>
    <w:rsid w:val="00044491"/>
    <w:rsid w:val="0006017B"/>
    <w:rsid w:val="000772B7"/>
    <w:rsid w:val="000A37EE"/>
    <w:rsid w:val="000E2B10"/>
    <w:rsid w:val="00106FAE"/>
    <w:rsid w:val="00127C03"/>
    <w:rsid w:val="00165FA8"/>
    <w:rsid w:val="001E6612"/>
    <w:rsid w:val="0020563E"/>
    <w:rsid w:val="00273A59"/>
    <w:rsid w:val="00287206"/>
    <w:rsid w:val="002A75F1"/>
    <w:rsid w:val="002F32B6"/>
    <w:rsid w:val="003142B2"/>
    <w:rsid w:val="00326852"/>
    <w:rsid w:val="00367461"/>
    <w:rsid w:val="003948DB"/>
    <w:rsid w:val="003E51CC"/>
    <w:rsid w:val="003F6BDC"/>
    <w:rsid w:val="00421BA7"/>
    <w:rsid w:val="0042329E"/>
    <w:rsid w:val="004804D9"/>
    <w:rsid w:val="00487404"/>
    <w:rsid w:val="004F2DA2"/>
    <w:rsid w:val="005755C7"/>
    <w:rsid w:val="005F617C"/>
    <w:rsid w:val="006330C7"/>
    <w:rsid w:val="006450C0"/>
    <w:rsid w:val="00672FCF"/>
    <w:rsid w:val="00696A08"/>
    <w:rsid w:val="006B5F52"/>
    <w:rsid w:val="006F0FA4"/>
    <w:rsid w:val="007601CF"/>
    <w:rsid w:val="007E4653"/>
    <w:rsid w:val="00820F28"/>
    <w:rsid w:val="008278C7"/>
    <w:rsid w:val="008A3758"/>
    <w:rsid w:val="008A6244"/>
    <w:rsid w:val="009054E1"/>
    <w:rsid w:val="0092378F"/>
    <w:rsid w:val="009650F3"/>
    <w:rsid w:val="009A55A4"/>
    <w:rsid w:val="009C53AB"/>
    <w:rsid w:val="009F3925"/>
    <w:rsid w:val="00A0101A"/>
    <w:rsid w:val="00A03272"/>
    <w:rsid w:val="00A073DD"/>
    <w:rsid w:val="00A10C8B"/>
    <w:rsid w:val="00A92057"/>
    <w:rsid w:val="00AF6F9E"/>
    <w:rsid w:val="00B14A71"/>
    <w:rsid w:val="00BD16DE"/>
    <w:rsid w:val="00C137DC"/>
    <w:rsid w:val="00C16075"/>
    <w:rsid w:val="00C83A2A"/>
    <w:rsid w:val="00D20073"/>
    <w:rsid w:val="00D52E85"/>
    <w:rsid w:val="00D545B5"/>
    <w:rsid w:val="00D73CDF"/>
    <w:rsid w:val="00D8070D"/>
    <w:rsid w:val="00D842A7"/>
    <w:rsid w:val="00DD2C70"/>
    <w:rsid w:val="00E02785"/>
    <w:rsid w:val="00E216A9"/>
    <w:rsid w:val="00E71C5A"/>
    <w:rsid w:val="00EB4613"/>
    <w:rsid w:val="00EF74D9"/>
    <w:rsid w:val="00F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7FB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A920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BodyAChar">
    <w:name w:val="Body A Char"/>
    <w:basedOn w:val="DefaultParagraphFont"/>
    <w:link w:val="BodyA"/>
    <w:rsid w:val="0006017B"/>
    <w:rPr>
      <w:rFonts w:ascii="Calibri" w:eastAsia="Calibri" w:hAnsi="Calibri" w:cs="Calibri"/>
      <w:color w:val="000000"/>
      <w:u w:color="000000"/>
      <w:bdr w:val="nil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labarca</dc:creator>
  <cp:keywords/>
  <dc:description/>
  <cp:lastModifiedBy>gonzalo labarca</cp:lastModifiedBy>
  <cp:revision>4</cp:revision>
  <dcterms:created xsi:type="dcterms:W3CDTF">2019-02-05T00:25:00Z</dcterms:created>
  <dcterms:modified xsi:type="dcterms:W3CDTF">2019-03-06T23:50:00Z</dcterms:modified>
</cp:coreProperties>
</file>