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707A" w14:textId="2B7ED41A" w:rsidR="00E42B1D" w:rsidRPr="00050CA5" w:rsidRDefault="00050CA5" w:rsidP="00BA55FC">
      <w:pPr>
        <w:spacing w:line="480" w:lineRule="auto"/>
        <w:rPr>
          <w:rFonts w:ascii="Times New Roman" w:hAnsi="Times New Roman" w:cs="Times New Roman"/>
          <w:b/>
        </w:rPr>
      </w:pPr>
      <w:r w:rsidRPr="00050CA5">
        <w:rPr>
          <w:rFonts w:ascii="Times New Roman" w:hAnsi="Times New Roman" w:cs="Times New Roman"/>
          <w:b/>
        </w:rPr>
        <w:t>SUPPLEMENTA</w:t>
      </w:r>
      <w:r w:rsidR="00B95048">
        <w:rPr>
          <w:rFonts w:ascii="Times New Roman" w:hAnsi="Times New Roman" w:cs="Times New Roman"/>
          <w:b/>
        </w:rPr>
        <w:t>L MATERIAL</w:t>
      </w:r>
    </w:p>
    <w:p w14:paraId="6D0AA7F5" w14:textId="5BE23DC6" w:rsidR="007F76DB" w:rsidRPr="00050CA5" w:rsidRDefault="00050CA5" w:rsidP="00BA55FC">
      <w:pPr>
        <w:spacing w:line="480" w:lineRule="auto"/>
        <w:rPr>
          <w:rFonts w:ascii="Times New Roman" w:hAnsi="Times New Roman" w:cs="Times New Roman"/>
          <w:b/>
        </w:rPr>
      </w:pPr>
      <w:r w:rsidRPr="00050CA5">
        <w:rPr>
          <w:rFonts w:ascii="Times New Roman" w:hAnsi="Times New Roman" w:cs="Times New Roman"/>
          <w:b/>
        </w:rPr>
        <w:t xml:space="preserve">OUTLIER ANALYSIS  </w:t>
      </w:r>
    </w:p>
    <w:p w14:paraId="7E39A1BB" w14:textId="0850AB51" w:rsidR="0048761F" w:rsidRDefault="007F76DB" w:rsidP="00BA55FC">
      <w:pPr>
        <w:spacing w:line="480" w:lineRule="auto"/>
        <w:rPr>
          <w:rFonts w:ascii="Times New Roman" w:hAnsi="Times New Roman" w:cs="Times New Roman"/>
        </w:rPr>
      </w:pPr>
      <w:r w:rsidRPr="00050CA5">
        <w:rPr>
          <w:rFonts w:ascii="Times New Roman" w:hAnsi="Times New Roman" w:cs="Times New Roman"/>
        </w:rPr>
        <w:t xml:space="preserve">Data analysis revealed that 1 animal in the control group and 3 animals in the high dose lixivaptan group had ratios of organ weight over total body weight that were greater than </w:t>
      </w:r>
      <w:r w:rsidR="00361421">
        <w:rPr>
          <w:rFonts w:ascii="Times New Roman" w:hAnsi="Times New Roman" w:cs="Times New Roman"/>
        </w:rPr>
        <w:t xml:space="preserve">1.5 to </w:t>
      </w:r>
      <w:r w:rsidRPr="00050CA5">
        <w:rPr>
          <w:rFonts w:ascii="Times New Roman" w:hAnsi="Times New Roman" w:cs="Times New Roman"/>
        </w:rPr>
        <w:t xml:space="preserve">2 standard deviations above the mean.  In particular, the organ to body weight ratios for kidney, heart and spleen were </w:t>
      </w:r>
      <w:r w:rsidR="00652A25" w:rsidRPr="00050CA5">
        <w:rPr>
          <w:rFonts w:ascii="Times New Roman" w:hAnsi="Times New Roman" w:cs="Times New Roman"/>
        </w:rPr>
        <w:t xml:space="preserve">concomitantly </w:t>
      </w:r>
      <w:r w:rsidRPr="00050CA5">
        <w:rPr>
          <w:rFonts w:ascii="Times New Roman" w:hAnsi="Times New Roman" w:cs="Times New Roman"/>
        </w:rPr>
        <w:t>elevated in these animals</w:t>
      </w:r>
      <w:r w:rsidR="00652A25" w:rsidRPr="00050CA5">
        <w:rPr>
          <w:rFonts w:ascii="Times New Roman" w:hAnsi="Times New Roman" w:cs="Times New Roman"/>
        </w:rPr>
        <w:t xml:space="preserve">.  The significance of this finding remains </w:t>
      </w:r>
      <w:proofErr w:type="gramStart"/>
      <w:r w:rsidR="00652A25" w:rsidRPr="00050CA5">
        <w:rPr>
          <w:rFonts w:ascii="Times New Roman" w:hAnsi="Times New Roman" w:cs="Times New Roman"/>
        </w:rPr>
        <w:t>unknown,</w:t>
      </w:r>
      <w:proofErr w:type="gramEnd"/>
      <w:r w:rsidR="00652A25" w:rsidRPr="00050CA5">
        <w:rPr>
          <w:rFonts w:ascii="Times New Roman" w:hAnsi="Times New Roman" w:cs="Times New Roman"/>
        </w:rPr>
        <w:t xml:space="preserve"> however it indicates </w:t>
      </w:r>
      <w:r w:rsidRPr="00050CA5">
        <w:rPr>
          <w:rFonts w:ascii="Times New Roman" w:hAnsi="Times New Roman" w:cs="Times New Roman"/>
        </w:rPr>
        <w:t>a</w:t>
      </w:r>
      <w:r w:rsidR="00652A25" w:rsidRPr="00050CA5">
        <w:rPr>
          <w:rFonts w:ascii="Times New Roman" w:hAnsi="Times New Roman" w:cs="Times New Roman"/>
        </w:rPr>
        <w:t xml:space="preserve">n </w:t>
      </w:r>
      <w:r w:rsidRPr="00050CA5">
        <w:rPr>
          <w:rFonts w:ascii="Times New Roman" w:hAnsi="Times New Roman" w:cs="Times New Roman"/>
        </w:rPr>
        <w:t>underlying process</w:t>
      </w:r>
      <w:r w:rsidR="00652A25" w:rsidRPr="00050CA5">
        <w:rPr>
          <w:rFonts w:ascii="Times New Roman" w:hAnsi="Times New Roman" w:cs="Times New Roman"/>
        </w:rPr>
        <w:t xml:space="preserve"> that may confound the experimental results</w:t>
      </w:r>
      <w:r w:rsidRPr="00050CA5">
        <w:rPr>
          <w:rFonts w:ascii="Times New Roman" w:hAnsi="Times New Roman" w:cs="Times New Roman"/>
        </w:rPr>
        <w:t>.</w:t>
      </w:r>
      <w:r w:rsidR="00652A25" w:rsidRPr="00050CA5">
        <w:rPr>
          <w:rFonts w:ascii="Times New Roman" w:hAnsi="Times New Roman" w:cs="Times New Roman"/>
        </w:rPr>
        <w:t xml:space="preserve">  </w:t>
      </w:r>
      <w:r w:rsidR="00361421">
        <w:rPr>
          <w:rFonts w:ascii="Times New Roman" w:hAnsi="Times New Roman" w:cs="Times New Roman"/>
        </w:rPr>
        <w:t>Supplemental Table 1</w:t>
      </w:r>
      <w:r w:rsidR="00652A25" w:rsidRPr="00050CA5">
        <w:rPr>
          <w:rFonts w:ascii="Times New Roman" w:hAnsi="Times New Roman" w:cs="Times New Roman"/>
        </w:rPr>
        <w:t xml:space="preserve"> shows the </w:t>
      </w:r>
      <w:r w:rsidR="00654A48" w:rsidRPr="00050CA5">
        <w:rPr>
          <w:rFonts w:ascii="Times New Roman" w:hAnsi="Times New Roman" w:cs="Times New Roman"/>
        </w:rPr>
        <w:t xml:space="preserve">organ to body weight ratios </w:t>
      </w:r>
      <w:r w:rsidR="00652A25" w:rsidRPr="00050CA5">
        <w:rPr>
          <w:rFonts w:ascii="Times New Roman" w:hAnsi="Times New Roman" w:cs="Times New Roman"/>
        </w:rPr>
        <w:t xml:space="preserve">for </w:t>
      </w:r>
      <w:r w:rsidR="00654A48" w:rsidRPr="00050CA5">
        <w:rPr>
          <w:rFonts w:ascii="Times New Roman" w:hAnsi="Times New Roman" w:cs="Times New Roman"/>
        </w:rPr>
        <w:t>these animals relative to the group mean value.</w:t>
      </w:r>
    </w:p>
    <w:p w14:paraId="4E70EF2B" w14:textId="6DBE7680" w:rsidR="00361421" w:rsidRPr="00A70DB5" w:rsidRDefault="00361421">
      <w:pPr>
        <w:rPr>
          <w:rFonts w:ascii="Times New Roman" w:hAnsi="Times New Roman" w:cs="Times New Roman"/>
          <w:b/>
        </w:rPr>
      </w:pPr>
      <w:r w:rsidRPr="00A70DB5">
        <w:rPr>
          <w:rFonts w:ascii="Times New Roman" w:hAnsi="Times New Roman" w:cs="Times New Roman"/>
          <w:b/>
        </w:rPr>
        <w:t>Supplemental Table 1</w:t>
      </w:r>
      <w:r>
        <w:rPr>
          <w:rFonts w:ascii="Times New Roman" w:hAnsi="Times New Roman" w:cs="Times New Roman"/>
          <w:b/>
        </w:rPr>
        <w:t xml:space="preserve">. Organ to body weight ratios for </w:t>
      </w:r>
      <w:r w:rsidR="00254D57">
        <w:rPr>
          <w:rFonts w:ascii="Times New Roman" w:hAnsi="Times New Roman" w:cs="Times New Roman"/>
          <w:b/>
        </w:rPr>
        <w:t xml:space="preserve">4 </w:t>
      </w:r>
      <w:r>
        <w:rPr>
          <w:rFonts w:ascii="Times New Roman" w:hAnsi="Times New Roman" w:cs="Times New Roman"/>
          <w:b/>
        </w:rPr>
        <w:t>outlier animals</w:t>
      </w: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980"/>
        <w:gridCol w:w="1980"/>
        <w:gridCol w:w="1980"/>
      </w:tblGrid>
      <w:tr w:rsidR="0063693E" w:rsidRPr="00050CA5" w14:paraId="5E8C14E1" w14:textId="77777777" w:rsidTr="00B95048"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325F39CF" w14:textId="36350B8C" w:rsidR="0063693E" w:rsidRPr="00050CA5" w:rsidRDefault="0063693E" w:rsidP="00654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A398FFF" w14:textId="5034D211" w:rsidR="0063693E" w:rsidRPr="00361421" w:rsidRDefault="0063693E" w:rsidP="006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421">
              <w:rPr>
                <w:rFonts w:ascii="Times New Roman" w:hAnsi="Times New Roman" w:cs="Times New Roman"/>
                <w:b/>
              </w:rPr>
              <w:t xml:space="preserve">Kidney weight </w:t>
            </w:r>
            <w:r w:rsidR="00361421" w:rsidRPr="00361421">
              <w:rPr>
                <w:rFonts w:ascii="Times New Roman" w:hAnsi="Times New Roman" w:cs="Times New Roman"/>
                <w:b/>
              </w:rPr>
              <w:t>to</w:t>
            </w:r>
            <w:r w:rsidRPr="00361421">
              <w:rPr>
                <w:rFonts w:ascii="Times New Roman" w:hAnsi="Times New Roman" w:cs="Times New Roman"/>
                <w:b/>
              </w:rPr>
              <w:t xml:space="preserve"> </w:t>
            </w:r>
            <w:r w:rsidR="00361421" w:rsidRPr="00361421">
              <w:rPr>
                <w:rFonts w:ascii="Times New Roman" w:hAnsi="Times New Roman" w:cs="Times New Roman"/>
                <w:b/>
              </w:rPr>
              <w:t>b</w:t>
            </w:r>
            <w:r w:rsidRPr="00361421">
              <w:rPr>
                <w:rFonts w:ascii="Times New Roman" w:hAnsi="Times New Roman" w:cs="Times New Roman"/>
                <w:b/>
              </w:rPr>
              <w:t>ody weight ratio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D55DC49" w14:textId="62F570F7" w:rsidR="0063693E" w:rsidRPr="00361421" w:rsidRDefault="0063693E" w:rsidP="006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421">
              <w:rPr>
                <w:rFonts w:ascii="Times New Roman" w:hAnsi="Times New Roman" w:cs="Times New Roman"/>
                <w:b/>
              </w:rPr>
              <w:t xml:space="preserve">Spleen weight </w:t>
            </w:r>
            <w:r w:rsidR="00361421" w:rsidRPr="00361421">
              <w:rPr>
                <w:rFonts w:ascii="Times New Roman" w:hAnsi="Times New Roman" w:cs="Times New Roman"/>
                <w:b/>
              </w:rPr>
              <w:t>to</w:t>
            </w:r>
            <w:r w:rsidRPr="00361421">
              <w:rPr>
                <w:rFonts w:ascii="Times New Roman" w:hAnsi="Times New Roman" w:cs="Times New Roman"/>
                <w:b/>
              </w:rPr>
              <w:t xml:space="preserve"> </w:t>
            </w:r>
            <w:r w:rsidR="00361421" w:rsidRPr="00361421">
              <w:rPr>
                <w:rFonts w:ascii="Times New Roman" w:hAnsi="Times New Roman" w:cs="Times New Roman"/>
                <w:b/>
              </w:rPr>
              <w:t>b</w:t>
            </w:r>
            <w:r w:rsidRPr="00361421">
              <w:rPr>
                <w:rFonts w:ascii="Times New Roman" w:hAnsi="Times New Roman" w:cs="Times New Roman"/>
                <w:b/>
              </w:rPr>
              <w:t>ody weight ratio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F0D4A1" w14:textId="5944EDC7" w:rsidR="0063693E" w:rsidRPr="00361421" w:rsidRDefault="0063693E" w:rsidP="0063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421">
              <w:rPr>
                <w:rFonts w:ascii="Times New Roman" w:hAnsi="Times New Roman" w:cs="Times New Roman"/>
                <w:b/>
              </w:rPr>
              <w:t xml:space="preserve">Heart weight </w:t>
            </w:r>
            <w:r w:rsidR="00361421" w:rsidRPr="00361421">
              <w:rPr>
                <w:rFonts w:ascii="Times New Roman" w:hAnsi="Times New Roman" w:cs="Times New Roman"/>
                <w:b/>
              </w:rPr>
              <w:t>to</w:t>
            </w:r>
            <w:r w:rsidRPr="00361421">
              <w:rPr>
                <w:rFonts w:ascii="Times New Roman" w:hAnsi="Times New Roman" w:cs="Times New Roman"/>
                <w:b/>
              </w:rPr>
              <w:t xml:space="preserve"> </w:t>
            </w:r>
            <w:r w:rsidR="00361421" w:rsidRPr="00361421">
              <w:rPr>
                <w:rFonts w:ascii="Times New Roman" w:hAnsi="Times New Roman" w:cs="Times New Roman"/>
                <w:b/>
              </w:rPr>
              <w:t>b</w:t>
            </w:r>
            <w:r w:rsidRPr="00361421">
              <w:rPr>
                <w:rFonts w:ascii="Times New Roman" w:hAnsi="Times New Roman" w:cs="Times New Roman"/>
                <w:b/>
              </w:rPr>
              <w:t>ody weight ratio</w:t>
            </w:r>
          </w:p>
        </w:tc>
      </w:tr>
      <w:tr w:rsidR="0063693E" w:rsidRPr="00050CA5" w14:paraId="333FF34C" w14:textId="77777777" w:rsidTr="00B95048">
        <w:tc>
          <w:tcPr>
            <w:tcW w:w="3330" w:type="dxa"/>
            <w:tcBorders>
              <w:bottom w:val="nil"/>
            </w:tcBorders>
          </w:tcPr>
          <w:p w14:paraId="3F09EE61" w14:textId="639DC254" w:rsidR="0063693E" w:rsidRPr="00361421" w:rsidRDefault="0063693E" w:rsidP="00654A48">
            <w:pPr>
              <w:rPr>
                <w:rFonts w:ascii="Times New Roman" w:hAnsi="Times New Roman" w:cs="Times New Roman"/>
                <w:b/>
              </w:rPr>
            </w:pPr>
            <w:r w:rsidRPr="00361421">
              <w:rPr>
                <w:rFonts w:ascii="Times New Roman" w:hAnsi="Times New Roman" w:cs="Times New Roman"/>
                <w:b/>
              </w:rPr>
              <w:t>Control group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B0AE117" w14:textId="7777777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6B6A3819" w14:textId="7777777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64F703F3" w14:textId="7777777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93E" w:rsidRPr="00050CA5" w14:paraId="0B6F6926" w14:textId="77777777" w:rsidTr="00B95048">
        <w:tc>
          <w:tcPr>
            <w:tcW w:w="3330" w:type="dxa"/>
            <w:tcBorders>
              <w:top w:val="nil"/>
              <w:bottom w:val="nil"/>
            </w:tcBorders>
          </w:tcPr>
          <w:p w14:paraId="37658918" w14:textId="6D8B923D" w:rsidR="0063693E" w:rsidRPr="00050CA5" w:rsidRDefault="0063693E" w:rsidP="0063693E">
            <w:pPr>
              <w:ind w:left="72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Animal 469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4D49396E" w14:textId="2FDEA34C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0D2D1764" w14:textId="2D8D6E39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15E7166C" w14:textId="532DE3B8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1.60</w:t>
            </w:r>
          </w:p>
        </w:tc>
      </w:tr>
      <w:tr w:rsidR="0063693E" w:rsidRPr="00050CA5" w14:paraId="71312DCE" w14:textId="77777777" w:rsidTr="00B95048">
        <w:tc>
          <w:tcPr>
            <w:tcW w:w="3330" w:type="dxa"/>
            <w:tcBorders>
              <w:top w:val="nil"/>
              <w:bottom w:val="nil"/>
            </w:tcBorders>
          </w:tcPr>
          <w:p w14:paraId="4C21A016" w14:textId="4462E068" w:rsidR="0063693E" w:rsidRPr="00050CA5" w:rsidRDefault="00361421" w:rsidP="0063693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m</w:t>
            </w:r>
            <w:r w:rsidR="0063693E" w:rsidRPr="00050CA5">
              <w:rPr>
                <w:rFonts w:ascii="Times New Roman" w:hAnsi="Times New Roman" w:cs="Times New Roman"/>
              </w:rPr>
              <w:t>ean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41073832" w14:textId="78CE190A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4D03A596" w14:textId="06065028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1FF45A04" w14:textId="3D941922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0.52</w:t>
            </w:r>
          </w:p>
        </w:tc>
      </w:tr>
      <w:tr w:rsidR="0063693E" w:rsidRPr="00050CA5" w14:paraId="52C58895" w14:textId="77777777" w:rsidTr="00B95048"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06B71CC5" w14:textId="2047CBF3" w:rsidR="0063693E" w:rsidRPr="00050CA5" w:rsidRDefault="00361421" w:rsidP="0063693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s</w:t>
            </w:r>
            <w:r w:rsidR="0063693E" w:rsidRPr="00050CA5">
              <w:rPr>
                <w:rFonts w:ascii="Times New Roman" w:hAnsi="Times New Roman" w:cs="Times New Roman"/>
              </w:rPr>
              <w:t>tandard deviation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39D75874" w14:textId="4ABABC14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15693E66" w14:textId="0AE072C9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018B83E2" w14:textId="6BF65140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0.32</w:t>
            </w:r>
          </w:p>
        </w:tc>
      </w:tr>
      <w:tr w:rsidR="0063693E" w:rsidRPr="00050CA5" w14:paraId="5DF1C2D4" w14:textId="77777777" w:rsidTr="00B95048">
        <w:tc>
          <w:tcPr>
            <w:tcW w:w="3330" w:type="dxa"/>
            <w:tcBorders>
              <w:bottom w:val="nil"/>
            </w:tcBorders>
          </w:tcPr>
          <w:p w14:paraId="7F15AA7F" w14:textId="4BB33A12" w:rsidR="0063693E" w:rsidRPr="00361421" w:rsidRDefault="0063693E" w:rsidP="00654A48">
            <w:pPr>
              <w:rPr>
                <w:rFonts w:ascii="Times New Roman" w:hAnsi="Times New Roman" w:cs="Times New Roman"/>
                <w:b/>
              </w:rPr>
            </w:pPr>
            <w:r w:rsidRPr="00361421">
              <w:rPr>
                <w:rFonts w:ascii="Times New Roman" w:hAnsi="Times New Roman" w:cs="Times New Roman"/>
                <w:b/>
              </w:rPr>
              <w:t>High Dose Lixivaptan group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D3AB954" w14:textId="7777777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50E4BAA2" w14:textId="7777777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1D8C113" w14:textId="7777777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93E" w:rsidRPr="00050CA5" w14:paraId="68913487" w14:textId="77777777" w:rsidTr="00B95048">
        <w:tc>
          <w:tcPr>
            <w:tcW w:w="3330" w:type="dxa"/>
            <w:tcBorders>
              <w:top w:val="nil"/>
              <w:bottom w:val="nil"/>
            </w:tcBorders>
          </w:tcPr>
          <w:p w14:paraId="1ECC2D50" w14:textId="2B6DD68F" w:rsidR="0063693E" w:rsidRPr="00050CA5" w:rsidRDefault="0063693E" w:rsidP="0063693E">
            <w:pPr>
              <w:ind w:left="72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Animal 459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19F317ED" w14:textId="6CC6E53E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1DE9ABFA" w14:textId="6F3B0979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2877573C" w14:textId="0A1AAC64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1.42</w:t>
            </w:r>
          </w:p>
        </w:tc>
      </w:tr>
      <w:tr w:rsidR="0063693E" w:rsidRPr="00050CA5" w14:paraId="3E6D706D" w14:textId="77777777" w:rsidTr="00B95048">
        <w:tc>
          <w:tcPr>
            <w:tcW w:w="3330" w:type="dxa"/>
            <w:tcBorders>
              <w:top w:val="nil"/>
              <w:bottom w:val="nil"/>
            </w:tcBorders>
          </w:tcPr>
          <w:p w14:paraId="50C6E352" w14:textId="1C3B7252" w:rsidR="0063693E" w:rsidRPr="00050CA5" w:rsidRDefault="0063693E" w:rsidP="0063693E">
            <w:pPr>
              <w:ind w:left="72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Animal 477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790B99E0" w14:textId="3FF8356C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4D1B2574" w14:textId="21D655D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0.66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2578AF61" w14:textId="2314BDE2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1.44</w:t>
            </w:r>
          </w:p>
        </w:tc>
      </w:tr>
      <w:tr w:rsidR="0063693E" w:rsidRPr="00050CA5" w14:paraId="0A939349" w14:textId="77777777" w:rsidTr="00B95048">
        <w:tc>
          <w:tcPr>
            <w:tcW w:w="3330" w:type="dxa"/>
            <w:tcBorders>
              <w:top w:val="nil"/>
              <w:bottom w:val="nil"/>
            </w:tcBorders>
          </w:tcPr>
          <w:p w14:paraId="62174233" w14:textId="47FC25EE" w:rsidR="0063693E" w:rsidRPr="00050CA5" w:rsidRDefault="0063693E" w:rsidP="0063693E">
            <w:pPr>
              <w:ind w:left="72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Animal 453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31538CAC" w14:textId="2F80C380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2.66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6D487CC5" w14:textId="05FB653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10E78D0D" w14:textId="430959EF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1.29</w:t>
            </w:r>
          </w:p>
        </w:tc>
      </w:tr>
      <w:tr w:rsidR="0063693E" w:rsidRPr="00050CA5" w14:paraId="17F97CC1" w14:textId="77777777" w:rsidTr="00B95048">
        <w:tc>
          <w:tcPr>
            <w:tcW w:w="3330" w:type="dxa"/>
            <w:tcBorders>
              <w:top w:val="nil"/>
              <w:bottom w:val="nil"/>
            </w:tcBorders>
          </w:tcPr>
          <w:p w14:paraId="2598FCB5" w14:textId="19A5AF13" w:rsidR="0063693E" w:rsidRPr="00050CA5" w:rsidRDefault="00361421" w:rsidP="0063693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m</w:t>
            </w:r>
            <w:r w:rsidR="0063693E" w:rsidRPr="00050CA5">
              <w:rPr>
                <w:rFonts w:ascii="Times New Roman" w:hAnsi="Times New Roman" w:cs="Times New Roman"/>
              </w:rPr>
              <w:t>ean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7923612D" w14:textId="455B9757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1.61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5D53E8BE" w14:textId="408DADDC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14:paraId="7714A25A" w14:textId="6CD35E32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0.56</w:t>
            </w:r>
          </w:p>
        </w:tc>
      </w:tr>
      <w:tr w:rsidR="0063693E" w:rsidRPr="00050CA5" w14:paraId="673F5353" w14:textId="77777777" w:rsidTr="00B95048">
        <w:tc>
          <w:tcPr>
            <w:tcW w:w="3330" w:type="dxa"/>
            <w:tcBorders>
              <w:top w:val="nil"/>
            </w:tcBorders>
          </w:tcPr>
          <w:p w14:paraId="07EE8226" w14:textId="043A27C6" w:rsidR="0063693E" w:rsidRPr="00050CA5" w:rsidRDefault="00361421" w:rsidP="0063693E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s</w:t>
            </w:r>
            <w:r w:rsidR="0063693E" w:rsidRPr="00050CA5">
              <w:rPr>
                <w:rFonts w:ascii="Times New Roman" w:hAnsi="Times New Roman" w:cs="Times New Roman"/>
              </w:rPr>
              <w:t>tandard deviation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640395FD" w14:textId="457C6453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789DEEDD" w14:textId="15F97B2E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14:paraId="5DE179F6" w14:textId="65F7928D" w:rsidR="0063693E" w:rsidRPr="00050CA5" w:rsidRDefault="0063693E" w:rsidP="0063693E">
            <w:pPr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0.37</w:t>
            </w:r>
          </w:p>
        </w:tc>
      </w:tr>
    </w:tbl>
    <w:p w14:paraId="7D6E7D5A" w14:textId="01DE94D1" w:rsidR="00654A48" w:rsidRPr="00A70DB5" w:rsidRDefault="00361421">
      <w:pPr>
        <w:rPr>
          <w:rFonts w:ascii="Times New Roman" w:hAnsi="Times New Roman" w:cs="Times New Roman"/>
          <w:sz w:val="20"/>
          <w:szCs w:val="20"/>
        </w:rPr>
      </w:pPr>
      <w:r w:rsidRPr="00A70DB5">
        <w:rPr>
          <w:rFonts w:ascii="Times New Roman" w:hAnsi="Times New Roman" w:cs="Times New Roman"/>
          <w:sz w:val="20"/>
          <w:szCs w:val="20"/>
        </w:rPr>
        <w:t xml:space="preserve">* Group mean and SD include all animals. </w:t>
      </w:r>
    </w:p>
    <w:p w14:paraId="5EDC3375" w14:textId="67FE18C8" w:rsidR="00BA55FC" w:rsidRPr="00C8336C" w:rsidRDefault="00254D57" w:rsidP="00C8336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D1C3D" w:rsidRPr="00050CA5">
        <w:rPr>
          <w:rFonts w:ascii="Times New Roman" w:hAnsi="Times New Roman" w:cs="Times New Roman"/>
        </w:rPr>
        <w:t>nalysis</w:t>
      </w:r>
      <w:r w:rsidR="00527ABC" w:rsidRPr="00050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the efficacy parameters for the high dose group with and without the 3 outliers</w:t>
      </w:r>
      <w:r w:rsidR="00527ABC" w:rsidRPr="00050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 w:rsidR="00527ABC" w:rsidRPr="00050CA5">
        <w:rPr>
          <w:rFonts w:ascii="Times New Roman" w:hAnsi="Times New Roman" w:cs="Times New Roman"/>
        </w:rPr>
        <w:t xml:space="preserve">shown in </w:t>
      </w:r>
      <w:r w:rsidR="00A70DB5">
        <w:rPr>
          <w:rFonts w:ascii="Times New Roman" w:hAnsi="Times New Roman" w:cs="Times New Roman"/>
        </w:rPr>
        <w:t xml:space="preserve">Supplemental </w:t>
      </w:r>
      <w:r w:rsidR="00527ABC" w:rsidRPr="00050CA5">
        <w:rPr>
          <w:rFonts w:ascii="Times New Roman" w:hAnsi="Times New Roman" w:cs="Times New Roman"/>
        </w:rPr>
        <w:t xml:space="preserve">Table </w:t>
      </w:r>
      <w:r w:rsidR="00A70DB5">
        <w:rPr>
          <w:rFonts w:ascii="Times New Roman" w:hAnsi="Times New Roman" w:cs="Times New Roman"/>
        </w:rPr>
        <w:t>2</w:t>
      </w:r>
      <w:r w:rsidR="00527ABC" w:rsidRPr="00050C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Note that the outlier in the Control group was removed as well.</w:t>
      </w:r>
      <w:r w:rsidR="00527ABC" w:rsidRPr="00050CA5">
        <w:rPr>
          <w:rFonts w:ascii="Times New Roman" w:hAnsi="Times New Roman" w:cs="Times New Roman"/>
        </w:rPr>
        <w:t xml:space="preserve">  Note</w:t>
      </w:r>
      <w:r>
        <w:rPr>
          <w:rFonts w:ascii="Times New Roman" w:hAnsi="Times New Roman" w:cs="Times New Roman"/>
        </w:rPr>
        <w:t>:</w:t>
      </w:r>
      <w:r w:rsidR="00527ABC" w:rsidRPr="00050CA5">
        <w:rPr>
          <w:rFonts w:ascii="Times New Roman" w:hAnsi="Times New Roman" w:cs="Times New Roman"/>
        </w:rPr>
        <w:t xml:space="preserve"> the results for the low dose of lixivaptan remain</w:t>
      </w:r>
      <w:r>
        <w:rPr>
          <w:rFonts w:ascii="Times New Roman" w:hAnsi="Times New Roman" w:cs="Times New Roman"/>
        </w:rPr>
        <w:t>ed</w:t>
      </w:r>
      <w:r w:rsidR="00527ABC" w:rsidRPr="00050CA5">
        <w:rPr>
          <w:rFonts w:ascii="Times New Roman" w:hAnsi="Times New Roman" w:cs="Times New Roman"/>
        </w:rPr>
        <w:t xml:space="preserve"> unchanged as no outliers were identified in this group.</w:t>
      </w:r>
      <w:r w:rsidR="00BA55FC">
        <w:rPr>
          <w:rFonts w:ascii="Times New Roman" w:hAnsi="Times New Roman" w:cs="Times New Roman"/>
        </w:rPr>
        <w:t xml:space="preserve"> </w:t>
      </w:r>
      <w:r w:rsidR="00BA55FC" w:rsidRPr="00BA55FC">
        <w:rPr>
          <w:rFonts w:ascii="Times New Roman" w:hAnsi="Times New Roman" w:cs="Times New Roman"/>
        </w:rPr>
        <w:t>Rem</w:t>
      </w:r>
      <w:bookmarkStart w:id="0" w:name="_GoBack"/>
      <w:bookmarkEnd w:id="0"/>
      <w:r w:rsidR="00BA55FC" w:rsidRPr="00BA55FC">
        <w:rPr>
          <w:rFonts w:ascii="Times New Roman" w:hAnsi="Times New Roman" w:cs="Times New Roman"/>
        </w:rPr>
        <w:t xml:space="preserve">oving these three outliers from the high dose group and one similar outlier from the control group resulted in a significant difference </w:t>
      </w:r>
      <w:r w:rsidR="00BA55FC">
        <w:rPr>
          <w:rFonts w:ascii="Times New Roman" w:hAnsi="Times New Roman" w:cs="Times New Roman"/>
        </w:rPr>
        <w:t xml:space="preserve">between high dose and control </w:t>
      </w:r>
      <w:r w:rsidR="00BA55FC" w:rsidRPr="00BA55FC">
        <w:rPr>
          <w:rFonts w:ascii="Times New Roman" w:hAnsi="Times New Roman" w:cs="Times New Roman"/>
        </w:rPr>
        <w:t>for the % kidney weight/body weight (1.3% vs. 1.6%, respectively; p</w:t>
      </w:r>
      <w:r w:rsidR="00BA55FC">
        <w:rPr>
          <w:rFonts w:ascii="Times New Roman" w:hAnsi="Times New Roman" w:cs="Times New Roman"/>
        </w:rPr>
        <w:t>=</w:t>
      </w:r>
      <w:r w:rsidR="00BA55FC" w:rsidRPr="00BA55FC">
        <w:rPr>
          <w:rFonts w:ascii="Times New Roman" w:hAnsi="Times New Roman" w:cs="Times New Roman"/>
        </w:rPr>
        <w:t>0.0</w:t>
      </w:r>
      <w:r w:rsidR="00BA55FC">
        <w:rPr>
          <w:rFonts w:ascii="Times New Roman" w:hAnsi="Times New Roman" w:cs="Times New Roman"/>
        </w:rPr>
        <w:t>07</w:t>
      </w:r>
      <w:r w:rsidR="00BA55FC" w:rsidRPr="00BA55FC">
        <w:rPr>
          <w:rFonts w:ascii="Times New Roman" w:hAnsi="Times New Roman" w:cs="Times New Roman"/>
        </w:rPr>
        <w:t>).</w:t>
      </w:r>
    </w:p>
    <w:p w14:paraId="544E9BA5" w14:textId="77777777" w:rsidR="00B95048" w:rsidRDefault="00B95048" w:rsidP="00527ABC">
      <w:pPr>
        <w:rPr>
          <w:rFonts w:ascii="Times New Roman" w:hAnsi="Times New Roman" w:cs="Times New Roman"/>
          <w:b/>
        </w:rPr>
      </w:pPr>
    </w:p>
    <w:p w14:paraId="6C9B8F60" w14:textId="77777777" w:rsidR="00B95048" w:rsidRDefault="00B95048" w:rsidP="00527ABC">
      <w:pPr>
        <w:rPr>
          <w:rFonts w:ascii="Times New Roman" w:hAnsi="Times New Roman" w:cs="Times New Roman"/>
          <w:b/>
        </w:rPr>
      </w:pPr>
    </w:p>
    <w:p w14:paraId="5209AA6E" w14:textId="77777777" w:rsidR="00B95048" w:rsidRDefault="00B95048" w:rsidP="00527ABC">
      <w:pPr>
        <w:rPr>
          <w:rFonts w:ascii="Times New Roman" w:hAnsi="Times New Roman" w:cs="Times New Roman"/>
          <w:b/>
        </w:rPr>
      </w:pPr>
    </w:p>
    <w:p w14:paraId="127059A2" w14:textId="26D84632" w:rsidR="00527ABC" w:rsidRPr="00050CA5" w:rsidRDefault="00A70DB5" w:rsidP="00527A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="00527ABC" w:rsidRPr="00050CA5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 w:rsidR="00527ABC" w:rsidRPr="00050CA5">
        <w:rPr>
          <w:rFonts w:ascii="Times New Roman" w:hAnsi="Times New Roman" w:cs="Times New Roman"/>
          <w:b/>
        </w:rPr>
        <w:t xml:space="preserve">. Effects of </w:t>
      </w:r>
      <w:r w:rsidR="00CB3024" w:rsidRPr="00050CA5">
        <w:rPr>
          <w:rFonts w:ascii="Times New Roman" w:hAnsi="Times New Roman" w:cs="Times New Roman"/>
          <w:b/>
        </w:rPr>
        <w:t xml:space="preserve">high dose </w:t>
      </w:r>
      <w:r w:rsidR="00527ABC" w:rsidRPr="00050CA5">
        <w:rPr>
          <w:rFonts w:ascii="Times New Roman" w:hAnsi="Times New Roman" w:cs="Times New Roman"/>
          <w:b/>
        </w:rPr>
        <w:t xml:space="preserve">lixivaptan </w:t>
      </w:r>
      <w:r w:rsidR="00CB3024" w:rsidRPr="00050CA5">
        <w:rPr>
          <w:rFonts w:ascii="Times New Roman" w:hAnsi="Times New Roman" w:cs="Times New Roman"/>
          <w:b/>
        </w:rPr>
        <w:t xml:space="preserve">after </w:t>
      </w:r>
      <w:r w:rsidR="00146564" w:rsidRPr="00050CA5">
        <w:rPr>
          <w:rFonts w:ascii="Times New Roman" w:hAnsi="Times New Roman" w:cs="Times New Roman"/>
          <w:b/>
        </w:rPr>
        <w:t>correcting for outliers</w:t>
      </w:r>
      <w:r w:rsidR="00CB3024" w:rsidRPr="00050CA5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2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353"/>
        <w:gridCol w:w="1297"/>
        <w:gridCol w:w="1225"/>
        <w:gridCol w:w="1269"/>
        <w:gridCol w:w="1246"/>
      </w:tblGrid>
      <w:tr w:rsidR="00A70DB5" w:rsidRPr="00050CA5" w14:paraId="138E7714" w14:textId="1EDAC6F2" w:rsidTr="00B95048">
        <w:tc>
          <w:tcPr>
            <w:tcW w:w="2880" w:type="dxa"/>
            <w:vAlign w:val="bottom"/>
          </w:tcPr>
          <w:p w14:paraId="7B2B4762" w14:textId="77777777" w:rsidR="00527ABC" w:rsidRPr="00050CA5" w:rsidRDefault="00527ABC" w:rsidP="00C47207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50CA5">
              <w:rPr>
                <w:rFonts w:ascii="Times New Roman" w:hAnsi="Times New Roman" w:cs="Times New Roman"/>
                <w:b/>
              </w:rPr>
              <w:t>Parameters</w:t>
            </w:r>
          </w:p>
        </w:tc>
        <w:tc>
          <w:tcPr>
            <w:tcW w:w="1353" w:type="dxa"/>
            <w:vAlign w:val="bottom"/>
          </w:tcPr>
          <w:p w14:paraId="465E68E5" w14:textId="0C63BAB0" w:rsidR="00527ABC" w:rsidRPr="00050CA5" w:rsidRDefault="00527ABC" w:rsidP="00C47207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50CA5">
              <w:rPr>
                <w:rFonts w:ascii="Times New Roman" w:hAnsi="Times New Roman" w:cs="Times New Roman"/>
                <w:b/>
              </w:rPr>
              <w:t>Control</w:t>
            </w:r>
            <w:r w:rsidR="00254D57" w:rsidRPr="001029F9">
              <w:rPr>
                <w:rFonts w:ascii="Times New Roman" w:hAnsi="Times New Roman" w:cs="Times New Roman"/>
                <w:b/>
                <w:vertAlign w:val="superscript"/>
              </w:rPr>
              <w:t>†</w:t>
            </w:r>
          </w:p>
        </w:tc>
        <w:tc>
          <w:tcPr>
            <w:tcW w:w="2522" w:type="dxa"/>
            <w:gridSpan w:val="2"/>
            <w:vAlign w:val="bottom"/>
          </w:tcPr>
          <w:p w14:paraId="63F2BBBD" w14:textId="4786AADB" w:rsidR="00A70DB5" w:rsidRPr="00B95048" w:rsidRDefault="00527ABC" w:rsidP="00527AB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5048">
              <w:rPr>
                <w:rFonts w:ascii="Times New Roman" w:hAnsi="Times New Roman" w:cs="Times New Roman"/>
                <w:b/>
              </w:rPr>
              <w:t xml:space="preserve">Lixivaptan </w:t>
            </w:r>
            <w:r w:rsidR="00A70DB5" w:rsidRPr="00B95048">
              <w:rPr>
                <w:rFonts w:ascii="Times New Roman" w:hAnsi="Times New Roman" w:cs="Times New Roman"/>
                <w:b/>
              </w:rPr>
              <w:t>high</w:t>
            </w:r>
            <w:r w:rsidR="00254D57" w:rsidRPr="00B95048">
              <w:rPr>
                <w:rFonts w:ascii="Times New Roman" w:hAnsi="Times New Roman" w:cs="Times New Roman"/>
                <w:b/>
              </w:rPr>
              <w:t xml:space="preserve"> </w:t>
            </w:r>
            <w:r w:rsidR="00A70DB5" w:rsidRPr="00B95048">
              <w:rPr>
                <w:rFonts w:ascii="Times New Roman" w:hAnsi="Times New Roman" w:cs="Times New Roman"/>
                <w:b/>
              </w:rPr>
              <w:t>d</w:t>
            </w:r>
            <w:r w:rsidRPr="00B95048">
              <w:rPr>
                <w:rFonts w:ascii="Times New Roman" w:hAnsi="Times New Roman" w:cs="Times New Roman"/>
                <w:b/>
              </w:rPr>
              <w:t>ose</w:t>
            </w:r>
            <w:r w:rsidR="00254D57" w:rsidRPr="00B95048">
              <w:rPr>
                <w:rFonts w:ascii="Times New Roman" w:hAnsi="Times New Roman" w:cs="Times New Roman"/>
                <w:b/>
              </w:rPr>
              <w:t>,</w:t>
            </w:r>
          </w:p>
          <w:p w14:paraId="29E1BB5F" w14:textId="37CB2C60" w:rsidR="00527ABC" w:rsidRPr="00B95048" w:rsidRDefault="00A70DB5" w:rsidP="00527AB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95048">
              <w:rPr>
                <w:rFonts w:ascii="Times New Roman" w:hAnsi="Times New Roman" w:cs="Times New Roman"/>
                <w:b/>
              </w:rPr>
              <w:t>outliers included</w:t>
            </w:r>
          </w:p>
        </w:tc>
        <w:tc>
          <w:tcPr>
            <w:tcW w:w="2515" w:type="dxa"/>
            <w:gridSpan w:val="2"/>
            <w:vAlign w:val="bottom"/>
          </w:tcPr>
          <w:p w14:paraId="1F2AAAD9" w14:textId="1F0EE2D0" w:rsidR="00527ABC" w:rsidRDefault="00527ABC" w:rsidP="00527AB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050CA5">
              <w:rPr>
                <w:rFonts w:ascii="Times New Roman" w:hAnsi="Times New Roman" w:cs="Times New Roman"/>
                <w:b/>
              </w:rPr>
              <w:t xml:space="preserve">Lixivaptan </w:t>
            </w:r>
            <w:r w:rsidR="00A70DB5">
              <w:rPr>
                <w:rFonts w:ascii="Times New Roman" w:hAnsi="Times New Roman" w:cs="Times New Roman"/>
                <w:b/>
              </w:rPr>
              <w:t>h</w:t>
            </w:r>
            <w:r w:rsidRPr="00050CA5">
              <w:rPr>
                <w:rFonts w:ascii="Times New Roman" w:hAnsi="Times New Roman" w:cs="Times New Roman"/>
                <w:b/>
              </w:rPr>
              <w:t xml:space="preserve">igh </w:t>
            </w:r>
            <w:r w:rsidR="00A70DB5">
              <w:rPr>
                <w:rFonts w:ascii="Times New Roman" w:hAnsi="Times New Roman" w:cs="Times New Roman"/>
                <w:b/>
              </w:rPr>
              <w:t>d</w:t>
            </w:r>
            <w:r w:rsidRPr="00050CA5">
              <w:rPr>
                <w:rFonts w:ascii="Times New Roman" w:hAnsi="Times New Roman" w:cs="Times New Roman"/>
                <w:b/>
              </w:rPr>
              <w:t>ose</w:t>
            </w:r>
            <w:r w:rsidR="00254D57">
              <w:rPr>
                <w:rFonts w:ascii="Times New Roman" w:hAnsi="Times New Roman" w:cs="Times New Roman"/>
                <w:b/>
              </w:rPr>
              <w:t>,</w:t>
            </w:r>
          </w:p>
          <w:p w14:paraId="4A0EFAAB" w14:textId="13476A1B" w:rsidR="00A70DB5" w:rsidRPr="00050CA5" w:rsidRDefault="00A70DB5" w:rsidP="00527AB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outliers excluded</w:t>
            </w:r>
          </w:p>
        </w:tc>
      </w:tr>
      <w:tr w:rsidR="00A70DB5" w:rsidRPr="00050CA5" w14:paraId="0233497F" w14:textId="55C2D023" w:rsidTr="00B95048">
        <w:tc>
          <w:tcPr>
            <w:tcW w:w="2880" w:type="dxa"/>
          </w:tcPr>
          <w:p w14:paraId="01F5F23C" w14:textId="1163639A" w:rsidR="006947BE" w:rsidRPr="00050CA5" w:rsidRDefault="006947BE" w:rsidP="006947BE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6DD42495" w14:textId="157657BC" w:rsidR="006947BE" w:rsidRPr="00050CA5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 xml:space="preserve">Mean </w:t>
            </w:r>
            <w:r w:rsidRPr="00050CA5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1297" w:type="dxa"/>
            <w:vAlign w:val="center"/>
          </w:tcPr>
          <w:p w14:paraId="366B427D" w14:textId="387B8C89" w:rsidR="006947BE" w:rsidRPr="00B95048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 xml:space="preserve">Mean </w:t>
            </w:r>
            <w:r w:rsidRPr="00B95048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1225" w:type="dxa"/>
            <w:vAlign w:val="center"/>
          </w:tcPr>
          <w:p w14:paraId="7F58BE93" w14:textId="35BE4E66" w:rsidR="006947BE" w:rsidRPr="00B95048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p-value</w:t>
            </w:r>
            <w:r w:rsidR="00146564" w:rsidRPr="00B95048">
              <w:rPr>
                <w:rFonts w:ascii="Times New Roman" w:hAnsi="Times New Roman" w:cs="Times New Roman"/>
                <w:color w:val="000000"/>
              </w:rPr>
              <w:t xml:space="preserve"> vs. control</w:t>
            </w:r>
            <w:r w:rsidR="00A70DB5" w:rsidRPr="00B95048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269" w:type="dxa"/>
            <w:vAlign w:val="center"/>
          </w:tcPr>
          <w:p w14:paraId="4927429C" w14:textId="14A57593" w:rsidR="006947BE" w:rsidRPr="00050CA5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 xml:space="preserve">Mean </w:t>
            </w:r>
            <w:r w:rsidRPr="00050CA5">
              <w:rPr>
                <w:rFonts w:ascii="Times New Roman" w:hAnsi="Times New Roman" w:cs="Times New Roman"/>
              </w:rPr>
              <w:t>± SD</w:t>
            </w:r>
          </w:p>
        </w:tc>
        <w:tc>
          <w:tcPr>
            <w:tcW w:w="1246" w:type="dxa"/>
            <w:vAlign w:val="center"/>
          </w:tcPr>
          <w:p w14:paraId="2DB7BE22" w14:textId="60D2688F" w:rsidR="006947BE" w:rsidRPr="00050CA5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p-value</w:t>
            </w:r>
            <w:r w:rsidR="00146564" w:rsidRPr="00050CA5">
              <w:rPr>
                <w:rFonts w:ascii="Times New Roman" w:hAnsi="Times New Roman" w:cs="Times New Roman"/>
                <w:color w:val="000000"/>
              </w:rPr>
              <w:t xml:space="preserve"> vs. control</w:t>
            </w:r>
            <w:r w:rsidR="00A70DB5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A70DB5" w:rsidRPr="00050CA5" w14:paraId="7C925FA6" w14:textId="7D05FC02" w:rsidTr="00B95048">
        <w:tc>
          <w:tcPr>
            <w:tcW w:w="2880" w:type="dxa"/>
            <w:vAlign w:val="center"/>
          </w:tcPr>
          <w:p w14:paraId="69A469ED" w14:textId="6E92B146" w:rsidR="00527ABC" w:rsidRPr="00050CA5" w:rsidRDefault="006947BE" w:rsidP="00C32CC5">
            <w:pPr>
              <w:spacing w:before="40" w:after="4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Kidney weight/body weight ratio</w:t>
            </w:r>
            <w:r w:rsidR="00A70DB5">
              <w:rPr>
                <w:rFonts w:ascii="Times New Roman" w:hAnsi="Times New Roman" w:cs="Times New Roman"/>
              </w:rPr>
              <w:t xml:space="preserve">, </w:t>
            </w:r>
            <w:r w:rsidRPr="00050C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vAlign w:val="center"/>
          </w:tcPr>
          <w:p w14:paraId="42FF00CD" w14:textId="1F64CA0B" w:rsidR="00527ABC" w:rsidRPr="00050CA5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1.57 ± 0.37</w:t>
            </w:r>
          </w:p>
        </w:tc>
        <w:tc>
          <w:tcPr>
            <w:tcW w:w="1297" w:type="dxa"/>
            <w:vAlign w:val="center"/>
          </w:tcPr>
          <w:p w14:paraId="7EEEE410" w14:textId="48887998" w:rsidR="00527ABC" w:rsidRPr="00B95048" w:rsidRDefault="00133C50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1.61</w:t>
            </w:r>
            <w:r w:rsidR="00874E9E" w:rsidRPr="00B95048">
              <w:rPr>
                <w:rFonts w:ascii="Times New Roman" w:hAnsi="Times New Roman" w:cs="Times New Roman"/>
                <w:color w:val="000000"/>
              </w:rPr>
              <w:t xml:space="preserve"> ± 0.78</w:t>
            </w:r>
          </w:p>
        </w:tc>
        <w:tc>
          <w:tcPr>
            <w:tcW w:w="1225" w:type="dxa"/>
            <w:vAlign w:val="center"/>
          </w:tcPr>
          <w:p w14:paraId="6D987C84" w14:textId="425A2A40" w:rsidR="00527ABC" w:rsidRPr="00B95048" w:rsidRDefault="00945798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0.8</w:t>
            </w:r>
            <w:r w:rsidR="00897110" w:rsidRPr="00B950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14:paraId="649328D5" w14:textId="40680E06" w:rsidR="00527ABC" w:rsidRPr="00050CA5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1.30 ± 0.11</w:t>
            </w:r>
          </w:p>
        </w:tc>
        <w:tc>
          <w:tcPr>
            <w:tcW w:w="1246" w:type="dxa"/>
            <w:vAlign w:val="center"/>
          </w:tcPr>
          <w:p w14:paraId="69A1DAE0" w14:textId="7B20DA56" w:rsidR="00527ABC" w:rsidRPr="00A70DB5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0DB5">
              <w:rPr>
                <w:rFonts w:ascii="Times New Roman" w:hAnsi="Times New Roman" w:cs="Times New Roman"/>
                <w:b/>
                <w:color w:val="000000"/>
              </w:rPr>
              <w:t>0.007</w:t>
            </w:r>
          </w:p>
        </w:tc>
      </w:tr>
      <w:tr w:rsidR="00A70DB5" w:rsidRPr="00050CA5" w14:paraId="480664B7" w14:textId="1000F76A" w:rsidTr="00B95048">
        <w:tc>
          <w:tcPr>
            <w:tcW w:w="2880" w:type="dxa"/>
            <w:vAlign w:val="center"/>
          </w:tcPr>
          <w:p w14:paraId="1265D631" w14:textId="60E45B12" w:rsidR="00527ABC" w:rsidRPr="00050CA5" w:rsidRDefault="006947BE" w:rsidP="00C32CC5">
            <w:pPr>
              <w:spacing w:before="40" w:after="4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Cystic index</w:t>
            </w:r>
            <w:r w:rsidR="00A70DB5">
              <w:rPr>
                <w:rFonts w:ascii="Times New Roman" w:hAnsi="Times New Roman" w:cs="Times New Roman"/>
              </w:rPr>
              <w:t xml:space="preserve">, </w:t>
            </w:r>
            <w:r w:rsidRPr="00050C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vAlign w:val="center"/>
          </w:tcPr>
          <w:p w14:paraId="38E2CFB7" w14:textId="570488D1" w:rsidR="00527ABC" w:rsidRPr="00050CA5" w:rsidRDefault="006947B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 xml:space="preserve">16.2 </w:t>
            </w:r>
            <w:r w:rsidR="00527ABC" w:rsidRPr="00050CA5">
              <w:rPr>
                <w:rFonts w:ascii="Times New Roman" w:hAnsi="Times New Roman" w:cs="Times New Roman"/>
                <w:color w:val="000000"/>
              </w:rPr>
              <w:t xml:space="preserve">± </w:t>
            </w:r>
            <w:r w:rsidRPr="00050CA5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1297" w:type="dxa"/>
            <w:vAlign w:val="center"/>
          </w:tcPr>
          <w:p w14:paraId="7F626357" w14:textId="01F5DD32" w:rsidR="00527ABC" w:rsidRPr="00B95048" w:rsidRDefault="00240F14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11.9 ± 3.3</w:t>
            </w:r>
          </w:p>
        </w:tc>
        <w:tc>
          <w:tcPr>
            <w:tcW w:w="1225" w:type="dxa"/>
            <w:vAlign w:val="center"/>
          </w:tcPr>
          <w:p w14:paraId="2DC278D9" w14:textId="150DDCEB" w:rsidR="00527ABC" w:rsidRPr="00B95048" w:rsidRDefault="00897110" w:rsidP="00C32C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5048">
              <w:rPr>
                <w:rFonts w:ascii="Times New Roman" w:hAnsi="Times New Roman" w:cs="Times New Roman"/>
                <w:b/>
                <w:color w:val="000000"/>
              </w:rPr>
              <w:t>0.011</w:t>
            </w:r>
          </w:p>
        </w:tc>
        <w:tc>
          <w:tcPr>
            <w:tcW w:w="1269" w:type="dxa"/>
            <w:vAlign w:val="center"/>
          </w:tcPr>
          <w:p w14:paraId="536AECAC" w14:textId="6717AC7D" w:rsidR="00527ABC" w:rsidRPr="00050CA5" w:rsidRDefault="00527ABC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1</w:t>
            </w:r>
            <w:r w:rsidR="007216B6" w:rsidRPr="00050CA5">
              <w:rPr>
                <w:rFonts w:ascii="Times New Roman" w:hAnsi="Times New Roman" w:cs="Times New Roman"/>
                <w:color w:val="000000"/>
              </w:rPr>
              <w:t>2.3</w:t>
            </w:r>
            <w:r w:rsidRPr="00050CA5">
              <w:rPr>
                <w:rFonts w:ascii="Times New Roman" w:hAnsi="Times New Roman" w:cs="Times New Roman"/>
                <w:color w:val="000000"/>
              </w:rPr>
              <w:t xml:space="preserve"> ± </w:t>
            </w:r>
            <w:r w:rsidR="007216B6" w:rsidRPr="00050CA5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246" w:type="dxa"/>
            <w:vAlign w:val="center"/>
          </w:tcPr>
          <w:p w14:paraId="1020666B" w14:textId="5AE21D62" w:rsidR="00527ABC" w:rsidRPr="00A70DB5" w:rsidRDefault="007216B6" w:rsidP="00C32C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0DB5">
              <w:rPr>
                <w:rFonts w:ascii="Times New Roman" w:hAnsi="Times New Roman" w:cs="Times New Roman"/>
                <w:b/>
                <w:color w:val="000000"/>
              </w:rPr>
              <w:t>0.015</w:t>
            </w:r>
          </w:p>
        </w:tc>
      </w:tr>
      <w:tr w:rsidR="00A70DB5" w:rsidRPr="00050CA5" w14:paraId="7409AF57" w14:textId="77777777" w:rsidTr="00B95048">
        <w:tc>
          <w:tcPr>
            <w:tcW w:w="2880" w:type="dxa"/>
            <w:vAlign w:val="center"/>
          </w:tcPr>
          <w:p w14:paraId="344365BE" w14:textId="1C8CE2BD" w:rsidR="007216B6" w:rsidRPr="00050CA5" w:rsidRDefault="007216B6" w:rsidP="00C32CC5">
            <w:pPr>
              <w:spacing w:before="40" w:after="4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Kidney fibrosis score</w:t>
            </w:r>
          </w:p>
        </w:tc>
        <w:tc>
          <w:tcPr>
            <w:tcW w:w="1353" w:type="dxa"/>
            <w:vAlign w:val="center"/>
          </w:tcPr>
          <w:p w14:paraId="18A2F40E" w14:textId="16C82971" w:rsidR="007216B6" w:rsidRPr="00050CA5" w:rsidRDefault="007216B6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2.81 ± 2.08</w:t>
            </w:r>
          </w:p>
        </w:tc>
        <w:tc>
          <w:tcPr>
            <w:tcW w:w="1297" w:type="dxa"/>
            <w:vAlign w:val="center"/>
          </w:tcPr>
          <w:p w14:paraId="3E79823F" w14:textId="5D3194A4" w:rsidR="007216B6" w:rsidRPr="00B95048" w:rsidRDefault="002F33D6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2.5 ± 1.1</w:t>
            </w:r>
          </w:p>
        </w:tc>
        <w:tc>
          <w:tcPr>
            <w:tcW w:w="1225" w:type="dxa"/>
            <w:vAlign w:val="center"/>
          </w:tcPr>
          <w:p w14:paraId="56867776" w14:textId="584D92A4" w:rsidR="007216B6" w:rsidRPr="00B95048" w:rsidRDefault="0070263F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1269" w:type="dxa"/>
            <w:vAlign w:val="center"/>
          </w:tcPr>
          <w:p w14:paraId="7FA1DC21" w14:textId="5F60276C" w:rsidR="007216B6" w:rsidRPr="00050CA5" w:rsidRDefault="007216B6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2.58 ± 1.13</w:t>
            </w:r>
          </w:p>
        </w:tc>
        <w:tc>
          <w:tcPr>
            <w:tcW w:w="1246" w:type="dxa"/>
            <w:vAlign w:val="center"/>
          </w:tcPr>
          <w:p w14:paraId="7F86DE43" w14:textId="5562C7C4" w:rsidR="007216B6" w:rsidRPr="00050CA5" w:rsidRDefault="007216B6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0.68</w:t>
            </w:r>
          </w:p>
        </w:tc>
      </w:tr>
      <w:tr w:rsidR="00A70DB5" w:rsidRPr="00050CA5" w14:paraId="68DEFC9C" w14:textId="25094A84" w:rsidTr="00B95048">
        <w:tc>
          <w:tcPr>
            <w:tcW w:w="2880" w:type="dxa"/>
            <w:vAlign w:val="center"/>
          </w:tcPr>
          <w:p w14:paraId="3733A75E" w14:textId="69584154" w:rsidR="00527ABC" w:rsidRPr="00050CA5" w:rsidRDefault="00527ABC" w:rsidP="00C32CC5">
            <w:pPr>
              <w:spacing w:before="40" w:after="4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Plasma Creatinine, mg/d</w:t>
            </w:r>
            <w:r w:rsidR="007216B6" w:rsidRPr="00050CA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353" w:type="dxa"/>
            <w:vAlign w:val="center"/>
          </w:tcPr>
          <w:p w14:paraId="667065FA" w14:textId="294CAAF5" w:rsidR="00527ABC" w:rsidRPr="00050CA5" w:rsidRDefault="00C32CC5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0</w:t>
            </w:r>
            <w:r w:rsidR="00527ABC" w:rsidRPr="00050CA5">
              <w:rPr>
                <w:rFonts w:ascii="Times New Roman" w:hAnsi="Times New Roman" w:cs="Times New Roman"/>
                <w:color w:val="000000"/>
              </w:rPr>
              <w:t>.73 ± 0.06</w:t>
            </w:r>
          </w:p>
        </w:tc>
        <w:tc>
          <w:tcPr>
            <w:tcW w:w="1297" w:type="dxa"/>
            <w:vAlign w:val="center"/>
          </w:tcPr>
          <w:p w14:paraId="6020B7E1" w14:textId="03C0DE05" w:rsidR="00527ABC" w:rsidRPr="00B95048" w:rsidRDefault="001D1B91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0.68 ± 0.05</w:t>
            </w:r>
          </w:p>
        </w:tc>
        <w:tc>
          <w:tcPr>
            <w:tcW w:w="1225" w:type="dxa"/>
            <w:vAlign w:val="center"/>
          </w:tcPr>
          <w:p w14:paraId="71AF4D45" w14:textId="65CB7E0E" w:rsidR="00527ABC" w:rsidRPr="00B95048" w:rsidRDefault="0070263F" w:rsidP="00C32C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5048">
              <w:rPr>
                <w:rFonts w:ascii="Times New Roman" w:hAnsi="Times New Roman" w:cs="Times New Roman"/>
                <w:b/>
                <w:color w:val="000000"/>
              </w:rPr>
              <w:t>0.006</w:t>
            </w:r>
          </w:p>
        </w:tc>
        <w:tc>
          <w:tcPr>
            <w:tcW w:w="1269" w:type="dxa"/>
            <w:vAlign w:val="center"/>
          </w:tcPr>
          <w:p w14:paraId="4A4C36CC" w14:textId="619A74C5" w:rsidR="00527ABC" w:rsidRPr="00050CA5" w:rsidRDefault="00527ABC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0.6</w:t>
            </w:r>
            <w:r w:rsidR="007216B6" w:rsidRPr="00050CA5">
              <w:rPr>
                <w:rFonts w:ascii="Times New Roman" w:hAnsi="Times New Roman" w:cs="Times New Roman"/>
                <w:color w:val="000000"/>
              </w:rPr>
              <w:t>7</w:t>
            </w:r>
            <w:r w:rsidRPr="00050CA5">
              <w:rPr>
                <w:rFonts w:ascii="Times New Roman" w:hAnsi="Times New Roman" w:cs="Times New Roman"/>
                <w:color w:val="000000"/>
              </w:rPr>
              <w:t xml:space="preserve"> ± 0.05</w:t>
            </w:r>
          </w:p>
        </w:tc>
        <w:tc>
          <w:tcPr>
            <w:tcW w:w="1246" w:type="dxa"/>
            <w:vAlign w:val="center"/>
          </w:tcPr>
          <w:p w14:paraId="707C6BF6" w14:textId="12997840" w:rsidR="00527ABC" w:rsidRPr="00A70DB5" w:rsidRDefault="007216B6" w:rsidP="00C32CC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0DB5">
              <w:rPr>
                <w:rFonts w:ascii="Times New Roman" w:hAnsi="Times New Roman" w:cs="Times New Roman"/>
                <w:b/>
                <w:color w:val="000000"/>
              </w:rPr>
              <w:t>0.006</w:t>
            </w:r>
          </w:p>
        </w:tc>
      </w:tr>
      <w:tr w:rsidR="00A70DB5" w:rsidRPr="00050CA5" w14:paraId="6E6DC89B" w14:textId="7046BD8A" w:rsidTr="00B95048">
        <w:tc>
          <w:tcPr>
            <w:tcW w:w="2880" w:type="dxa"/>
            <w:vAlign w:val="center"/>
          </w:tcPr>
          <w:p w14:paraId="6E878140" w14:textId="3F64138C" w:rsidR="00527ABC" w:rsidRPr="00050CA5" w:rsidRDefault="00EE6D4D" w:rsidP="00C32CC5">
            <w:pPr>
              <w:spacing w:before="40" w:after="4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Liver cyst inde</w:t>
            </w:r>
            <w:r w:rsidR="00A70DB5">
              <w:rPr>
                <w:rFonts w:ascii="Times New Roman" w:hAnsi="Times New Roman" w:cs="Times New Roman"/>
              </w:rPr>
              <w:t xml:space="preserve">x, </w:t>
            </w:r>
            <w:r w:rsidRPr="00050C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3" w:type="dxa"/>
            <w:vAlign w:val="center"/>
          </w:tcPr>
          <w:p w14:paraId="5C84B55A" w14:textId="095483AF" w:rsidR="00527ABC" w:rsidRPr="00050CA5" w:rsidRDefault="00EE6D4D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5.7 ± 2.1</w:t>
            </w:r>
          </w:p>
        </w:tc>
        <w:tc>
          <w:tcPr>
            <w:tcW w:w="1297" w:type="dxa"/>
            <w:vAlign w:val="center"/>
          </w:tcPr>
          <w:p w14:paraId="676C2312" w14:textId="5ACEB2F8" w:rsidR="00527ABC" w:rsidRPr="00B95048" w:rsidRDefault="00C3603E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6.5 ± 1.0</w:t>
            </w:r>
          </w:p>
        </w:tc>
        <w:tc>
          <w:tcPr>
            <w:tcW w:w="1225" w:type="dxa"/>
            <w:vAlign w:val="center"/>
          </w:tcPr>
          <w:p w14:paraId="094BEC29" w14:textId="2D29F893" w:rsidR="00527ABC" w:rsidRPr="00B95048" w:rsidRDefault="00612BB8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048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1269" w:type="dxa"/>
            <w:vAlign w:val="center"/>
          </w:tcPr>
          <w:p w14:paraId="681AFD21" w14:textId="1E2ACBBF" w:rsidR="00527ABC" w:rsidRPr="00050CA5" w:rsidRDefault="00C32CC5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5.9 ± 2.1</w:t>
            </w:r>
          </w:p>
        </w:tc>
        <w:tc>
          <w:tcPr>
            <w:tcW w:w="1246" w:type="dxa"/>
            <w:vAlign w:val="center"/>
          </w:tcPr>
          <w:p w14:paraId="64E25D07" w14:textId="7E6EBFE1" w:rsidR="00527ABC" w:rsidRPr="00050CA5" w:rsidRDefault="00C32CC5" w:rsidP="00C32CC5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CA5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A70DB5" w:rsidRPr="00050CA5" w14:paraId="74407D2F" w14:textId="0FA45996" w:rsidTr="00B95048">
        <w:tc>
          <w:tcPr>
            <w:tcW w:w="2880" w:type="dxa"/>
            <w:vAlign w:val="center"/>
          </w:tcPr>
          <w:p w14:paraId="029128FA" w14:textId="2E065E20" w:rsidR="00527ABC" w:rsidRPr="00050CA5" w:rsidRDefault="00EE6D4D" w:rsidP="00C32CC5">
            <w:pPr>
              <w:spacing w:before="40" w:after="40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 xml:space="preserve">Renal cAMP, </w:t>
            </w:r>
            <w:proofErr w:type="spellStart"/>
            <w:r w:rsidRPr="00050CA5">
              <w:rPr>
                <w:rFonts w:ascii="Times New Roman" w:hAnsi="Times New Roman" w:cs="Times New Roman"/>
              </w:rPr>
              <w:t>pmol</w:t>
            </w:r>
            <w:proofErr w:type="spellEnd"/>
            <w:r w:rsidRPr="00050CA5">
              <w:rPr>
                <w:rFonts w:ascii="Times New Roman" w:hAnsi="Times New Roman" w:cs="Times New Roman"/>
              </w:rPr>
              <w:t>/mg protein</w:t>
            </w:r>
          </w:p>
        </w:tc>
        <w:tc>
          <w:tcPr>
            <w:tcW w:w="1353" w:type="dxa"/>
            <w:vAlign w:val="center"/>
          </w:tcPr>
          <w:p w14:paraId="7441C876" w14:textId="71B83D3B" w:rsidR="00527ABC" w:rsidRPr="00050CA5" w:rsidRDefault="00527ABC" w:rsidP="00C32CC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20.</w:t>
            </w:r>
            <w:r w:rsidR="00EE6D4D" w:rsidRPr="00050CA5">
              <w:rPr>
                <w:rFonts w:ascii="Times New Roman" w:hAnsi="Times New Roman" w:cs="Times New Roman"/>
              </w:rPr>
              <w:t>3</w:t>
            </w:r>
            <w:r w:rsidRPr="00050CA5">
              <w:rPr>
                <w:rFonts w:ascii="Times New Roman" w:hAnsi="Times New Roman" w:cs="Times New Roman"/>
              </w:rPr>
              <w:t xml:space="preserve"> ± 6.</w:t>
            </w:r>
            <w:r w:rsidR="00EE6D4D" w:rsidRPr="00050C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7" w:type="dxa"/>
            <w:vAlign w:val="center"/>
          </w:tcPr>
          <w:p w14:paraId="14B95110" w14:textId="6D7465A5" w:rsidR="00527ABC" w:rsidRPr="00B95048" w:rsidRDefault="00244F09" w:rsidP="00C32CC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5048">
              <w:rPr>
                <w:rFonts w:ascii="Times New Roman" w:hAnsi="Times New Roman" w:cs="Times New Roman"/>
              </w:rPr>
              <w:t xml:space="preserve">23.8 </w:t>
            </w:r>
            <w:r w:rsidRPr="00B95048">
              <w:rPr>
                <w:rFonts w:ascii="Times New Roman" w:hAnsi="Times New Roman" w:cs="Times New Roman"/>
                <w:color w:val="000000"/>
              </w:rPr>
              <w:t>± 9.8</w:t>
            </w:r>
          </w:p>
        </w:tc>
        <w:tc>
          <w:tcPr>
            <w:tcW w:w="1225" w:type="dxa"/>
            <w:vAlign w:val="center"/>
          </w:tcPr>
          <w:p w14:paraId="62ABFEC3" w14:textId="3979C9AB" w:rsidR="00612BB8" w:rsidRPr="00B95048" w:rsidRDefault="00612BB8" w:rsidP="00612BB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5048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269" w:type="dxa"/>
            <w:vAlign w:val="center"/>
          </w:tcPr>
          <w:p w14:paraId="349FDF26" w14:textId="0B5C018D" w:rsidR="00527ABC" w:rsidRPr="00050CA5" w:rsidRDefault="00527ABC" w:rsidP="00C32CC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2</w:t>
            </w:r>
            <w:r w:rsidR="00EE6D4D" w:rsidRPr="00050CA5">
              <w:rPr>
                <w:rFonts w:ascii="Times New Roman" w:hAnsi="Times New Roman" w:cs="Times New Roman"/>
              </w:rPr>
              <w:t>2</w:t>
            </w:r>
            <w:r w:rsidRPr="00050CA5">
              <w:rPr>
                <w:rFonts w:ascii="Times New Roman" w:hAnsi="Times New Roman" w:cs="Times New Roman"/>
              </w:rPr>
              <w:t>.</w:t>
            </w:r>
            <w:r w:rsidR="00EE6D4D" w:rsidRPr="00050CA5">
              <w:rPr>
                <w:rFonts w:ascii="Times New Roman" w:hAnsi="Times New Roman" w:cs="Times New Roman"/>
              </w:rPr>
              <w:t>1</w:t>
            </w:r>
            <w:r w:rsidRPr="00050CA5">
              <w:rPr>
                <w:rFonts w:ascii="Times New Roman" w:hAnsi="Times New Roman" w:cs="Times New Roman"/>
              </w:rPr>
              <w:t xml:space="preserve"> ± </w:t>
            </w:r>
            <w:r w:rsidR="00EE6D4D" w:rsidRPr="00050CA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46" w:type="dxa"/>
            <w:vAlign w:val="center"/>
          </w:tcPr>
          <w:p w14:paraId="2F0D7628" w14:textId="7EA45DE1" w:rsidR="00527ABC" w:rsidRPr="00050CA5" w:rsidRDefault="00EE6D4D" w:rsidP="00C32CC5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50CA5">
              <w:rPr>
                <w:rFonts w:ascii="Times New Roman" w:hAnsi="Times New Roman" w:cs="Times New Roman"/>
              </w:rPr>
              <w:t>0.42</w:t>
            </w:r>
          </w:p>
        </w:tc>
      </w:tr>
    </w:tbl>
    <w:p w14:paraId="03634043" w14:textId="171A1F04" w:rsidR="00254D57" w:rsidRPr="00254D57" w:rsidRDefault="00254D57" w:rsidP="00254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D57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† </w:t>
      </w:r>
      <w:r w:rsidRPr="00254D57">
        <w:rPr>
          <w:rFonts w:ascii="Times New Roman" w:hAnsi="Times New Roman" w:cs="Times New Roman"/>
          <w:sz w:val="20"/>
          <w:szCs w:val="20"/>
        </w:rPr>
        <w:t xml:space="preserve">Data in the </w:t>
      </w:r>
      <w:r w:rsidR="00BA55FC">
        <w:rPr>
          <w:rFonts w:ascii="Times New Roman" w:hAnsi="Times New Roman" w:cs="Times New Roman"/>
          <w:sz w:val="20"/>
          <w:szCs w:val="20"/>
        </w:rPr>
        <w:t>c</w:t>
      </w:r>
      <w:r w:rsidRPr="00254D57">
        <w:rPr>
          <w:rFonts w:ascii="Times New Roman" w:hAnsi="Times New Roman" w:cs="Times New Roman"/>
          <w:sz w:val="20"/>
          <w:szCs w:val="20"/>
        </w:rPr>
        <w:t>ontrol group exclude 1 outlier (</w:t>
      </w:r>
      <w:r>
        <w:rPr>
          <w:rFonts w:ascii="Times New Roman" w:hAnsi="Times New Roman" w:cs="Times New Roman"/>
          <w:sz w:val="20"/>
          <w:szCs w:val="20"/>
        </w:rPr>
        <w:t xml:space="preserve">animal </w:t>
      </w:r>
      <w:r w:rsidRPr="00254D57">
        <w:rPr>
          <w:rFonts w:ascii="Times New Roman" w:hAnsi="Times New Roman" w:cs="Times New Roman"/>
          <w:sz w:val="20"/>
          <w:szCs w:val="20"/>
        </w:rPr>
        <w:t xml:space="preserve">469). </w:t>
      </w:r>
    </w:p>
    <w:p w14:paraId="22FC2982" w14:textId="14556396" w:rsidR="00146564" w:rsidRDefault="00A70DB5" w:rsidP="00254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0DB5">
        <w:rPr>
          <w:rFonts w:ascii="Times New Roman" w:hAnsi="Times New Roman" w:cs="Times New Roman"/>
          <w:sz w:val="20"/>
          <w:szCs w:val="20"/>
        </w:rPr>
        <w:t>* P</w:t>
      </w:r>
      <w:r w:rsidR="00146564" w:rsidRPr="00A70DB5">
        <w:rPr>
          <w:rFonts w:ascii="Times New Roman" w:hAnsi="Times New Roman" w:cs="Times New Roman"/>
          <w:sz w:val="20"/>
          <w:szCs w:val="20"/>
        </w:rPr>
        <w:t>-values were calculated using a Student t-test comparison vs. control.</w:t>
      </w:r>
    </w:p>
    <w:p w14:paraId="5D95D6E1" w14:textId="2ADA24AB" w:rsidR="00254D57" w:rsidRPr="00A70DB5" w:rsidRDefault="00254D57" w:rsidP="00254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bold: statistically significant </w:t>
      </w:r>
      <w:r w:rsidR="00BA55FC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-values.</w:t>
      </w:r>
    </w:p>
    <w:sectPr w:rsidR="00254D57" w:rsidRPr="00A7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DB"/>
    <w:rsid w:val="00050CA5"/>
    <w:rsid w:val="001029F9"/>
    <w:rsid w:val="00133C50"/>
    <w:rsid w:val="00146564"/>
    <w:rsid w:val="001D1B91"/>
    <w:rsid w:val="00240F14"/>
    <w:rsid w:val="00244F09"/>
    <w:rsid w:val="00254D57"/>
    <w:rsid w:val="002F33D6"/>
    <w:rsid w:val="00361421"/>
    <w:rsid w:val="0048761F"/>
    <w:rsid w:val="00527ABC"/>
    <w:rsid w:val="00554BD8"/>
    <w:rsid w:val="00612BB8"/>
    <w:rsid w:val="0063693E"/>
    <w:rsid w:val="00652A25"/>
    <w:rsid w:val="00654A48"/>
    <w:rsid w:val="006947BE"/>
    <w:rsid w:val="0070263F"/>
    <w:rsid w:val="007216B6"/>
    <w:rsid w:val="007F76DB"/>
    <w:rsid w:val="00874E9E"/>
    <w:rsid w:val="00897110"/>
    <w:rsid w:val="008A7935"/>
    <w:rsid w:val="008D1C3D"/>
    <w:rsid w:val="00945798"/>
    <w:rsid w:val="00A70DB5"/>
    <w:rsid w:val="00B95048"/>
    <w:rsid w:val="00BA55FC"/>
    <w:rsid w:val="00BF50F7"/>
    <w:rsid w:val="00C32CC5"/>
    <w:rsid w:val="00C3603E"/>
    <w:rsid w:val="00C8336C"/>
    <w:rsid w:val="00CB3024"/>
    <w:rsid w:val="00E42B1D"/>
    <w:rsid w:val="00EB2398"/>
    <w:rsid w:val="00E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4287"/>
  <w15:chartTrackingRefBased/>
  <w15:docId w15:val="{3D65E2F0-AE1F-4C97-874E-1990151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4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B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Pellegrini</dc:creator>
  <cp:keywords/>
  <dc:description/>
  <cp:lastModifiedBy>Florence Paillard</cp:lastModifiedBy>
  <cp:revision>17</cp:revision>
  <dcterms:created xsi:type="dcterms:W3CDTF">2019-04-02T00:46:00Z</dcterms:created>
  <dcterms:modified xsi:type="dcterms:W3CDTF">2019-04-09T16:15:00Z</dcterms:modified>
</cp:coreProperties>
</file>