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9473" w14:textId="77777777" w:rsidR="001E6C22" w:rsidRPr="007C60F7" w:rsidRDefault="001E6C22" w:rsidP="001E6C22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C60F7">
        <w:rPr>
          <w:rFonts w:asciiTheme="minorHAnsi" w:hAnsiTheme="minorHAnsi" w:cstheme="minorHAnsi"/>
          <w:b/>
          <w:sz w:val="28"/>
          <w:szCs w:val="28"/>
          <w:lang w:val="en-US"/>
        </w:rPr>
        <w:t>Generation of IL-6 reporter mKATE2 mice</w:t>
      </w:r>
    </w:p>
    <w:p w14:paraId="7F5CEE98" w14:textId="77777777" w:rsidR="001E6C22" w:rsidRPr="007C60F7" w:rsidRDefault="001E6C22" w:rsidP="001E6C22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B3A2FDC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7C60F7">
        <w:rPr>
          <w:rFonts w:asciiTheme="minorHAnsi" w:hAnsiTheme="minorHAnsi" w:cstheme="minorHAnsi"/>
          <w:b/>
          <w:lang w:val="en-US"/>
        </w:rPr>
        <w:t>Targeting plan</w:t>
      </w:r>
    </w:p>
    <w:p w14:paraId="724AE176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3DB86434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A red fl</w:t>
      </w:r>
      <w:r w:rsidR="00D47CC7" w:rsidRPr="007C60F7">
        <w:rPr>
          <w:rFonts w:asciiTheme="minorHAnsi" w:hAnsiTheme="minorHAnsi" w:cstheme="minorHAnsi"/>
          <w:lang w:val="en-US"/>
        </w:rPr>
        <w:t>uorescent protein mKate2 was</w:t>
      </w:r>
      <w:r w:rsidRPr="007C60F7">
        <w:rPr>
          <w:rFonts w:asciiTheme="minorHAnsi" w:hAnsiTheme="minorHAnsi" w:cstheme="minorHAnsi"/>
          <w:lang w:val="en-US"/>
        </w:rPr>
        <w:t xml:space="preserve"> inserted into</w:t>
      </w:r>
      <w:r w:rsidR="00D47CC7" w:rsidRPr="007C60F7">
        <w:rPr>
          <w:rFonts w:asciiTheme="minorHAnsi" w:hAnsiTheme="minorHAnsi" w:cstheme="minorHAnsi"/>
          <w:lang w:val="en-US"/>
        </w:rPr>
        <w:t xml:space="preserve"> Il6 locus (Fig. S1), </w:t>
      </w:r>
      <w:r w:rsidRPr="007C60F7">
        <w:rPr>
          <w:rFonts w:asciiTheme="minorHAnsi" w:hAnsiTheme="minorHAnsi" w:cstheme="minorHAnsi"/>
          <w:lang w:val="en-US"/>
        </w:rPr>
        <w:t>exactly</w:t>
      </w:r>
    </w:p>
    <w:p w14:paraId="33FD023B" w14:textId="6D316A81" w:rsidR="001E6C22" w:rsidRPr="007C60F7" w:rsidRDefault="001E6C22" w:rsidP="001E6C22">
      <w:pPr>
        <w:rPr>
          <w:rFonts w:asciiTheme="minorHAnsi" w:hAnsiTheme="minorHAnsi" w:cstheme="minorHAnsi"/>
          <w:noProof/>
          <w:lang w:val="en-US"/>
        </w:rPr>
      </w:pPr>
      <w:r w:rsidRPr="007C60F7">
        <w:rPr>
          <w:rFonts w:asciiTheme="minorHAnsi" w:hAnsiTheme="minorHAnsi" w:cstheme="minorHAnsi"/>
          <w:lang w:val="en-US"/>
        </w:rPr>
        <w:t>located after translation start site, ATG.</w:t>
      </w:r>
      <w:r w:rsidRPr="007C60F7">
        <w:rPr>
          <w:rFonts w:asciiTheme="minorHAnsi" w:hAnsiTheme="minorHAnsi" w:cstheme="minorHAnsi"/>
          <w:noProof/>
          <w:lang w:val="en-US"/>
        </w:rPr>
        <w:t xml:space="preserve"> </w:t>
      </w:r>
    </w:p>
    <w:p w14:paraId="0C4B5672" w14:textId="7DACE746" w:rsidR="001E6C22" w:rsidRPr="007C60F7" w:rsidRDefault="001E6C22" w:rsidP="007F7CAF">
      <w:pPr>
        <w:jc w:val="center"/>
        <w:rPr>
          <w:rFonts w:asciiTheme="minorHAnsi" w:hAnsiTheme="minorHAnsi" w:cstheme="minorHAnsi"/>
          <w:noProof/>
          <w:lang w:val="en-US"/>
        </w:rPr>
      </w:pPr>
    </w:p>
    <w:p w14:paraId="1D47EB9A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b/>
          <w:lang w:val="en-US"/>
        </w:rPr>
        <w:t>Fig. S1.</w:t>
      </w:r>
      <w:r w:rsidRPr="007C60F7">
        <w:rPr>
          <w:rFonts w:asciiTheme="minorHAnsi" w:hAnsiTheme="minorHAnsi" w:cstheme="minorHAnsi"/>
          <w:lang w:val="en-US"/>
        </w:rPr>
        <w:t xml:space="preserve"> Il6 mKate2 report mice targeting strategy: A red fluorescent protein mKate2 was</w:t>
      </w:r>
    </w:p>
    <w:p w14:paraId="6B262C43" w14:textId="77777777" w:rsidR="001E6C22" w:rsidRPr="007C60F7" w:rsidRDefault="001E6C22" w:rsidP="001E6C22">
      <w:pPr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inserted into Il6 locus, and it is directly after translation start site, ATG.</w:t>
      </w:r>
    </w:p>
    <w:p w14:paraId="327D04D2" w14:textId="77777777" w:rsidR="001E6C22" w:rsidRPr="007C60F7" w:rsidRDefault="001E6C22" w:rsidP="001E6C22">
      <w:pPr>
        <w:rPr>
          <w:rFonts w:asciiTheme="minorHAnsi" w:hAnsiTheme="minorHAnsi" w:cstheme="minorHAnsi"/>
          <w:lang w:val="en-US"/>
        </w:rPr>
      </w:pPr>
    </w:p>
    <w:p w14:paraId="012EB726" w14:textId="77777777" w:rsidR="001E6C22" w:rsidRPr="007C60F7" w:rsidRDefault="001E6C22" w:rsidP="001E6C22">
      <w:pPr>
        <w:rPr>
          <w:rFonts w:asciiTheme="minorHAnsi" w:hAnsiTheme="minorHAnsi" w:cstheme="minorHAnsi"/>
          <w:b/>
          <w:lang w:val="en-US"/>
        </w:rPr>
      </w:pPr>
      <w:r w:rsidRPr="007C60F7">
        <w:rPr>
          <w:rFonts w:asciiTheme="minorHAnsi" w:hAnsiTheme="minorHAnsi" w:cstheme="minorHAnsi"/>
          <w:b/>
          <w:lang w:val="en-US"/>
        </w:rPr>
        <w:t>Targeting construct</w:t>
      </w:r>
    </w:p>
    <w:p w14:paraId="7834CB86" w14:textId="77777777" w:rsidR="001E6C22" w:rsidRPr="007C60F7" w:rsidRDefault="001E6C22" w:rsidP="001E6C22">
      <w:pPr>
        <w:rPr>
          <w:rFonts w:asciiTheme="minorHAnsi" w:hAnsiTheme="minorHAnsi" w:cstheme="minorHAnsi"/>
          <w:lang w:val="en-US"/>
        </w:rPr>
      </w:pPr>
    </w:p>
    <w:p w14:paraId="1C70BFA8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BAC clones (RP23-121M2 and RP24-172N24) containing mouse Il6 gene were obtained</w:t>
      </w:r>
    </w:p>
    <w:p w14:paraId="2C75454F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from BACPAC Resources Center (Children's Hospital Oakland Research Institute,</w:t>
      </w:r>
    </w:p>
    <w:p w14:paraId="29F0A0CC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 xml:space="preserve">Oakland (CHORI), California, USA). A 7550 </w:t>
      </w:r>
      <w:proofErr w:type="spellStart"/>
      <w:r w:rsidRPr="007C60F7">
        <w:rPr>
          <w:rFonts w:asciiTheme="minorHAnsi" w:hAnsiTheme="minorHAnsi" w:cstheme="minorHAnsi"/>
          <w:lang w:val="en-US"/>
        </w:rPr>
        <w:t>bp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fragment of Il6 gene containing exons 1,</w:t>
      </w:r>
    </w:p>
    <w:p w14:paraId="0F557553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 xml:space="preserve">2 and 3 was </w:t>
      </w:r>
      <w:proofErr w:type="spellStart"/>
      <w:r w:rsidRPr="007C60F7">
        <w:rPr>
          <w:rFonts w:asciiTheme="minorHAnsi" w:hAnsiTheme="minorHAnsi" w:cstheme="minorHAnsi"/>
          <w:lang w:val="en-US"/>
        </w:rPr>
        <w:t>subcloned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into the minimal vector, pACYC177 (New England Biolabs, MA,</w:t>
      </w:r>
    </w:p>
    <w:p w14:paraId="5C82A201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USA) by Red/ET recombination method according to the manufacturer’s instructions</w:t>
      </w:r>
    </w:p>
    <w:p w14:paraId="1A8DEAB0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 xml:space="preserve">(Gene Bridges GmbH, Germany). PCR product used in </w:t>
      </w:r>
      <w:proofErr w:type="spellStart"/>
      <w:r w:rsidRPr="007C60F7">
        <w:rPr>
          <w:rFonts w:asciiTheme="minorHAnsi" w:hAnsiTheme="minorHAnsi" w:cstheme="minorHAnsi"/>
          <w:lang w:val="en-US"/>
        </w:rPr>
        <w:t>subcloning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was amplified from</w:t>
      </w:r>
    </w:p>
    <w:p w14:paraId="5171321C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 xml:space="preserve">pACYC177 plasmid using the primers </w:t>
      </w:r>
    </w:p>
    <w:p w14:paraId="7E9C43A5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(A) 5’-CTCAGTTGGCACTGAATATACAGAATGACACTGCACCTTCACACGTGCAG</w:t>
      </w:r>
    </w:p>
    <w:p w14:paraId="4BDC0B39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GCAGACCTCAGCGCTAG -3’and (B) 5’- GTACATGAAGAACAACTTAAAAGATA</w:t>
      </w:r>
    </w:p>
    <w:p w14:paraId="53A77454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 xml:space="preserve">ACAAGAAAGACAAAGCCAGAGTCTGAAGACGAAAGGGCCTC -3’ where homology arms to 5’ flanking region of exon 1 (primer A) and 3’ untranslated region (primer B) of the Il6 gene are indicated in bold, and PCR primers for an ampicillin resistance (amp) gene and </w:t>
      </w:r>
      <w:proofErr w:type="spellStart"/>
      <w:r w:rsidRPr="007C60F7">
        <w:rPr>
          <w:rFonts w:asciiTheme="minorHAnsi" w:hAnsiTheme="minorHAnsi" w:cstheme="minorHAnsi"/>
          <w:lang w:val="en-US"/>
        </w:rPr>
        <w:t>ori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in pACYC177-plasmid are in italics. A mammalian expression vector encoding for red fluorescent protein mKate2, pmKate2-N vector was purchased from </w:t>
      </w:r>
      <w:proofErr w:type="spellStart"/>
      <w:r w:rsidRPr="007C60F7">
        <w:rPr>
          <w:rFonts w:asciiTheme="minorHAnsi" w:hAnsiTheme="minorHAnsi" w:cstheme="minorHAnsi"/>
          <w:lang w:val="en-US"/>
        </w:rPr>
        <w:t>Evrogen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7C60F7">
        <w:rPr>
          <w:rFonts w:asciiTheme="minorHAnsi" w:hAnsiTheme="minorHAnsi" w:cstheme="minorHAnsi"/>
          <w:lang w:val="en-US"/>
        </w:rPr>
        <w:t>Evrogen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JSC, Moscow, Russia). Neo resistant gene flanked with two </w:t>
      </w:r>
      <w:proofErr w:type="spellStart"/>
      <w:r w:rsidRPr="007C60F7">
        <w:rPr>
          <w:rFonts w:asciiTheme="minorHAnsi" w:hAnsiTheme="minorHAnsi" w:cstheme="minorHAnsi"/>
          <w:lang w:val="en-US"/>
        </w:rPr>
        <w:t>loxP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sites (</w:t>
      </w:r>
      <w:proofErr w:type="spellStart"/>
      <w:r w:rsidRPr="007C60F7">
        <w:rPr>
          <w:rFonts w:asciiTheme="minorHAnsi" w:hAnsiTheme="minorHAnsi" w:cstheme="minorHAnsi"/>
          <w:lang w:val="en-US"/>
        </w:rPr>
        <w:t>loxP</w:t>
      </w:r>
      <w:proofErr w:type="spellEnd"/>
      <w:r w:rsidRPr="007C60F7">
        <w:rPr>
          <w:rFonts w:asciiTheme="minorHAnsi" w:hAnsiTheme="minorHAnsi" w:cstheme="minorHAnsi"/>
          <w:lang w:val="en-US"/>
        </w:rPr>
        <w:t>-PGK-Neo-</w:t>
      </w:r>
      <w:proofErr w:type="spellStart"/>
      <w:r w:rsidRPr="007C60F7">
        <w:rPr>
          <w:rFonts w:asciiTheme="minorHAnsi" w:hAnsiTheme="minorHAnsi" w:cstheme="minorHAnsi"/>
          <w:lang w:val="en-US"/>
        </w:rPr>
        <w:t>loxP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cassette, Gene Bridges) was introduced into pmKate2-N vector with In-Fusion</w:t>
      </w:r>
      <w:r w:rsidRPr="007C60F7">
        <w:rPr>
          <w:rFonts w:asciiTheme="minorHAnsi" w:hAnsiTheme="minorHAnsi" w:cstheme="minorHAnsi"/>
          <w:sz w:val="16"/>
          <w:szCs w:val="16"/>
          <w:lang w:val="en-US"/>
        </w:rPr>
        <w:t xml:space="preserve">® </w:t>
      </w:r>
      <w:r w:rsidRPr="007C60F7">
        <w:rPr>
          <w:rFonts w:asciiTheme="minorHAnsi" w:hAnsiTheme="minorHAnsi" w:cstheme="minorHAnsi"/>
          <w:lang w:val="en-US"/>
        </w:rPr>
        <w:t>HD cloning kit (</w:t>
      </w:r>
      <w:proofErr w:type="spellStart"/>
      <w:r w:rsidRPr="007C60F7">
        <w:rPr>
          <w:rFonts w:asciiTheme="minorHAnsi" w:hAnsiTheme="minorHAnsi" w:cstheme="minorHAnsi"/>
          <w:lang w:val="en-US"/>
        </w:rPr>
        <w:t>Clontech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, CA, USA) according to the manufacturer’s instructions. Finally, the replacement of partial exon 1, exons 2 and 3 and intron 1 and 2 of Il6 gene with mKate2 and Neo cassette containing 50 </w:t>
      </w:r>
      <w:proofErr w:type="spellStart"/>
      <w:r w:rsidRPr="007C60F7">
        <w:rPr>
          <w:rFonts w:asciiTheme="minorHAnsi" w:hAnsiTheme="minorHAnsi" w:cstheme="minorHAnsi"/>
          <w:lang w:val="en-US"/>
        </w:rPr>
        <w:t>bp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Il6 homology arms amplified by PCR was carried out by Red/ET recombination method. Primers were (C) </w:t>
      </w:r>
    </w:p>
    <w:p w14:paraId="5A26A690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5’- GTAGCTCATTCTGCTCTGGAGCCCACCAAGAACGATAG</w:t>
      </w:r>
    </w:p>
    <w:p w14:paraId="17D0B94F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TCAATTCCAGAAACCGCTATGGTGAGCGAGCTGATTAAGG and (D) 5’-</w:t>
      </w:r>
    </w:p>
    <w:p w14:paraId="3D61BAC1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ATAGCACTGGTTGGTAAACTTTCCCTCACCCTAGCAGCTGCTGAGGTACC</w:t>
      </w:r>
    </w:p>
    <w:p w14:paraId="69465AA6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GCGGATTTGTCCTACTCAGG -3’ where homology arms to the Il6 gene are indicated in</w:t>
      </w:r>
    </w:p>
    <w:p w14:paraId="4B1078A8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bold and PCR primers for mKate2 and Neo cassette are shown in italics. Validity of final</w:t>
      </w:r>
    </w:p>
    <w:p w14:paraId="51F1A384" w14:textId="77777777" w:rsidR="001E6C22" w:rsidRPr="007C60F7" w:rsidRDefault="001E6C22" w:rsidP="001E6C22">
      <w:pPr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targeting construct was confirmed by restriction enzyme digestion and sequencing.</w:t>
      </w:r>
    </w:p>
    <w:p w14:paraId="3E1ADAAA" w14:textId="77777777" w:rsidR="001E6C22" w:rsidRPr="007C60F7" w:rsidRDefault="001E6C22" w:rsidP="001E6C22">
      <w:pPr>
        <w:rPr>
          <w:rFonts w:asciiTheme="minorHAnsi" w:hAnsiTheme="minorHAnsi" w:cstheme="minorHAnsi"/>
          <w:lang w:val="en-US"/>
        </w:rPr>
      </w:pPr>
    </w:p>
    <w:p w14:paraId="27439230" w14:textId="77777777" w:rsidR="001E6C22" w:rsidRPr="007C60F7" w:rsidRDefault="001E6C22" w:rsidP="001E6C22">
      <w:pPr>
        <w:rPr>
          <w:rFonts w:asciiTheme="minorHAnsi" w:hAnsiTheme="minorHAnsi" w:cstheme="minorHAnsi"/>
          <w:b/>
          <w:lang w:val="en-US"/>
        </w:rPr>
      </w:pPr>
      <w:r w:rsidRPr="007C60F7">
        <w:rPr>
          <w:rFonts w:asciiTheme="minorHAnsi" w:hAnsiTheme="minorHAnsi" w:cstheme="minorHAnsi"/>
          <w:b/>
          <w:lang w:val="en-US"/>
        </w:rPr>
        <w:t>Gene targeting in ES cells</w:t>
      </w:r>
    </w:p>
    <w:p w14:paraId="664BFA86" w14:textId="77777777" w:rsidR="001E6C22" w:rsidRPr="007C60F7" w:rsidRDefault="001E6C22" w:rsidP="001E6C22">
      <w:pPr>
        <w:rPr>
          <w:rFonts w:asciiTheme="minorHAnsi" w:hAnsiTheme="minorHAnsi" w:cstheme="minorHAnsi"/>
          <w:b/>
          <w:lang w:val="en-US"/>
        </w:rPr>
      </w:pPr>
    </w:p>
    <w:p w14:paraId="0BD6E4A3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G4 embryonic stem cells (derived from mouse 129S6/C57BL/6Ncr) were cultured on</w:t>
      </w:r>
    </w:p>
    <w:p w14:paraId="4E0E01A7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neomycin-resistant primary embryonic fibroblast feeder layers, and 10</w:t>
      </w:r>
      <w:r w:rsidRPr="007C60F7">
        <w:rPr>
          <w:rFonts w:asciiTheme="minorHAnsi" w:hAnsiTheme="minorHAnsi" w:cstheme="minorHAnsi"/>
          <w:vertAlign w:val="superscript"/>
          <w:lang w:val="en-US"/>
        </w:rPr>
        <w:t>6</w:t>
      </w:r>
      <w:r w:rsidRPr="007C60F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7C60F7">
        <w:rPr>
          <w:rFonts w:asciiTheme="minorHAnsi" w:hAnsiTheme="minorHAnsi" w:cstheme="minorHAnsi"/>
          <w:lang w:val="en-US"/>
        </w:rPr>
        <w:t>cells were</w:t>
      </w:r>
    </w:p>
    <w:p w14:paraId="0A62459A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 xml:space="preserve">electroporated with 30 </w:t>
      </w:r>
      <w:proofErr w:type="spellStart"/>
      <w:r w:rsidRPr="007C60F7">
        <w:rPr>
          <w:rFonts w:asciiTheme="minorHAnsi" w:hAnsiTheme="minorHAnsi" w:cstheme="minorHAnsi"/>
          <w:lang w:val="en-US"/>
        </w:rPr>
        <w:t>ug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of linearized targeting construct. After electroporation, the cells</w:t>
      </w:r>
    </w:p>
    <w:p w14:paraId="7714E7EE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 xml:space="preserve">were plated on 100-mm culture dishes and exposed to G418 (300 </w:t>
      </w:r>
      <w:proofErr w:type="spellStart"/>
      <w:r w:rsidRPr="007C60F7">
        <w:rPr>
          <w:rFonts w:asciiTheme="minorHAnsi" w:hAnsiTheme="minorHAnsi" w:cstheme="minorHAnsi"/>
          <w:lang w:val="en-US"/>
        </w:rPr>
        <w:t>ug</w:t>
      </w:r>
      <w:proofErr w:type="spellEnd"/>
      <w:r w:rsidRPr="007C60F7">
        <w:rPr>
          <w:rFonts w:asciiTheme="minorHAnsi" w:hAnsiTheme="minorHAnsi" w:cstheme="minorHAnsi"/>
          <w:lang w:val="en-US"/>
        </w:rPr>
        <w:t>/ml; Sigma). Colonies</w:t>
      </w:r>
    </w:p>
    <w:p w14:paraId="78127E22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(192) were picked up after 7-9 days selection and grown on 96-well plate. In order to</w:t>
      </w:r>
    </w:p>
    <w:p w14:paraId="787DD51C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delete Neo cassette in the targeted ES cells, and targeted ES cells were re-electroporated</w:t>
      </w:r>
    </w:p>
    <w:p w14:paraId="0E658FA2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lastRenderedPageBreak/>
        <w:t xml:space="preserve">with plasmid, </w:t>
      </w:r>
      <w:proofErr w:type="spellStart"/>
      <w:r w:rsidRPr="007C60F7">
        <w:rPr>
          <w:rFonts w:asciiTheme="minorHAnsi" w:hAnsiTheme="minorHAnsi" w:cstheme="minorHAnsi"/>
          <w:lang w:val="en-US"/>
        </w:rPr>
        <w:t>pCAGGS-Cre</w:t>
      </w:r>
      <w:proofErr w:type="spellEnd"/>
      <w:r w:rsidRPr="007C60F7">
        <w:rPr>
          <w:rFonts w:asciiTheme="minorHAnsi" w:hAnsiTheme="minorHAnsi" w:cstheme="minorHAnsi"/>
          <w:lang w:val="en-US"/>
        </w:rPr>
        <w:t>. After electroporation, the cells were plated on 100-mm</w:t>
      </w:r>
    </w:p>
    <w:p w14:paraId="6943E216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culture dishes and colonies were picked up after 3-5 days growth, and grown on 96-well</w:t>
      </w:r>
    </w:p>
    <w:p w14:paraId="6C455495" w14:textId="77777777" w:rsidR="001E6C22" w:rsidRPr="007C60F7" w:rsidRDefault="001E6C22" w:rsidP="001E6C22">
      <w:pPr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plate.</w:t>
      </w:r>
    </w:p>
    <w:p w14:paraId="3ACADC3A" w14:textId="77777777" w:rsidR="001E6C22" w:rsidRPr="007C60F7" w:rsidRDefault="001E6C22" w:rsidP="001E6C22">
      <w:pPr>
        <w:rPr>
          <w:rFonts w:asciiTheme="minorHAnsi" w:hAnsiTheme="minorHAnsi" w:cstheme="minorHAnsi"/>
          <w:lang w:val="en-US"/>
        </w:rPr>
      </w:pPr>
    </w:p>
    <w:p w14:paraId="136F7FE7" w14:textId="77777777" w:rsidR="001E6C22" w:rsidRPr="007C60F7" w:rsidRDefault="001E6C22" w:rsidP="001E6C22">
      <w:pPr>
        <w:rPr>
          <w:rFonts w:asciiTheme="minorHAnsi" w:hAnsiTheme="minorHAnsi" w:cstheme="minorHAnsi"/>
          <w:b/>
          <w:lang w:val="en-US"/>
        </w:rPr>
      </w:pPr>
      <w:r w:rsidRPr="007C60F7">
        <w:rPr>
          <w:rFonts w:asciiTheme="minorHAnsi" w:hAnsiTheme="minorHAnsi" w:cstheme="minorHAnsi"/>
          <w:b/>
          <w:lang w:val="en-US"/>
        </w:rPr>
        <w:t>Screening of targeted ES clones</w:t>
      </w:r>
    </w:p>
    <w:p w14:paraId="378A8ACC" w14:textId="77777777" w:rsidR="001E6C22" w:rsidRPr="007C60F7" w:rsidRDefault="001E6C22" w:rsidP="001E6C22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8FB91B2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DNA isolated from ES cell clones was screened by long-range (LR) - PCR for both 5’ and</w:t>
      </w:r>
    </w:p>
    <w:p w14:paraId="46112E7C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 xml:space="preserve">3’ homologous arms. PCR products with 5’ homologous arm, 3054 </w:t>
      </w:r>
      <w:proofErr w:type="spellStart"/>
      <w:r w:rsidRPr="007C60F7">
        <w:rPr>
          <w:rFonts w:asciiTheme="minorHAnsi" w:hAnsiTheme="minorHAnsi" w:cstheme="minorHAnsi"/>
          <w:lang w:val="en-US"/>
        </w:rPr>
        <w:t>bp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fragment was</w:t>
      </w:r>
    </w:p>
    <w:p w14:paraId="1C311634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generated with a primer pair corresponding to 5’ flanking region of 5’ homologous arm</w:t>
      </w:r>
    </w:p>
    <w:p w14:paraId="222D837D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 xml:space="preserve">(IL65HaUF1: TAGTAGAAGCTCAAGCTCTGGG) and to mKate2 gene (mKate2AntiSense2: GGTGTGGTTGATGAAGGTTT), and PCR product with 3 homologous arm, 3731 </w:t>
      </w:r>
      <w:proofErr w:type="spellStart"/>
      <w:r w:rsidRPr="007C60F7">
        <w:rPr>
          <w:rFonts w:asciiTheme="minorHAnsi" w:hAnsiTheme="minorHAnsi" w:cstheme="minorHAnsi"/>
          <w:lang w:val="en-US"/>
        </w:rPr>
        <w:t>bp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fragment was generated with primer pair corresponding to Neo gene (Neogenese1: CCTCGTGCTTTACGGTATCG), and 3’ flanking region of 3’ homologous arm (IL63HaDR2: GCTCTCATAATGGGTGACTATG).</w:t>
      </w:r>
    </w:p>
    <w:p w14:paraId="471A0789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C9FE44B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Total 192 clones were picked up and screened by LR-PCR. Two clones contained both 5’</w:t>
      </w:r>
    </w:p>
    <w:p w14:paraId="2D05DCB3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C60F7">
        <w:rPr>
          <w:rFonts w:asciiTheme="minorHAnsi" w:hAnsiTheme="minorHAnsi" w:cstheme="minorHAnsi"/>
          <w:lang w:val="en-US"/>
        </w:rPr>
        <w:t xml:space="preserve">and 3’ homologous arm, 3054, and 3731 </w:t>
      </w:r>
      <w:proofErr w:type="spellStart"/>
      <w:r w:rsidRPr="007C60F7">
        <w:rPr>
          <w:rFonts w:asciiTheme="minorHAnsi" w:hAnsiTheme="minorHAnsi" w:cstheme="minorHAnsi"/>
          <w:lang w:val="en-US"/>
        </w:rPr>
        <w:t>bp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fragments in PCR analysis (Fig. </w:t>
      </w:r>
      <w:r w:rsidRPr="007C60F7">
        <w:rPr>
          <w:rFonts w:asciiTheme="minorHAnsi" w:hAnsiTheme="minorHAnsi" w:cstheme="minorHAnsi"/>
        </w:rPr>
        <w:t xml:space="preserve">S2). </w:t>
      </w:r>
      <w:proofErr w:type="spellStart"/>
      <w:r w:rsidRPr="007C60F7">
        <w:rPr>
          <w:rFonts w:asciiTheme="minorHAnsi" w:hAnsiTheme="minorHAnsi" w:cstheme="minorHAnsi"/>
        </w:rPr>
        <w:t>Correct</w:t>
      </w:r>
      <w:proofErr w:type="spellEnd"/>
    </w:p>
    <w:p w14:paraId="54F0957E" w14:textId="77777777" w:rsidR="001E6C22" w:rsidRPr="007C60F7" w:rsidRDefault="001E6C22" w:rsidP="001E6C22">
      <w:pPr>
        <w:rPr>
          <w:rFonts w:asciiTheme="minorHAnsi" w:hAnsiTheme="minorHAnsi" w:cstheme="minorHAnsi"/>
        </w:rPr>
      </w:pPr>
      <w:r w:rsidRPr="007C60F7">
        <w:rPr>
          <w:rFonts w:asciiTheme="minorHAnsi" w:hAnsiTheme="minorHAnsi" w:cstheme="minorHAnsi"/>
        </w:rPr>
        <w:t xml:space="preserve">PCR </w:t>
      </w:r>
      <w:proofErr w:type="spellStart"/>
      <w:r w:rsidRPr="007C60F7">
        <w:rPr>
          <w:rFonts w:asciiTheme="minorHAnsi" w:hAnsiTheme="minorHAnsi" w:cstheme="minorHAnsi"/>
        </w:rPr>
        <w:t>products</w:t>
      </w:r>
      <w:proofErr w:type="spellEnd"/>
      <w:r w:rsidRPr="007C60F7">
        <w:rPr>
          <w:rFonts w:asciiTheme="minorHAnsi" w:hAnsiTheme="minorHAnsi" w:cstheme="minorHAnsi"/>
        </w:rPr>
        <w:t xml:space="preserve"> </w:t>
      </w:r>
      <w:proofErr w:type="spellStart"/>
      <w:r w:rsidRPr="007C60F7">
        <w:rPr>
          <w:rFonts w:asciiTheme="minorHAnsi" w:hAnsiTheme="minorHAnsi" w:cstheme="minorHAnsi"/>
        </w:rPr>
        <w:t>were</w:t>
      </w:r>
      <w:proofErr w:type="spellEnd"/>
      <w:r w:rsidRPr="007C60F7">
        <w:rPr>
          <w:rFonts w:asciiTheme="minorHAnsi" w:hAnsiTheme="minorHAnsi" w:cstheme="minorHAnsi"/>
        </w:rPr>
        <w:t xml:space="preserve"> </w:t>
      </w:r>
      <w:proofErr w:type="spellStart"/>
      <w:r w:rsidRPr="007C60F7">
        <w:rPr>
          <w:rFonts w:asciiTheme="minorHAnsi" w:hAnsiTheme="minorHAnsi" w:cstheme="minorHAnsi"/>
        </w:rPr>
        <w:t>verified</w:t>
      </w:r>
      <w:proofErr w:type="spellEnd"/>
      <w:r w:rsidRPr="007C60F7">
        <w:rPr>
          <w:rFonts w:asciiTheme="minorHAnsi" w:hAnsiTheme="minorHAnsi" w:cstheme="minorHAnsi"/>
        </w:rPr>
        <w:t xml:space="preserve"> by </w:t>
      </w:r>
      <w:proofErr w:type="spellStart"/>
      <w:r w:rsidRPr="007C60F7">
        <w:rPr>
          <w:rFonts w:asciiTheme="minorHAnsi" w:hAnsiTheme="minorHAnsi" w:cstheme="minorHAnsi"/>
        </w:rPr>
        <w:t>sequencing</w:t>
      </w:r>
      <w:proofErr w:type="spellEnd"/>
      <w:r w:rsidRPr="007C60F7">
        <w:rPr>
          <w:rFonts w:asciiTheme="minorHAnsi" w:hAnsiTheme="minorHAnsi" w:cstheme="minorHAnsi"/>
        </w:rPr>
        <w:t>.</w:t>
      </w:r>
    </w:p>
    <w:p w14:paraId="48DD8ED0" w14:textId="77777777" w:rsidR="001E6C22" w:rsidRPr="007C60F7" w:rsidRDefault="001E6C22" w:rsidP="001E6C22">
      <w:pPr>
        <w:rPr>
          <w:rFonts w:asciiTheme="minorHAnsi" w:hAnsiTheme="minorHAnsi" w:cstheme="minorHAnsi"/>
          <w:sz w:val="28"/>
          <w:szCs w:val="28"/>
        </w:rPr>
      </w:pPr>
    </w:p>
    <w:p w14:paraId="76BC9255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b/>
          <w:lang w:val="en-US"/>
        </w:rPr>
        <w:t>Fig. S2.</w:t>
      </w:r>
      <w:r w:rsidRPr="007C60F7">
        <w:rPr>
          <w:rFonts w:asciiTheme="minorHAnsi" w:hAnsiTheme="minorHAnsi" w:cstheme="minorHAnsi"/>
          <w:lang w:val="en-US"/>
        </w:rPr>
        <w:t xml:space="preserve"> Representative positive ES clone was found to contain homologous recombination of Il6 by LR-PCR screening using the primer pairs, Il6Arm5UF1 and mKate2Antisense2, Neogenese1 and Il6Arm3DR2.</w:t>
      </w:r>
    </w:p>
    <w:p w14:paraId="3B46BFBD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4368F0D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 xml:space="preserve">In order to detect targeted ES clones with Neo deletion after </w:t>
      </w:r>
      <w:proofErr w:type="spellStart"/>
      <w:r w:rsidRPr="007C60F7">
        <w:rPr>
          <w:rFonts w:asciiTheme="minorHAnsi" w:hAnsiTheme="minorHAnsi" w:cstheme="minorHAnsi"/>
          <w:lang w:val="en-US"/>
        </w:rPr>
        <w:t>Cre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recombination, DNA</w:t>
      </w:r>
    </w:p>
    <w:p w14:paraId="5C1AB3F2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 xml:space="preserve">isolated from ES cells re-electroporated with plasmid, </w:t>
      </w:r>
      <w:proofErr w:type="spellStart"/>
      <w:r w:rsidRPr="007C60F7">
        <w:rPr>
          <w:rFonts w:asciiTheme="minorHAnsi" w:hAnsiTheme="minorHAnsi" w:cstheme="minorHAnsi"/>
          <w:lang w:val="en-US"/>
        </w:rPr>
        <w:t>pCAGGS-Cre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were screened by</w:t>
      </w:r>
    </w:p>
    <w:p w14:paraId="07763D09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PCR with several different primer pairs. Several correct clones were found from 48 clones.</w:t>
      </w:r>
    </w:p>
    <w:p w14:paraId="5E1027E2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The right clones were further confirmed by sequencing.</w:t>
      </w:r>
    </w:p>
    <w:p w14:paraId="2CD6E9FC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BDB3D11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7C60F7">
        <w:rPr>
          <w:rFonts w:asciiTheme="minorHAnsi" w:hAnsiTheme="minorHAnsi" w:cstheme="minorHAnsi"/>
          <w:b/>
          <w:lang w:val="en-US"/>
        </w:rPr>
        <w:t>Blastocyst injection</w:t>
      </w:r>
    </w:p>
    <w:p w14:paraId="34C28AD2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654655E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The targeted ES cells with Neo deletion were injected into C57BL/N6 mouse blastocysts to</w:t>
      </w:r>
    </w:p>
    <w:p w14:paraId="0EC1A124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generate chimeric mice. Germline transmission was achieved by cross-breeding male</w:t>
      </w:r>
    </w:p>
    <w:p w14:paraId="354F9B53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chimeras with C57BL/N6 females. C57BL/6N mice used as blastocyst donors were</w:t>
      </w:r>
    </w:p>
    <w:p w14:paraId="4A06904D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obtained from Charles River Laboratories (</w:t>
      </w:r>
      <w:proofErr w:type="spellStart"/>
      <w:r w:rsidRPr="007C60F7">
        <w:rPr>
          <w:rFonts w:asciiTheme="minorHAnsi" w:hAnsiTheme="minorHAnsi" w:cstheme="minorHAnsi"/>
          <w:lang w:val="en-US"/>
        </w:rPr>
        <w:t>Willmington</w:t>
      </w:r>
      <w:proofErr w:type="spellEnd"/>
      <w:r w:rsidRPr="007C60F7">
        <w:rPr>
          <w:rFonts w:asciiTheme="minorHAnsi" w:hAnsiTheme="minorHAnsi" w:cstheme="minorHAnsi"/>
          <w:lang w:val="en-US"/>
        </w:rPr>
        <w:t>, MA). The mice were maintained</w:t>
      </w:r>
    </w:p>
    <w:p w14:paraId="78DAA8F2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in a specific pathogen free stage at Central Animal Laboratory at the University of Turku.</w:t>
      </w:r>
    </w:p>
    <w:p w14:paraId="779036FC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All studies carried out with the mice were approved by The Finnish ethical committee for experimental animals, complying with international guidelines on the care and use of</w:t>
      </w:r>
    </w:p>
    <w:p w14:paraId="729A511D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laboratory animals.</w:t>
      </w:r>
    </w:p>
    <w:p w14:paraId="2526B136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86918D7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7C60F7">
        <w:rPr>
          <w:rFonts w:asciiTheme="minorHAnsi" w:hAnsiTheme="minorHAnsi" w:cstheme="minorHAnsi"/>
          <w:b/>
          <w:lang w:val="en-US"/>
        </w:rPr>
        <w:t>DNA extraction and genotyping</w:t>
      </w:r>
    </w:p>
    <w:p w14:paraId="52EAE119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7CA52A1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Genotyping of the mice was carried out with DNA extracted from the ear marks of 2-</w:t>
      </w:r>
    </w:p>
    <w:p w14:paraId="47D09619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t>week-old mice. Genotyping was performed as follows:</w:t>
      </w:r>
    </w:p>
    <w:p w14:paraId="281B0BFC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0A7804A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sz w:val="27"/>
          <w:szCs w:val="27"/>
          <w:lang w:val="en-US"/>
        </w:rPr>
      </w:pPr>
    </w:p>
    <w:p w14:paraId="24F16423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sz w:val="27"/>
          <w:szCs w:val="27"/>
          <w:lang w:val="en-US"/>
        </w:rPr>
      </w:pPr>
    </w:p>
    <w:p w14:paraId="5B9B509B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sz w:val="27"/>
          <w:szCs w:val="27"/>
          <w:lang w:val="en-US"/>
        </w:rPr>
      </w:pPr>
    </w:p>
    <w:p w14:paraId="7070257E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sz w:val="27"/>
          <w:szCs w:val="27"/>
          <w:lang w:val="en-US"/>
        </w:rPr>
      </w:pPr>
    </w:p>
    <w:p w14:paraId="195B5527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sz w:val="27"/>
          <w:szCs w:val="27"/>
          <w:lang w:val="en-US"/>
        </w:rPr>
      </w:pPr>
    </w:p>
    <w:p w14:paraId="5FDE6EBD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sz w:val="27"/>
          <w:szCs w:val="27"/>
          <w:lang w:val="en-US"/>
        </w:rPr>
      </w:pPr>
    </w:p>
    <w:p w14:paraId="734B43FD" w14:textId="56FBE1D9" w:rsidR="001E6C22" w:rsidRPr="007C60F7" w:rsidRDefault="00EB7B52" w:rsidP="001E6C2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b/>
          <w:lang w:val="en-US"/>
        </w:rPr>
        <w:t>Table S1.</w:t>
      </w:r>
      <w:r w:rsidRPr="007C60F7">
        <w:rPr>
          <w:rFonts w:asciiTheme="minorHAnsi" w:hAnsiTheme="minorHAnsi" w:cstheme="minorHAnsi"/>
          <w:lang w:val="en-US"/>
        </w:rPr>
        <w:t xml:space="preserve"> </w:t>
      </w:r>
      <w:r w:rsidR="001E6C22" w:rsidRPr="007C60F7">
        <w:rPr>
          <w:rFonts w:asciiTheme="minorHAnsi" w:hAnsiTheme="minorHAnsi" w:cstheme="minorHAnsi"/>
          <w:lang w:val="en-US"/>
        </w:rPr>
        <w:t>Genotype Protocol of Il6-mKate KI Mice (TUKO62) (TCDM, ZHANG FP)</w:t>
      </w:r>
    </w:p>
    <w:p w14:paraId="297C405D" w14:textId="77777777" w:rsidR="001E6C22" w:rsidRPr="007C60F7" w:rsidRDefault="001E6C22" w:rsidP="001E6C22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</w:p>
    <w:p w14:paraId="66C2C970" w14:textId="53B4EF8D" w:rsidR="006936AA" w:rsidRPr="007C60F7" w:rsidRDefault="006936AA" w:rsidP="001E6C2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b/>
          <w:sz w:val="23"/>
          <w:szCs w:val="23"/>
          <w:lang w:val="en-US"/>
        </w:rPr>
        <w:t>Combined RNA Scope and immunohistochemistry</w:t>
      </w:r>
    </w:p>
    <w:p w14:paraId="5F56D148" w14:textId="20A7A7ED" w:rsidR="006936AA" w:rsidRPr="007C60F7" w:rsidRDefault="006936AA" w:rsidP="001E6C2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lang w:val="en-US"/>
        </w:rPr>
      </w:pPr>
    </w:p>
    <w:p w14:paraId="5AE1F0BC" w14:textId="7EF8C823" w:rsidR="006936AA" w:rsidRPr="007C60F7" w:rsidRDefault="006936AA" w:rsidP="001E6C22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In-situ hybridization (RNA Scope) was performed as described in Materials and Methods</w:t>
      </w:r>
      <w:r w:rsidR="009F1E30"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 with the following changes: The mouse IL-6 mRNA probe (Mm-Il6 315891), positive- (Mm-</w:t>
      </w:r>
      <w:proofErr w:type="spellStart"/>
      <w:r w:rsidR="009F1E30" w:rsidRPr="007C60F7">
        <w:rPr>
          <w:rFonts w:asciiTheme="minorHAnsi" w:hAnsiTheme="minorHAnsi" w:cstheme="minorHAnsi"/>
          <w:sz w:val="23"/>
          <w:szCs w:val="23"/>
          <w:lang w:val="en-US"/>
        </w:rPr>
        <w:t>Ppib</w:t>
      </w:r>
      <w:proofErr w:type="spellEnd"/>
      <w:r w:rsidR="009F1E30"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 213911) and negative controls (</w:t>
      </w:r>
      <w:proofErr w:type="spellStart"/>
      <w:r w:rsidR="009F1E30" w:rsidRPr="007C60F7">
        <w:rPr>
          <w:rFonts w:asciiTheme="minorHAnsi" w:hAnsiTheme="minorHAnsi" w:cstheme="minorHAnsi"/>
          <w:sz w:val="23"/>
          <w:szCs w:val="23"/>
          <w:lang w:val="en-US"/>
        </w:rPr>
        <w:t>DapB</w:t>
      </w:r>
      <w:proofErr w:type="spellEnd"/>
      <w:r w:rsidR="009F1E30"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 310043) were stained with cy3. Brain slices from four heterozygous RedIL6 mice were used.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 Following the last step in this protocol, slides were incubated overnight with anti-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RFPtag</w:t>
      </w:r>
      <w:proofErr w:type="spellEnd"/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 (Table 1) in normal goat serum. The following day slides were washed 3x5 min in TNT buffer, followed by 1h incubation with Alexa488 anti-mouse (Table 1). Slides were washed 3x5 min in TNT buffer and cell nuclei were stained with DAPI followed by another 3x5 min wash. Slides were then mounted with 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ProLong</w:t>
      </w:r>
      <w:proofErr w:type="spellEnd"/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 Diamond Antifade and 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coverslipped</w:t>
      </w:r>
      <w:proofErr w:type="spellEnd"/>
      <w:r w:rsidRPr="007C60F7">
        <w:rPr>
          <w:rFonts w:asciiTheme="minorHAnsi" w:hAnsiTheme="minorHAnsi" w:cstheme="minorHAnsi"/>
          <w:sz w:val="23"/>
          <w:szCs w:val="23"/>
          <w:lang w:val="en-US"/>
        </w:rPr>
        <w:t>. Micrographs were developed using the lsm700 system.</w:t>
      </w:r>
    </w:p>
    <w:p w14:paraId="2967E04D" w14:textId="77777777" w:rsidR="006936AA" w:rsidRPr="007C60F7" w:rsidRDefault="006936AA" w:rsidP="001E6C22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</w:p>
    <w:p w14:paraId="790684F0" w14:textId="4FFF5B12" w:rsidR="00A7659F" w:rsidRDefault="00B9239D" w:rsidP="00B744B2">
      <w:pPr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b/>
          <w:lang w:val="en-US"/>
        </w:rPr>
        <w:t>Figure S3.</w:t>
      </w:r>
      <w:r w:rsidRPr="007C60F7">
        <w:rPr>
          <w:rFonts w:asciiTheme="minorHAnsi" w:hAnsiTheme="minorHAnsi" w:cstheme="minorHAnsi"/>
          <w:lang w:val="en-US"/>
        </w:rPr>
        <w:t xml:space="preserve"> </w:t>
      </w:r>
      <w:r w:rsidR="009F1E30" w:rsidRPr="007C60F7">
        <w:rPr>
          <w:rFonts w:asciiTheme="minorHAnsi" w:hAnsiTheme="minorHAnsi" w:cstheme="minorHAnsi"/>
          <w:lang w:val="en-US"/>
        </w:rPr>
        <w:t>Representative confocal micrograph of c</w:t>
      </w:r>
      <w:r w:rsidRPr="007C60F7">
        <w:rPr>
          <w:rFonts w:asciiTheme="minorHAnsi" w:hAnsiTheme="minorHAnsi" w:cstheme="minorHAnsi"/>
          <w:lang w:val="en-US"/>
        </w:rPr>
        <w:t xml:space="preserve">ombined </w:t>
      </w:r>
      <w:proofErr w:type="spellStart"/>
      <w:r w:rsidRPr="007C60F7">
        <w:rPr>
          <w:rFonts w:asciiTheme="minorHAnsi" w:hAnsiTheme="minorHAnsi" w:cstheme="minorHAnsi"/>
          <w:lang w:val="en-US"/>
        </w:rPr>
        <w:t>RNAscope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and immunohistochemistry showing high co-localization between IL-6 mRNA (</w:t>
      </w:r>
      <w:r w:rsidR="009F1E30" w:rsidRPr="007C60F7">
        <w:rPr>
          <w:rFonts w:asciiTheme="minorHAnsi" w:hAnsiTheme="minorHAnsi" w:cstheme="minorHAnsi"/>
          <w:lang w:val="en-US"/>
        </w:rPr>
        <w:t xml:space="preserve">cy3, </w:t>
      </w:r>
      <w:r w:rsidRPr="007C60F7">
        <w:rPr>
          <w:rFonts w:asciiTheme="minorHAnsi" w:hAnsiTheme="minorHAnsi" w:cstheme="minorHAnsi"/>
          <w:lang w:val="en-US"/>
        </w:rPr>
        <w:t>red) and RedIL6 (</w:t>
      </w:r>
      <w:r w:rsidR="009F1E30" w:rsidRPr="007C60F7">
        <w:rPr>
          <w:rFonts w:asciiTheme="minorHAnsi" w:hAnsiTheme="minorHAnsi" w:cstheme="minorHAnsi"/>
          <w:lang w:val="en-US"/>
        </w:rPr>
        <w:t xml:space="preserve">Alexa 488, </w:t>
      </w:r>
      <w:r w:rsidRPr="007C60F7">
        <w:rPr>
          <w:rFonts w:asciiTheme="minorHAnsi" w:hAnsiTheme="minorHAnsi" w:cstheme="minorHAnsi"/>
          <w:lang w:val="en-US"/>
        </w:rPr>
        <w:t xml:space="preserve">green) fluorescence in </w:t>
      </w:r>
      <w:proofErr w:type="spellStart"/>
      <w:r w:rsidRPr="007C60F7">
        <w:rPr>
          <w:rFonts w:asciiTheme="minorHAnsi" w:hAnsiTheme="minorHAnsi" w:cstheme="minorHAnsi"/>
          <w:lang w:val="en-US"/>
        </w:rPr>
        <w:t>PBNel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(B). Cell nuclei stained by DAPI (blue). Examples of individual cells where IL-6 mRNA and RedIL6 is co-localized shown in (C).</w:t>
      </w:r>
    </w:p>
    <w:p w14:paraId="1255A3D9" w14:textId="77777777" w:rsidR="00B744B2" w:rsidRPr="00B744B2" w:rsidRDefault="00B744B2" w:rsidP="00B744B2">
      <w:pPr>
        <w:rPr>
          <w:rFonts w:asciiTheme="minorHAnsi" w:hAnsiTheme="minorHAnsi" w:cstheme="minorHAnsi"/>
          <w:lang w:val="en-US"/>
        </w:rPr>
      </w:pPr>
    </w:p>
    <w:p w14:paraId="7502907B" w14:textId="0B9DA56A" w:rsidR="00BC43DE" w:rsidRPr="00B744B2" w:rsidRDefault="000F5EA4" w:rsidP="00B744B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C60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C3A62" wp14:editId="7E6C7947">
                <wp:simplePos x="0" y="0"/>
                <wp:positionH relativeFrom="column">
                  <wp:posOffset>2948305</wp:posOffset>
                </wp:positionH>
                <wp:positionV relativeFrom="paragraph">
                  <wp:posOffset>14605</wp:posOffset>
                </wp:positionV>
                <wp:extent cx="977900" cy="546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755D4" w14:textId="2EEAD07E" w:rsidR="000F5EA4" w:rsidRPr="00A7659F" w:rsidRDefault="000F5EA4" w:rsidP="000F5EA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7659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C3A6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32.15pt;margin-top:1.15pt;width:77pt;height:4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aGFLQIAAFkEAAAOAAAAZHJzL2Uyb0RvYy54bWysVE2P2jAQvVfqf7B8LwkU2IIIK7orqkpo&#13;&#10;dyWo9mwcByIlHtc2JPTX99kBFm17qnox45nJfLz3zOy+rSt2VNaVpDPe76WcKS0pL/Uu4z82y09f&#13;&#10;OHNe6FxUpFXGT8rx+/nHD7PGTNWA9lTlyjIU0W7amIzvvTfTJHFyr2rhemSURrAgWwuPq90luRUN&#13;&#10;qtdVMkjTcdKQzY0lqZyD97EL8nmsXxRK+ueicMqzKuOYzcfTxnMbzmQ+E9OdFWZfyvMY4h+mqEWp&#13;&#10;0fRa6lF4wQ62/KNUXUpLjgrfk1QnVBSlVHEHbNNP322z3guj4i4Ax5krTO7/lZVPxxfLyhzcjTjT&#13;&#10;ogZHG9V69pVaBhfwaYybIm1tkOhb+JF78Ts4w9ptYevwi4UY4kD6dEU3VJNwTu7uJikiEqHRcNyH&#13;&#10;jerJ28fGOv9NUc2CkXEL8iKm4rhyvku9pIRempZlVUUCK82ajI8/j9L4wTWC4pVGj7BCN2qwfLtt&#13;&#10;u5Uva2wpP2E7S50+nJHLEjOshPMvwkIQGBsi9884iorQi84WZ3uyv/7mD/ngCVHOGggs4+7nQVjF&#13;&#10;WfVdg8FJfzgMioyX4ehugIu9jWxvI/pQPxA03MdzMjKaId9XF7OwVL/iLSxCV4SEluidcX8xH3wn&#13;&#10;e7wlqRaLmAQNGuFXem1kKB1QDQhv2ldhzZkGD/6e6CJFMX3HRpfb8bE4eCrKSFXAuUP1DD/0G8k+&#13;&#10;v7XwQG7vMevtH2H+GwAA//8DAFBLAwQUAAYACAAAACEASiX9ouIAAAANAQAADwAAAGRycy9kb3du&#13;&#10;cmV2LnhtbExPwU7DMAy9I/EPkZG4sXRlVFXXdJqKJiQ0Dhu7cEsbr61onNJkW9nXY05w8bP17Of3&#13;&#10;8tVke3HG0XeOFMxnEQik2pmOGgWH981DCsIHTUb3jlDBN3pYFbc3uc6Mu9AOz/vQCBYhn2kFbQhD&#13;&#10;JqWvW7Taz9yAxNzRjVYHHsdGmlFfWNz2Mo6iRFrdEX9o9YBli/Xn/mQVvJabN72rYpte+/Jle1wP&#13;&#10;X4ePJ6Xu76bnJZf1EkTAKfxdwG8G9g8FG6vciYwXvYJFsnjkVQUxA/PJPOWmUpAyyiKX/1MUPwAA&#13;&#10;AP//AwBQSwECLQAUAAYACAAAACEAtoM4kv4AAADhAQAAEwAAAAAAAAAAAAAAAAAAAAAAW0NvbnRl&#13;&#10;bnRfVHlwZXNdLnhtbFBLAQItABQABgAIAAAAIQA4/SH/1gAAAJQBAAALAAAAAAAAAAAAAAAAAC8B&#13;&#10;AABfcmVscy8ucmVsc1BLAQItABQABgAIAAAAIQA3eaGFLQIAAFkEAAAOAAAAAAAAAAAAAAAAAC4C&#13;&#10;AABkcnMvZTJvRG9jLnhtbFBLAQItABQABgAIAAAAIQBKJf2i4gAAAA0BAAAPAAAAAAAAAAAAAAAA&#13;&#10;AIcEAABkcnMvZG93bnJldi54bWxQSwUGAAAAAAQABADzAAAAlgUAAAAA&#13;&#10;" filled="f" stroked="f" strokeweight=".5pt">
                <v:textbox>
                  <w:txbxContent>
                    <w:p w14:paraId="6FE755D4" w14:textId="2EEAD07E" w:rsidR="000F5EA4" w:rsidRPr="00A7659F" w:rsidRDefault="000F5EA4" w:rsidP="000F5EA4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A7659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 w:rsidRPr="007C60F7">
        <w:rPr>
          <w:rFonts w:asciiTheme="minorHAnsi" w:hAnsiTheme="minorHAnsi" w:cstheme="minorHAnsi"/>
          <w:b/>
          <w:lang w:val="en-US"/>
        </w:rPr>
        <w:t xml:space="preserve">Figure S4. </w:t>
      </w:r>
      <w:r w:rsidRPr="007C60F7">
        <w:rPr>
          <w:rFonts w:asciiTheme="minorHAnsi" w:hAnsiTheme="minorHAnsi" w:cstheme="minorHAnsi"/>
          <w:lang w:val="en-US"/>
        </w:rPr>
        <w:t xml:space="preserve">IL-6 ab immunohistochemistry (green) in </w:t>
      </w:r>
      <w:proofErr w:type="spellStart"/>
      <w:r w:rsidRPr="007C60F7">
        <w:rPr>
          <w:rFonts w:asciiTheme="minorHAnsi" w:hAnsiTheme="minorHAnsi" w:cstheme="minorHAnsi"/>
          <w:lang w:val="en-US"/>
        </w:rPr>
        <w:t>wt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(A) and homozygous RedIL6 mice (B). Cell nuclei stained by DAPI (blue). The IL-6 ab used in this paper shows markedly less staining in homozygous RedIL6 “IL-6 </w:t>
      </w:r>
      <w:r w:rsidRPr="007C60F7">
        <w:rPr>
          <w:rFonts w:asciiTheme="minorHAnsi" w:hAnsiTheme="minorHAnsi" w:cstheme="minorHAnsi"/>
          <w:vertAlign w:val="superscript"/>
          <w:lang w:val="en-US"/>
        </w:rPr>
        <w:t>-</w:t>
      </w:r>
      <w:r w:rsidRPr="007C60F7">
        <w:rPr>
          <w:rFonts w:asciiTheme="minorHAnsi" w:hAnsiTheme="minorHAnsi" w:cstheme="minorHAnsi"/>
          <w:lang w:val="en-US"/>
        </w:rPr>
        <w:t>/</w:t>
      </w:r>
      <w:r w:rsidRPr="007C60F7">
        <w:rPr>
          <w:rFonts w:asciiTheme="minorHAnsi" w:hAnsiTheme="minorHAnsi" w:cstheme="minorHAnsi"/>
          <w:vertAlign w:val="superscript"/>
          <w:lang w:val="en-US"/>
        </w:rPr>
        <w:t>-</w:t>
      </w:r>
      <w:r w:rsidRPr="007C60F7">
        <w:rPr>
          <w:rFonts w:asciiTheme="minorHAnsi" w:hAnsiTheme="minorHAnsi" w:cstheme="minorHAnsi"/>
          <w:lang w:val="en-US"/>
        </w:rPr>
        <w:t xml:space="preserve">” mice. Scale bars – 100 </w:t>
      </w:r>
      <w:r w:rsidRPr="007C60F7">
        <w:rPr>
          <w:rFonts w:asciiTheme="minorHAnsi" w:hAnsiTheme="minorHAnsi" w:cstheme="minorHAnsi"/>
          <w:bCs/>
          <w:color w:val="222222"/>
        </w:rPr>
        <w:t>μ</w:t>
      </w:r>
      <w:r w:rsidRPr="007C60F7">
        <w:rPr>
          <w:rFonts w:asciiTheme="minorHAnsi" w:hAnsiTheme="minorHAnsi" w:cstheme="minorHAnsi"/>
          <w:lang w:val="en-US"/>
        </w:rPr>
        <w:t xml:space="preserve">m. </w:t>
      </w:r>
      <w:proofErr w:type="spellStart"/>
      <w:r w:rsidRPr="007C60F7">
        <w:rPr>
          <w:rFonts w:asciiTheme="minorHAnsi" w:hAnsiTheme="minorHAnsi" w:cstheme="minorHAnsi"/>
          <w:lang w:val="en-US"/>
        </w:rPr>
        <w:t>scp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– superior cerebellar peduncle.</w:t>
      </w:r>
    </w:p>
    <w:p w14:paraId="46932A10" w14:textId="77777777" w:rsidR="000F5EA4" w:rsidRPr="007C60F7" w:rsidRDefault="000F5EA4" w:rsidP="009344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C37A7A8" w14:textId="532FA5A5" w:rsidR="00934478" w:rsidRPr="007C60F7" w:rsidRDefault="00934478" w:rsidP="009344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C60F7">
        <w:rPr>
          <w:rFonts w:asciiTheme="minorHAnsi" w:hAnsiTheme="minorHAnsi" w:cstheme="minorHAnsi"/>
          <w:b/>
          <w:sz w:val="28"/>
          <w:szCs w:val="28"/>
          <w:lang w:val="en-US"/>
        </w:rPr>
        <w:t>RedIL6 and CGRP immunohistochemistry</w:t>
      </w:r>
    </w:p>
    <w:p w14:paraId="2E27C461" w14:textId="7E00CE1C" w:rsidR="00934478" w:rsidRPr="007C60F7" w:rsidRDefault="00934478">
      <w:pPr>
        <w:rPr>
          <w:rFonts w:asciiTheme="minorHAnsi" w:hAnsiTheme="minorHAnsi" w:cstheme="minorHAnsi"/>
          <w:lang w:val="en-US"/>
        </w:rPr>
      </w:pPr>
    </w:p>
    <w:p w14:paraId="59E522D2" w14:textId="7A7B7B4B" w:rsidR="00934478" w:rsidRPr="007C60F7" w:rsidRDefault="00A7659F">
      <w:pPr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lang w:val="en-US"/>
        </w:rPr>
        <w:br w:type="textWrapping" w:clear="all"/>
      </w:r>
      <w:r w:rsidR="00934478" w:rsidRPr="007C60F7">
        <w:rPr>
          <w:rFonts w:asciiTheme="minorHAnsi" w:hAnsiTheme="minorHAnsi" w:cstheme="minorHAnsi"/>
          <w:b/>
          <w:lang w:val="en-US"/>
        </w:rPr>
        <w:t>Figure S</w:t>
      </w:r>
      <w:r w:rsidR="000F5EA4" w:rsidRPr="007C60F7">
        <w:rPr>
          <w:rFonts w:asciiTheme="minorHAnsi" w:hAnsiTheme="minorHAnsi" w:cstheme="minorHAnsi"/>
          <w:b/>
          <w:lang w:val="en-US"/>
        </w:rPr>
        <w:t>5</w:t>
      </w:r>
      <w:r w:rsidR="00CC3DDD" w:rsidRPr="007C60F7">
        <w:rPr>
          <w:rFonts w:asciiTheme="minorHAnsi" w:hAnsiTheme="minorHAnsi" w:cstheme="minorHAnsi"/>
          <w:b/>
          <w:lang w:val="en-US"/>
        </w:rPr>
        <w:t>A</w:t>
      </w:r>
      <w:r w:rsidR="00934478" w:rsidRPr="007C60F7">
        <w:rPr>
          <w:rFonts w:asciiTheme="minorHAnsi" w:hAnsiTheme="minorHAnsi" w:cstheme="minorHAnsi"/>
          <w:b/>
          <w:lang w:val="en-US"/>
        </w:rPr>
        <w:t>.</w:t>
      </w:r>
      <w:r w:rsidR="00934478" w:rsidRPr="007C60F7">
        <w:rPr>
          <w:rFonts w:asciiTheme="minorHAnsi" w:hAnsiTheme="minorHAnsi" w:cstheme="minorHAnsi"/>
          <w:lang w:val="en-US"/>
        </w:rPr>
        <w:t xml:space="preserve"> RedIL6 (red) and CGRP (green) immunoreactivity partially overlaps in the </w:t>
      </w:r>
      <w:proofErr w:type="spellStart"/>
      <w:r w:rsidR="00934478" w:rsidRPr="007C60F7">
        <w:rPr>
          <w:rFonts w:asciiTheme="minorHAnsi" w:hAnsiTheme="minorHAnsi" w:cstheme="minorHAnsi"/>
          <w:lang w:val="en-US"/>
        </w:rPr>
        <w:t>PBNel</w:t>
      </w:r>
      <w:proofErr w:type="spellEnd"/>
      <w:r w:rsidR="00934478" w:rsidRPr="007C60F7">
        <w:rPr>
          <w:rFonts w:asciiTheme="minorHAnsi" w:hAnsiTheme="minorHAnsi" w:cstheme="minorHAnsi"/>
          <w:lang w:val="en-US"/>
        </w:rPr>
        <w:t>. Cell nuclei stained by DAPI (blue).</w:t>
      </w:r>
      <w:r w:rsidR="00CC3DDD" w:rsidRPr="007C60F7">
        <w:rPr>
          <w:rFonts w:asciiTheme="minorHAnsi" w:hAnsiTheme="minorHAnsi" w:cstheme="minorHAnsi"/>
          <w:lang w:val="en-US"/>
        </w:rPr>
        <w:t xml:space="preserve"> Examples of RedIL6 (red arrowheads), CGRP-</w:t>
      </w:r>
      <w:proofErr w:type="spellStart"/>
      <w:r w:rsidR="00CC3DDD" w:rsidRPr="007C60F7">
        <w:rPr>
          <w:rFonts w:asciiTheme="minorHAnsi" w:hAnsiTheme="minorHAnsi" w:cstheme="minorHAnsi"/>
          <w:lang w:val="en-US"/>
        </w:rPr>
        <w:t>immunoreactive</w:t>
      </w:r>
      <w:proofErr w:type="spellEnd"/>
      <w:r w:rsidR="00CC3DDD" w:rsidRPr="007C60F7">
        <w:rPr>
          <w:rFonts w:asciiTheme="minorHAnsi" w:hAnsiTheme="minorHAnsi" w:cstheme="minorHAnsi"/>
          <w:lang w:val="en-US"/>
        </w:rPr>
        <w:t xml:space="preserve"> cells (green arrowheads) and co-localization (yellow arrowheads).</w:t>
      </w:r>
      <w:r w:rsidR="000F5EA4" w:rsidRPr="007C60F7">
        <w:rPr>
          <w:rFonts w:asciiTheme="minorHAnsi" w:hAnsiTheme="minorHAnsi" w:cstheme="minorHAnsi"/>
          <w:lang w:val="en-US"/>
        </w:rPr>
        <w:t xml:space="preserve"> Scale bar – 10 </w:t>
      </w:r>
      <w:r w:rsidR="000F5EA4" w:rsidRPr="007C60F7">
        <w:rPr>
          <w:rFonts w:asciiTheme="minorHAnsi" w:hAnsiTheme="minorHAnsi" w:cstheme="minorHAnsi"/>
          <w:bCs/>
          <w:color w:val="222222"/>
        </w:rPr>
        <w:t>μ</w:t>
      </w:r>
      <w:r w:rsidR="000F5EA4" w:rsidRPr="007C60F7">
        <w:rPr>
          <w:rFonts w:asciiTheme="minorHAnsi" w:hAnsiTheme="minorHAnsi" w:cstheme="minorHAnsi"/>
          <w:lang w:val="en-US"/>
        </w:rPr>
        <w:t>m.</w:t>
      </w:r>
    </w:p>
    <w:p w14:paraId="4675AB4E" w14:textId="7B7AC117" w:rsidR="003B0794" w:rsidRPr="007C60F7" w:rsidRDefault="00B744B2">
      <w:pPr>
        <w:rPr>
          <w:rFonts w:asciiTheme="minorHAnsi" w:hAnsiTheme="minorHAnsi" w:cstheme="minorHAnsi"/>
        </w:rPr>
      </w:pPr>
    </w:p>
    <w:p w14:paraId="6745531F" w14:textId="579E45A7" w:rsidR="00BC43DE" w:rsidRPr="007C60F7" w:rsidRDefault="00CC3DDD">
      <w:pPr>
        <w:rPr>
          <w:rFonts w:asciiTheme="minorHAnsi" w:hAnsiTheme="minorHAnsi" w:cstheme="minorHAnsi"/>
          <w:noProof/>
          <w:lang w:val="en-US"/>
        </w:rPr>
      </w:pPr>
      <w:r w:rsidRPr="007C60F7">
        <w:rPr>
          <w:rFonts w:asciiTheme="minorHAnsi" w:hAnsiTheme="minorHAnsi" w:cstheme="minorHAnsi"/>
          <w:b/>
          <w:lang w:val="en-US"/>
        </w:rPr>
        <w:t>Figure S</w:t>
      </w:r>
      <w:r w:rsidR="000F5EA4" w:rsidRPr="007C60F7">
        <w:rPr>
          <w:rFonts w:asciiTheme="minorHAnsi" w:hAnsiTheme="minorHAnsi" w:cstheme="minorHAnsi"/>
          <w:b/>
          <w:lang w:val="en-US"/>
        </w:rPr>
        <w:t>5</w:t>
      </w:r>
      <w:r w:rsidRPr="007C60F7">
        <w:rPr>
          <w:rFonts w:asciiTheme="minorHAnsi" w:hAnsiTheme="minorHAnsi" w:cstheme="minorHAnsi"/>
          <w:b/>
          <w:lang w:val="en-US"/>
        </w:rPr>
        <w:t>B.</w:t>
      </w:r>
      <w:r w:rsidRPr="007C60F7">
        <w:rPr>
          <w:rFonts w:asciiTheme="minorHAnsi" w:hAnsiTheme="minorHAnsi" w:cstheme="minorHAnsi"/>
          <w:lang w:val="en-US"/>
        </w:rPr>
        <w:t xml:space="preserve"> About 40% of all CGRP-</w:t>
      </w:r>
      <w:proofErr w:type="spellStart"/>
      <w:r w:rsidRPr="007C60F7">
        <w:rPr>
          <w:rFonts w:asciiTheme="minorHAnsi" w:hAnsiTheme="minorHAnsi" w:cstheme="minorHAnsi"/>
          <w:lang w:val="en-US"/>
        </w:rPr>
        <w:t>immunoreactive</w:t>
      </w:r>
      <w:proofErr w:type="spellEnd"/>
      <w:r w:rsidRPr="007C60F7">
        <w:rPr>
          <w:rFonts w:asciiTheme="minorHAnsi" w:hAnsiTheme="minorHAnsi" w:cstheme="minorHAnsi"/>
          <w:lang w:val="en-US"/>
        </w:rPr>
        <w:t xml:space="preserve"> cells also show RedIL6-fluorescence and vice versa.</w:t>
      </w:r>
      <w:r w:rsidR="00BC43DE" w:rsidRPr="007C60F7">
        <w:rPr>
          <w:rFonts w:asciiTheme="minorHAnsi" w:hAnsiTheme="minorHAnsi" w:cstheme="minorHAnsi"/>
          <w:noProof/>
          <w:lang w:val="en-US"/>
        </w:rPr>
        <w:t xml:space="preserve"> </w:t>
      </w:r>
    </w:p>
    <w:p w14:paraId="2B39A116" w14:textId="6DE2EF42" w:rsidR="00CC3DDD" w:rsidRPr="007C60F7" w:rsidRDefault="00CC3DDD">
      <w:pPr>
        <w:rPr>
          <w:rFonts w:asciiTheme="minorHAnsi" w:hAnsiTheme="minorHAnsi" w:cstheme="minorHAnsi"/>
          <w:lang w:val="en-US"/>
        </w:rPr>
      </w:pPr>
    </w:p>
    <w:p w14:paraId="7C7565AA" w14:textId="6E45DF06" w:rsidR="00125DAC" w:rsidRPr="007C60F7" w:rsidRDefault="00125DAC" w:rsidP="00906502">
      <w:pPr>
        <w:rPr>
          <w:rFonts w:asciiTheme="minorHAnsi" w:hAnsiTheme="minorHAnsi" w:cstheme="minorHAnsi"/>
          <w:color w:val="000000" w:themeColor="text1"/>
          <w:lang w:val="en-US"/>
        </w:rPr>
      </w:pPr>
      <w:bookmarkStart w:id="0" w:name="_GoBack"/>
      <w:bookmarkEnd w:id="0"/>
      <w:r w:rsidRPr="007C60F7">
        <w:rPr>
          <w:rFonts w:asciiTheme="minorHAnsi" w:hAnsiTheme="minorHAnsi" w:cstheme="minorHAnsi"/>
          <w:b/>
          <w:lang w:val="en-US"/>
        </w:rPr>
        <w:t>Figure S</w:t>
      </w:r>
      <w:r w:rsidR="000F5EA4" w:rsidRPr="007C60F7">
        <w:rPr>
          <w:rFonts w:asciiTheme="minorHAnsi" w:hAnsiTheme="minorHAnsi" w:cstheme="minorHAnsi"/>
          <w:b/>
          <w:lang w:val="en-US"/>
        </w:rPr>
        <w:t>6</w:t>
      </w:r>
      <w:r w:rsidRPr="007C60F7">
        <w:rPr>
          <w:rFonts w:asciiTheme="minorHAnsi" w:hAnsiTheme="minorHAnsi" w:cstheme="minorHAnsi"/>
          <w:b/>
          <w:lang w:val="en-US"/>
        </w:rPr>
        <w:t xml:space="preserve">. </w:t>
      </w:r>
      <w:r w:rsidRPr="007C60F7">
        <w:rPr>
          <w:rFonts w:asciiTheme="minorHAnsi" w:hAnsiTheme="minorHAnsi" w:cstheme="minorHAnsi"/>
          <w:lang w:val="en-US"/>
        </w:rPr>
        <w:t xml:space="preserve">Representative confocal micrographs of </w:t>
      </w:r>
      <w:r w:rsidRPr="007C60F7">
        <w:rPr>
          <w:rFonts w:asciiTheme="minorHAnsi" w:hAnsiTheme="minorHAnsi" w:cstheme="minorHAnsi"/>
          <w:color w:val="000000" w:themeColor="text1"/>
          <w:lang w:val="en-US"/>
        </w:rPr>
        <w:t xml:space="preserve">cells containing IL-6 in the </w:t>
      </w:r>
      <w:proofErr w:type="spellStart"/>
      <w:r w:rsidRPr="007C60F7">
        <w:rPr>
          <w:rFonts w:asciiTheme="minorHAnsi" w:hAnsiTheme="minorHAnsi" w:cstheme="minorHAnsi"/>
          <w:color w:val="000000" w:themeColor="text1"/>
          <w:lang w:val="en-US"/>
        </w:rPr>
        <w:t>PBNel</w:t>
      </w:r>
      <w:proofErr w:type="spellEnd"/>
      <w:r w:rsidRPr="007C60F7">
        <w:rPr>
          <w:rFonts w:asciiTheme="minorHAnsi" w:hAnsiTheme="minorHAnsi" w:cstheme="minorHAnsi"/>
          <w:color w:val="000000" w:themeColor="text1"/>
          <w:lang w:val="en-US"/>
        </w:rPr>
        <w:t xml:space="preserve"> as indicated by the mKATE2-IL-6 (RedIL6) reporter mouse (red) 60 min after intraperitoneal injection of Ex4 (A-B) or vehicle (C-D). Shown are overviews of PBN (A, C) and magnifications of the indicated parts of </w:t>
      </w:r>
      <w:proofErr w:type="spellStart"/>
      <w:r w:rsidRPr="007C60F7">
        <w:rPr>
          <w:rFonts w:asciiTheme="minorHAnsi" w:hAnsiTheme="minorHAnsi" w:cstheme="minorHAnsi"/>
          <w:color w:val="000000" w:themeColor="text1"/>
          <w:lang w:val="en-US"/>
        </w:rPr>
        <w:t>PBNel</w:t>
      </w:r>
      <w:proofErr w:type="spellEnd"/>
      <w:r w:rsidRPr="007C60F7">
        <w:rPr>
          <w:rFonts w:asciiTheme="minorHAnsi" w:hAnsiTheme="minorHAnsi" w:cstheme="minorHAnsi"/>
          <w:color w:val="000000" w:themeColor="text1"/>
          <w:lang w:val="en-US"/>
        </w:rPr>
        <w:t xml:space="preserve"> (B, D). Red arrowheads indicate examples of IL-6 containing cells (B, D). Cell counting shows that there is a marked increase in IL-6 containing cells in </w:t>
      </w:r>
      <w:proofErr w:type="spellStart"/>
      <w:r w:rsidRPr="007C60F7">
        <w:rPr>
          <w:rFonts w:asciiTheme="minorHAnsi" w:hAnsiTheme="minorHAnsi" w:cstheme="minorHAnsi"/>
          <w:color w:val="000000" w:themeColor="text1"/>
          <w:lang w:val="en-US"/>
        </w:rPr>
        <w:t>PBNel</w:t>
      </w:r>
      <w:proofErr w:type="spellEnd"/>
      <w:r w:rsidRPr="007C60F7">
        <w:rPr>
          <w:rFonts w:asciiTheme="minorHAnsi" w:hAnsiTheme="minorHAnsi" w:cstheme="minorHAnsi"/>
          <w:color w:val="000000" w:themeColor="text1"/>
          <w:lang w:val="en-US"/>
        </w:rPr>
        <w:t xml:space="preserve">, as indicated by the mKATE2-IL-6 reporter mouse, after Ex4 injection as compared with vehicle (E). In contrast, there is no difference in IL-6 containing cells in the lateral PBN excluding the </w:t>
      </w:r>
      <w:proofErr w:type="spellStart"/>
      <w:r w:rsidRPr="007C60F7">
        <w:rPr>
          <w:rFonts w:asciiTheme="minorHAnsi" w:hAnsiTheme="minorHAnsi" w:cstheme="minorHAnsi"/>
          <w:color w:val="000000" w:themeColor="text1"/>
          <w:lang w:val="en-US"/>
        </w:rPr>
        <w:t>PBNel</w:t>
      </w:r>
      <w:proofErr w:type="spellEnd"/>
      <w:r w:rsidRPr="007C60F7">
        <w:rPr>
          <w:rFonts w:asciiTheme="minorHAnsi" w:hAnsiTheme="minorHAnsi" w:cstheme="minorHAnsi"/>
          <w:color w:val="000000" w:themeColor="text1"/>
          <w:lang w:val="en-US"/>
        </w:rPr>
        <w:t xml:space="preserve"> (E).</w:t>
      </w:r>
    </w:p>
    <w:p w14:paraId="4DB10AC3" w14:textId="3ECA2FAE" w:rsidR="00125DAC" w:rsidRPr="00906502" w:rsidRDefault="00125DAC" w:rsidP="00125DAC">
      <w:pPr>
        <w:rPr>
          <w:rFonts w:asciiTheme="minorHAnsi" w:hAnsiTheme="minorHAnsi" w:cstheme="minorHAnsi"/>
          <w:lang w:val="en-US"/>
        </w:rPr>
      </w:pPr>
      <w:r w:rsidRPr="007C60F7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Confocal micrographs were obtained and cell counting was performed as described in Materials and Methods. Scale bars 80 </w:t>
      </w:r>
      <w:r w:rsidRPr="007C60F7">
        <w:rPr>
          <w:rFonts w:asciiTheme="minorHAnsi" w:hAnsiTheme="minorHAnsi" w:cstheme="minorHAnsi"/>
          <w:color w:val="000000" w:themeColor="text1"/>
        </w:rPr>
        <w:sym w:font="Symbol" w:char="F06D"/>
      </w:r>
      <w:r w:rsidRPr="007C60F7">
        <w:rPr>
          <w:rFonts w:asciiTheme="minorHAnsi" w:hAnsiTheme="minorHAnsi" w:cstheme="minorHAnsi"/>
          <w:color w:val="000000" w:themeColor="text1"/>
          <w:lang w:val="en-US"/>
        </w:rPr>
        <w:t xml:space="preserve">m (overview), 10 </w:t>
      </w:r>
      <w:r w:rsidRPr="007C60F7">
        <w:rPr>
          <w:rFonts w:asciiTheme="minorHAnsi" w:hAnsiTheme="minorHAnsi" w:cstheme="minorHAnsi"/>
          <w:color w:val="000000" w:themeColor="text1"/>
        </w:rPr>
        <w:sym w:font="Symbol" w:char="F06D"/>
      </w:r>
      <w:r w:rsidRPr="007C60F7">
        <w:rPr>
          <w:rFonts w:asciiTheme="minorHAnsi" w:hAnsiTheme="minorHAnsi" w:cstheme="minorHAnsi"/>
          <w:color w:val="000000" w:themeColor="text1"/>
          <w:lang w:val="en-US"/>
        </w:rPr>
        <w:t xml:space="preserve">m (zoom). </w:t>
      </w:r>
      <w:proofErr w:type="spellStart"/>
      <w:r w:rsidRPr="007C60F7">
        <w:rPr>
          <w:rFonts w:asciiTheme="minorHAnsi" w:hAnsiTheme="minorHAnsi" w:cstheme="minorHAnsi"/>
          <w:color w:val="000000" w:themeColor="text1"/>
          <w:lang w:val="en-US"/>
        </w:rPr>
        <w:t>scp</w:t>
      </w:r>
      <w:proofErr w:type="spellEnd"/>
      <w:r w:rsidRPr="007C60F7">
        <w:rPr>
          <w:rFonts w:asciiTheme="minorHAnsi" w:hAnsiTheme="minorHAnsi" w:cstheme="minorHAnsi"/>
          <w:color w:val="000000" w:themeColor="text1"/>
          <w:lang w:val="en-US"/>
        </w:rPr>
        <w:t xml:space="preserve"> - superior cerebellar peduncle</w:t>
      </w:r>
    </w:p>
    <w:p w14:paraId="64333539" w14:textId="1B8DBEE0" w:rsidR="00125DAC" w:rsidRPr="00906502" w:rsidRDefault="00125DAC">
      <w:pPr>
        <w:rPr>
          <w:rFonts w:asciiTheme="minorHAnsi" w:hAnsiTheme="minorHAnsi" w:cstheme="minorHAnsi"/>
          <w:lang w:val="en-US"/>
        </w:rPr>
      </w:pPr>
    </w:p>
    <w:p w14:paraId="27E051D2" w14:textId="63AFB2D7" w:rsidR="00125DAC" w:rsidRPr="00906502" w:rsidRDefault="00125DAC">
      <w:pPr>
        <w:rPr>
          <w:rFonts w:asciiTheme="minorHAnsi" w:hAnsiTheme="minorHAnsi" w:cstheme="minorHAnsi"/>
          <w:lang w:val="en-US"/>
        </w:rPr>
      </w:pPr>
    </w:p>
    <w:p w14:paraId="666CBBDE" w14:textId="77777777" w:rsidR="00125DAC" w:rsidRPr="00906502" w:rsidRDefault="00125DAC">
      <w:pPr>
        <w:rPr>
          <w:rFonts w:asciiTheme="minorHAnsi" w:hAnsiTheme="minorHAnsi" w:cstheme="minorHAnsi"/>
          <w:lang w:val="en-US"/>
        </w:rPr>
      </w:pPr>
    </w:p>
    <w:p w14:paraId="18232B28" w14:textId="77777777" w:rsidR="00125DAC" w:rsidRPr="00906502" w:rsidRDefault="00125DAC">
      <w:pPr>
        <w:rPr>
          <w:rFonts w:asciiTheme="minorHAnsi" w:hAnsiTheme="minorHAnsi" w:cstheme="minorHAnsi"/>
          <w:lang w:val="en-US"/>
        </w:rPr>
      </w:pPr>
    </w:p>
    <w:p w14:paraId="510A8164" w14:textId="58B0F9F3" w:rsidR="00125DAC" w:rsidRPr="00906502" w:rsidRDefault="00125DAC">
      <w:pPr>
        <w:rPr>
          <w:rFonts w:asciiTheme="minorHAnsi" w:hAnsiTheme="minorHAnsi" w:cstheme="minorHAnsi"/>
          <w:lang w:val="en-US"/>
        </w:rPr>
      </w:pPr>
    </w:p>
    <w:sectPr w:rsidR="00125DAC" w:rsidRPr="00906502" w:rsidSect="00F05B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22"/>
    <w:rsid w:val="000277F9"/>
    <w:rsid w:val="00067EC2"/>
    <w:rsid w:val="000F5EA4"/>
    <w:rsid w:val="00125DAC"/>
    <w:rsid w:val="001669A1"/>
    <w:rsid w:val="001E6C22"/>
    <w:rsid w:val="0022756E"/>
    <w:rsid w:val="003B516A"/>
    <w:rsid w:val="003E1ACF"/>
    <w:rsid w:val="005D15C8"/>
    <w:rsid w:val="0065232D"/>
    <w:rsid w:val="006936AA"/>
    <w:rsid w:val="007C60F7"/>
    <w:rsid w:val="007F22D1"/>
    <w:rsid w:val="007F7CAF"/>
    <w:rsid w:val="00906502"/>
    <w:rsid w:val="00934478"/>
    <w:rsid w:val="009F1E30"/>
    <w:rsid w:val="00A7659F"/>
    <w:rsid w:val="00B744B2"/>
    <w:rsid w:val="00B9239D"/>
    <w:rsid w:val="00BC43DE"/>
    <w:rsid w:val="00CC3DDD"/>
    <w:rsid w:val="00D47CC7"/>
    <w:rsid w:val="00EB7B52"/>
    <w:rsid w:val="00F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EAABE"/>
  <w14:defaultImageDpi w14:val="32767"/>
  <w15:chartTrackingRefBased/>
  <w15:docId w15:val="{346D52B2-4757-D849-8CCD-9538DC96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6C22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9F"/>
    <w:rPr>
      <w:rFonts w:ascii="Times New Roman" w:eastAsia="Times New Roman" w:hAnsi="Times New Roman" w:cs="Times New Roman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Anesten</dc:creator>
  <cp:keywords/>
  <dc:description/>
  <cp:lastModifiedBy>Fredrik Anesten</cp:lastModifiedBy>
  <cp:revision>2</cp:revision>
  <dcterms:created xsi:type="dcterms:W3CDTF">2019-03-19T08:17:00Z</dcterms:created>
  <dcterms:modified xsi:type="dcterms:W3CDTF">2019-03-19T08:17:00Z</dcterms:modified>
</cp:coreProperties>
</file>