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7A" w:rsidRPr="006266FF" w:rsidRDefault="001E4F7A" w:rsidP="001E4F7A">
      <w:pPr>
        <w:ind w:firstLineChars="100" w:firstLine="241"/>
        <w:rPr>
          <w:rFonts w:ascii="Times New Roman" w:hAnsi="Times New Roman"/>
          <w:b/>
          <w:sz w:val="24"/>
          <w:szCs w:val="24"/>
        </w:rPr>
      </w:pPr>
      <w:r w:rsidRPr="006266FF">
        <w:rPr>
          <w:rFonts w:ascii="Times New Roman" w:hAnsi="Times New Roman"/>
          <w:b/>
          <w:sz w:val="24"/>
          <w:szCs w:val="24"/>
        </w:rPr>
        <w:t>Materials and Methods</w:t>
      </w:r>
    </w:p>
    <w:p w:rsidR="001E4F7A" w:rsidRPr="006266FF" w:rsidRDefault="001E4F7A" w:rsidP="001E4F7A">
      <w:pPr>
        <w:ind w:firstLineChars="100" w:firstLine="241"/>
        <w:rPr>
          <w:rFonts w:ascii="Times New Roman" w:hAnsi="Times New Roman"/>
          <w:b/>
          <w:sz w:val="24"/>
          <w:szCs w:val="24"/>
        </w:rPr>
      </w:pPr>
    </w:p>
    <w:p w:rsidR="001E4F7A" w:rsidRPr="006266FF" w:rsidRDefault="001E4F7A" w:rsidP="001E4F7A">
      <w:pPr>
        <w:ind w:firstLineChars="100" w:firstLine="240"/>
        <w:rPr>
          <w:rFonts w:ascii="Times New Roman" w:hAnsi="Times New Roman"/>
          <w:i/>
          <w:sz w:val="24"/>
          <w:szCs w:val="24"/>
        </w:rPr>
      </w:pPr>
      <w:r w:rsidRPr="006266FF">
        <w:rPr>
          <w:rFonts w:ascii="Times New Roman" w:hAnsi="Times New Roman"/>
          <w:i/>
          <w:sz w:val="24"/>
          <w:szCs w:val="24"/>
        </w:rPr>
        <w:t>Study Population</w:t>
      </w:r>
    </w:p>
    <w:p w:rsidR="001E4F7A" w:rsidRPr="006266FF" w:rsidRDefault="001E4F7A" w:rsidP="001E4F7A">
      <w:pPr>
        <w:ind w:firstLineChars="100" w:firstLine="240"/>
        <w:rPr>
          <w:rFonts w:ascii="Times New Roman" w:hAnsi="Times New Roman"/>
          <w:sz w:val="24"/>
          <w:szCs w:val="24"/>
        </w:rPr>
      </w:pPr>
      <w:r w:rsidRPr="006266FF">
        <w:rPr>
          <w:rFonts w:ascii="Times New Roman" w:hAnsi="Times New Roman"/>
          <w:sz w:val="24"/>
          <w:szCs w:val="24"/>
        </w:rPr>
        <w:t xml:space="preserve">The study was approved by the Ethics Committee of the Institute of Dermatology, Chinese Academy of Medical Sciences and Peking Union Medical College (2015-KY-013). All subjects or their authorized representatives provided written informed consent prior to sample collection. The original study consisted of 18 participants, and another </w:t>
      </w:r>
      <w:r w:rsidRPr="006266FF">
        <w:rPr>
          <w:rFonts w:ascii="Times New Roman" w:hAnsi="Times New Roman" w:hint="eastAsia"/>
          <w:sz w:val="24"/>
          <w:szCs w:val="24"/>
        </w:rPr>
        <w:t>24</w:t>
      </w:r>
      <w:r w:rsidRPr="006266FF">
        <w:rPr>
          <w:rFonts w:ascii="Times New Roman" w:hAnsi="Times New Roman"/>
          <w:sz w:val="24"/>
          <w:szCs w:val="24"/>
        </w:rPr>
        <w:t xml:space="preserve"> individuals </w:t>
      </w:r>
      <w:r w:rsidRPr="006266FF">
        <w:rPr>
          <w:rFonts w:ascii="Times New Roman" w:hAnsi="Times New Roman" w:hint="eastAsia"/>
          <w:sz w:val="24"/>
          <w:szCs w:val="24"/>
        </w:rPr>
        <w:t xml:space="preserve">in HPV infection groups </w:t>
      </w:r>
      <w:r w:rsidRPr="006266FF">
        <w:rPr>
          <w:rFonts w:ascii="Times New Roman" w:hAnsi="Times New Roman"/>
          <w:sz w:val="24"/>
          <w:szCs w:val="24"/>
        </w:rPr>
        <w:t>were enrolled for a subsequent validation analysis</w:t>
      </w:r>
      <w:r w:rsidRPr="006266FF">
        <w:rPr>
          <w:rFonts w:ascii="Times New Roman" w:hAnsi="Times New Roman" w:hint="eastAsia"/>
          <w:sz w:val="24"/>
          <w:szCs w:val="24"/>
        </w:rPr>
        <w:t xml:space="preserve"> (Fig.</w:t>
      </w:r>
      <w:r w:rsidR="00134093">
        <w:rPr>
          <w:rFonts w:ascii="Times New Roman" w:hAnsi="Times New Roman"/>
          <w:sz w:val="24"/>
          <w:szCs w:val="24"/>
        </w:rPr>
        <w:t xml:space="preserve"> </w:t>
      </w:r>
      <w:r w:rsidRPr="006266FF">
        <w:rPr>
          <w:rFonts w:ascii="Times New Roman" w:hAnsi="Times New Roman" w:hint="eastAsia"/>
          <w:sz w:val="24"/>
          <w:szCs w:val="24"/>
        </w:rPr>
        <w:t>1)</w:t>
      </w:r>
      <w:r w:rsidRPr="006266FF">
        <w:rPr>
          <w:rFonts w:ascii="Times New Roman" w:hAnsi="Times New Roman"/>
          <w:sz w:val="24"/>
          <w:szCs w:val="24"/>
        </w:rPr>
        <w:t>. All patients were recruited from the Institute of Dermatology, Chinese Academy of Medical Sciences and Peking Union Medical College. The diagnosis of CA was initially evaluated by clinicians in dermatology and venereology based on the presence of exophytic warts, regardless of whether a pathological examination was performed. All subjects were divided into three HPV-matched groups according to the HPV genotyping: group 1</w:t>
      </w:r>
      <w:r w:rsidR="00134093">
        <w:rPr>
          <w:rFonts w:ascii="Times New Roman" w:hAnsi="Times New Roman"/>
          <w:sz w:val="24"/>
          <w:szCs w:val="24"/>
        </w:rPr>
        <w:t>,</w:t>
      </w:r>
      <w:r w:rsidRPr="006266FF">
        <w:rPr>
          <w:rFonts w:ascii="Times New Roman" w:hAnsi="Times New Roman"/>
          <w:sz w:val="24"/>
          <w:szCs w:val="24"/>
        </w:rPr>
        <w:t xml:space="preserve"> patients coinfected with both LR-HPV and HR-HPV; group 2</w:t>
      </w:r>
      <w:r w:rsidR="00134093">
        <w:rPr>
          <w:rFonts w:ascii="Times New Roman" w:hAnsi="Times New Roman"/>
          <w:sz w:val="24"/>
          <w:szCs w:val="24"/>
        </w:rPr>
        <w:t>,</w:t>
      </w:r>
      <w:r w:rsidRPr="006266FF">
        <w:rPr>
          <w:rFonts w:ascii="Times New Roman" w:hAnsi="Times New Roman"/>
          <w:sz w:val="24"/>
          <w:szCs w:val="24"/>
        </w:rPr>
        <w:t xml:space="preserve"> patients infected with LR-HPV; group 3</w:t>
      </w:r>
      <w:r w:rsidR="00134093">
        <w:rPr>
          <w:rFonts w:ascii="Times New Roman" w:hAnsi="Times New Roman"/>
          <w:sz w:val="24"/>
          <w:szCs w:val="24"/>
        </w:rPr>
        <w:t>,</w:t>
      </w:r>
      <w:r w:rsidRPr="006266FF">
        <w:rPr>
          <w:rFonts w:ascii="Times New Roman" w:hAnsi="Times New Roman"/>
          <w:sz w:val="24"/>
          <w:szCs w:val="24"/>
        </w:rPr>
        <w:t xml:space="preserve"> healthy control individuals who were undergoing plastic surgery on the chest and </w:t>
      </w:r>
      <w:r w:rsidRPr="006266FF">
        <w:rPr>
          <w:rFonts w:ascii="Times New Roman" w:hAnsi="Times New Roman" w:hint="eastAsia"/>
          <w:sz w:val="24"/>
          <w:szCs w:val="24"/>
        </w:rPr>
        <w:t xml:space="preserve">showed none of </w:t>
      </w:r>
      <w:r w:rsidR="00134093">
        <w:rPr>
          <w:rFonts w:ascii="Times New Roman" w:hAnsi="Times New Roman"/>
          <w:sz w:val="24"/>
          <w:szCs w:val="24"/>
        </w:rPr>
        <w:t xml:space="preserve">the </w:t>
      </w:r>
      <w:r w:rsidRPr="006266FF">
        <w:rPr>
          <w:rFonts w:ascii="Times New Roman" w:hAnsi="Times New Roman"/>
          <w:sz w:val="24"/>
          <w:szCs w:val="24"/>
        </w:rPr>
        <w:t>clinical symptoms or evidence of HPV infection</w:t>
      </w:r>
      <w:r w:rsidRPr="006266FF">
        <w:rPr>
          <w:rFonts w:ascii="Times New Roman" w:hAnsi="Times New Roman" w:hint="eastAsia"/>
          <w:sz w:val="24"/>
          <w:szCs w:val="24"/>
        </w:rPr>
        <w:t>.</w:t>
      </w:r>
      <w:r w:rsidRPr="006266FF">
        <w:rPr>
          <w:rFonts w:ascii="Times New Roman" w:hAnsi="Times New Roman"/>
          <w:sz w:val="24"/>
          <w:szCs w:val="24"/>
        </w:rPr>
        <w:t xml:space="preserve"> The resected exophytic warts or normal skin were flash frozen immediately and stored at </w:t>
      </w:r>
      <w:r w:rsidR="00134093">
        <w:rPr>
          <w:rFonts w:ascii="Times New Roman" w:hAnsi="Times New Roman"/>
          <w:sz w:val="24"/>
          <w:szCs w:val="24"/>
        </w:rPr>
        <w:t>–</w:t>
      </w:r>
      <w:r w:rsidRPr="006266FF">
        <w:rPr>
          <w:rFonts w:ascii="Times New Roman" w:hAnsi="Times New Roman"/>
          <w:sz w:val="24"/>
          <w:szCs w:val="24"/>
        </w:rPr>
        <w:t>80°C for subsequent experiments.</w:t>
      </w:r>
    </w:p>
    <w:p w:rsidR="001E4F7A" w:rsidRPr="006266FF" w:rsidRDefault="001E4F7A" w:rsidP="001E4F7A">
      <w:pPr>
        <w:ind w:firstLineChars="100" w:firstLine="240"/>
        <w:rPr>
          <w:rFonts w:ascii="Times New Roman" w:hAnsi="Times New Roman"/>
          <w:sz w:val="24"/>
          <w:szCs w:val="24"/>
        </w:rPr>
      </w:pPr>
    </w:p>
    <w:p w:rsidR="001E4F7A" w:rsidRPr="006266FF" w:rsidRDefault="001E4F7A" w:rsidP="001E4F7A">
      <w:pPr>
        <w:ind w:firstLineChars="100" w:firstLine="240"/>
        <w:rPr>
          <w:rFonts w:ascii="Times New Roman" w:hAnsi="Times New Roman"/>
          <w:i/>
          <w:sz w:val="24"/>
          <w:szCs w:val="24"/>
        </w:rPr>
      </w:pPr>
      <w:r w:rsidRPr="006266FF">
        <w:rPr>
          <w:rFonts w:ascii="Times New Roman" w:hAnsi="Times New Roman"/>
          <w:i/>
          <w:sz w:val="24"/>
          <w:szCs w:val="24"/>
        </w:rPr>
        <w:t>HPV Genotyping Test</w:t>
      </w:r>
    </w:p>
    <w:p w:rsidR="001E4F7A" w:rsidRPr="006266FF" w:rsidRDefault="001E4F7A" w:rsidP="001E4F7A">
      <w:pPr>
        <w:ind w:firstLineChars="100" w:firstLine="240"/>
        <w:rPr>
          <w:rFonts w:ascii="Times New Roman" w:hAnsi="Times New Roman"/>
          <w:sz w:val="24"/>
          <w:szCs w:val="24"/>
        </w:rPr>
      </w:pPr>
      <w:r w:rsidRPr="006266FF">
        <w:rPr>
          <w:rFonts w:ascii="Times New Roman" w:hAnsi="Times New Roman"/>
          <w:sz w:val="24"/>
          <w:szCs w:val="24"/>
        </w:rPr>
        <w:t>Before collecting the excised tissue samples, total DNA was extracted from the anogenital exfoliated cells to amplify the HPV DNA. Laboratory examination of the HPV genotype and viral load measurements was conducted via polymerase chain reaction (PCR) using</w:t>
      </w:r>
      <w:r w:rsidR="00134093">
        <w:rPr>
          <w:rFonts w:ascii="Times New Roman" w:hAnsi="Times New Roman"/>
          <w:sz w:val="24"/>
          <w:szCs w:val="24"/>
        </w:rPr>
        <w:t xml:space="preserve"> </w:t>
      </w:r>
      <w:r w:rsidRPr="006266FF">
        <w:rPr>
          <w:rFonts w:ascii="Times New Roman" w:hAnsi="Times New Roman"/>
          <w:sz w:val="24"/>
          <w:szCs w:val="24"/>
        </w:rPr>
        <w:t>a PCR Diagnostic Kit (</w:t>
      </w:r>
      <w:proofErr w:type="spellStart"/>
      <w:r w:rsidRPr="006266FF">
        <w:rPr>
          <w:rFonts w:ascii="Times New Roman" w:hAnsi="Times New Roman" w:hint="eastAsia"/>
          <w:sz w:val="24"/>
          <w:szCs w:val="24"/>
        </w:rPr>
        <w:t>Daan</w:t>
      </w:r>
      <w:proofErr w:type="spellEnd"/>
      <w:r w:rsidRPr="006266FF">
        <w:rPr>
          <w:rFonts w:ascii="Times New Roman" w:hAnsi="Times New Roman" w:hint="eastAsia"/>
          <w:sz w:val="24"/>
          <w:szCs w:val="24"/>
        </w:rPr>
        <w:t xml:space="preserve"> Gene Ltd. of Sun </w:t>
      </w:r>
      <w:proofErr w:type="spellStart"/>
      <w:r w:rsidRPr="006266FF">
        <w:rPr>
          <w:rFonts w:ascii="Times New Roman" w:hAnsi="Times New Roman" w:hint="eastAsia"/>
          <w:sz w:val="24"/>
          <w:szCs w:val="24"/>
        </w:rPr>
        <w:t>Yat</w:t>
      </w:r>
      <w:proofErr w:type="spellEnd"/>
      <w:r w:rsidRPr="006266FF">
        <w:rPr>
          <w:rFonts w:ascii="Times New Roman" w:hAnsi="Times New Roman" w:hint="eastAsia"/>
          <w:sz w:val="24"/>
          <w:szCs w:val="24"/>
        </w:rPr>
        <w:t xml:space="preserve">-Sen </w:t>
      </w:r>
      <w:r w:rsidR="00134093" w:rsidRPr="006266FF">
        <w:rPr>
          <w:rFonts w:ascii="Times New Roman" w:hAnsi="Times New Roman"/>
          <w:sz w:val="24"/>
          <w:szCs w:val="24"/>
        </w:rPr>
        <w:t>U</w:t>
      </w:r>
      <w:r w:rsidRPr="006266FF">
        <w:rPr>
          <w:rFonts w:ascii="Times New Roman" w:hAnsi="Times New Roman" w:hint="eastAsia"/>
          <w:sz w:val="24"/>
          <w:szCs w:val="24"/>
        </w:rPr>
        <w:t xml:space="preserve">niversity and LBP </w:t>
      </w:r>
      <w:r w:rsidRPr="006266FF">
        <w:rPr>
          <w:rFonts w:ascii="Times New Roman" w:hAnsi="Times New Roman"/>
          <w:sz w:val="24"/>
          <w:szCs w:val="24"/>
        </w:rPr>
        <w:t>Medicine Science and Technology</w:t>
      </w:r>
      <w:r w:rsidRPr="006266FF">
        <w:rPr>
          <w:rFonts w:ascii="Times New Roman" w:hAnsi="Times New Roman" w:hint="eastAsia"/>
          <w:sz w:val="24"/>
          <w:szCs w:val="24"/>
        </w:rPr>
        <w:t xml:space="preserve"> (</w:t>
      </w:r>
      <w:proofErr w:type="spellStart"/>
      <w:r w:rsidRPr="006266FF">
        <w:rPr>
          <w:rFonts w:ascii="Times New Roman" w:hAnsi="Times New Roman" w:hint="eastAsia"/>
          <w:sz w:val="24"/>
          <w:szCs w:val="24"/>
        </w:rPr>
        <w:t>ambiping</w:t>
      </w:r>
      <w:proofErr w:type="spellEnd"/>
      <w:r w:rsidRPr="006266FF">
        <w:rPr>
          <w:rFonts w:ascii="Times New Roman" w:hAnsi="Times New Roman" w:hint="eastAsia"/>
          <w:sz w:val="24"/>
          <w:szCs w:val="24"/>
        </w:rPr>
        <w:t>)</w:t>
      </w:r>
      <w:r w:rsidRPr="006266FF">
        <w:rPr>
          <w:rFonts w:ascii="Times New Roman" w:hAnsi="Times New Roman"/>
          <w:sz w:val="24"/>
          <w:szCs w:val="24"/>
        </w:rPr>
        <w:t>, Guangzhou, China) according to the manufacturer’s protocol. The kit can detect and quantify different genotypes of HPV, including HR-HPV types (HPV 16, 18, 26, 31, 33, 35, 39, 45, 51, 52, 53, 56, 58, 59, 66, 68, 73 and 82) and LR-HPV types (HPV 6 and 11) via a fluorescent</w:t>
      </w:r>
      <w:r w:rsidR="00134093">
        <w:rPr>
          <w:rFonts w:ascii="Times New Roman" w:hAnsi="Times New Roman"/>
          <w:sz w:val="24"/>
          <w:szCs w:val="24"/>
        </w:rPr>
        <w:t xml:space="preserve"> </w:t>
      </w:r>
      <w:r w:rsidRPr="006266FF">
        <w:rPr>
          <w:rFonts w:ascii="Times New Roman" w:hAnsi="Times New Roman"/>
          <w:sz w:val="24"/>
          <w:szCs w:val="24"/>
        </w:rPr>
        <w:t>quantitative</w:t>
      </w:r>
      <w:r w:rsidR="00134093">
        <w:rPr>
          <w:rFonts w:ascii="Times New Roman" w:hAnsi="Times New Roman"/>
          <w:sz w:val="24"/>
          <w:szCs w:val="24"/>
        </w:rPr>
        <w:t xml:space="preserve"> </w:t>
      </w:r>
      <w:r w:rsidRPr="006266FF">
        <w:rPr>
          <w:rFonts w:ascii="Times New Roman" w:hAnsi="Times New Roman"/>
          <w:sz w:val="24"/>
          <w:szCs w:val="24"/>
        </w:rPr>
        <w:t>PCR</w:t>
      </w:r>
      <w:r w:rsidR="00134093">
        <w:rPr>
          <w:rFonts w:ascii="Times New Roman" w:hAnsi="Times New Roman"/>
          <w:sz w:val="24"/>
          <w:szCs w:val="24"/>
        </w:rPr>
        <w:t xml:space="preserve"> </w:t>
      </w:r>
      <w:r w:rsidRPr="006266FF">
        <w:rPr>
          <w:rFonts w:ascii="Times New Roman" w:hAnsi="Times New Roman"/>
          <w:sz w:val="24"/>
          <w:szCs w:val="24"/>
        </w:rPr>
        <w:t>technique.</w:t>
      </w:r>
    </w:p>
    <w:p w:rsidR="001E4F7A" w:rsidRPr="006266FF" w:rsidRDefault="001E4F7A" w:rsidP="001E4F7A">
      <w:pPr>
        <w:ind w:firstLineChars="100" w:firstLine="240"/>
        <w:rPr>
          <w:rFonts w:ascii="Times New Roman" w:hAnsi="Times New Roman"/>
          <w:sz w:val="24"/>
          <w:szCs w:val="24"/>
        </w:rPr>
      </w:pPr>
    </w:p>
    <w:p w:rsidR="001E4F7A" w:rsidRPr="006266FF" w:rsidRDefault="001E4F7A" w:rsidP="001E4F7A">
      <w:pPr>
        <w:ind w:firstLineChars="100" w:firstLine="240"/>
        <w:rPr>
          <w:rFonts w:ascii="Times New Roman" w:hAnsi="Times New Roman"/>
          <w:i/>
          <w:sz w:val="24"/>
          <w:szCs w:val="24"/>
        </w:rPr>
      </w:pPr>
      <w:r w:rsidRPr="006266FF">
        <w:rPr>
          <w:rFonts w:ascii="Times New Roman" w:hAnsi="Times New Roman"/>
          <w:i/>
          <w:sz w:val="24"/>
          <w:szCs w:val="24"/>
        </w:rPr>
        <w:t>RT</w:t>
      </w:r>
      <w:r w:rsidRPr="006266FF">
        <w:rPr>
          <w:rFonts w:ascii="Times New Roman" w:hAnsi="Times New Roman"/>
          <w:i/>
          <w:sz w:val="24"/>
          <w:szCs w:val="24"/>
          <w:vertAlign w:val="superscript"/>
        </w:rPr>
        <w:t>2</w:t>
      </w:r>
      <w:r w:rsidRPr="006266FF">
        <w:rPr>
          <w:rFonts w:ascii="Times New Roman" w:hAnsi="Times New Roman"/>
          <w:i/>
          <w:sz w:val="24"/>
          <w:szCs w:val="24"/>
        </w:rPr>
        <w:t xml:space="preserve"> Profiler PCR Array</w:t>
      </w:r>
    </w:p>
    <w:p w:rsidR="001E4F7A" w:rsidRPr="006266FF" w:rsidRDefault="001E4F7A" w:rsidP="001E4F7A">
      <w:pPr>
        <w:ind w:firstLineChars="100" w:firstLine="240"/>
        <w:rPr>
          <w:rFonts w:ascii="Times New Roman" w:hAnsi="Times New Roman"/>
          <w:sz w:val="24"/>
          <w:szCs w:val="24"/>
        </w:rPr>
      </w:pPr>
      <w:r w:rsidRPr="006266FF">
        <w:rPr>
          <w:rFonts w:ascii="Times New Roman" w:hAnsi="Times New Roman"/>
          <w:sz w:val="24"/>
          <w:szCs w:val="24"/>
        </w:rPr>
        <w:t>The gene expression</w:t>
      </w:r>
      <w:r w:rsidR="00134093">
        <w:rPr>
          <w:rFonts w:ascii="Times New Roman" w:hAnsi="Times New Roman"/>
          <w:sz w:val="24"/>
          <w:szCs w:val="24"/>
        </w:rPr>
        <w:t>-</w:t>
      </w:r>
      <w:r w:rsidRPr="006266FF">
        <w:rPr>
          <w:rFonts w:ascii="Times New Roman" w:hAnsi="Times New Roman"/>
          <w:sz w:val="24"/>
          <w:szCs w:val="24"/>
        </w:rPr>
        <w:t xml:space="preserve">profiling analysis of 84 genes involved in autophagy was conducted using samples from the original 18 individuals. Total RNA was isolated with </w:t>
      </w:r>
      <w:proofErr w:type="spellStart"/>
      <w:r w:rsidRPr="006266FF">
        <w:rPr>
          <w:rFonts w:ascii="Times New Roman" w:hAnsi="Times New Roman"/>
          <w:sz w:val="24"/>
          <w:szCs w:val="24"/>
        </w:rPr>
        <w:t>Trizol</w:t>
      </w:r>
      <w:proofErr w:type="spellEnd"/>
      <w:r w:rsidRPr="006266FF">
        <w:rPr>
          <w:rFonts w:ascii="Times New Roman" w:hAnsi="Times New Roman"/>
          <w:sz w:val="24"/>
          <w:szCs w:val="24"/>
        </w:rPr>
        <w:t xml:space="preserve"> reagent (Invitrogen, Carlsbad, C</w:t>
      </w:r>
      <w:r w:rsidRPr="006266FF">
        <w:rPr>
          <w:rFonts w:ascii="Times New Roman" w:hAnsi="Times New Roman" w:hint="eastAsia"/>
          <w:sz w:val="24"/>
          <w:szCs w:val="24"/>
        </w:rPr>
        <w:t>A, USA</w:t>
      </w:r>
      <w:r w:rsidRPr="006266FF">
        <w:rPr>
          <w:rFonts w:ascii="Times New Roman" w:hAnsi="Times New Roman"/>
          <w:sz w:val="24"/>
          <w:szCs w:val="24"/>
        </w:rPr>
        <w:t xml:space="preserve">), and the concentration and purity of the total RNA were measured using a </w:t>
      </w:r>
      <w:proofErr w:type="spellStart"/>
      <w:r w:rsidRPr="006266FF">
        <w:rPr>
          <w:rFonts w:ascii="Times New Roman" w:hAnsi="Times New Roman"/>
          <w:sz w:val="24"/>
          <w:szCs w:val="24"/>
        </w:rPr>
        <w:t>NanoDrop</w:t>
      </w:r>
      <w:proofErr w:type="spellEnd"/>
      <w:r w:rsidRPr="00134093">
        <w:rPr>
          <w:rFonts w:ascii="Times New Roman" w:hAnsi="Times New Roman"/>
          <w:sz w:val="24"/>
          <w:szCs w:val="24"/>
          <w:vertAlign w:val="superscript"/>
        </w:rPr>
        <w:t>®</w:t>
      </w:r>
      <w:r w:rsidRPr="006266FF">
        <w:rPr>
          <w:rFonts w:ascii="Times New Roman" w:hAnsi="Times New Roman"/>
          <w:sz w:val="24"/>
          <w:szCs w:val="24"/>
        </w:rPr>
        <w:t xml:space="preserve"> ND-1000 spectrophotometer. Reverse transcription of the RNA was performed with 1 µg RNA in a final volume of 20 µl using a </w:t>
      </w:r>
      <w:proofErr w:type="spellStart"/>
      <w:r w:rsidRPr="006266FF">
        <w:rPr>
          <w:rFonts w:ascii="Times New Roman" w:hAnsi="Times New Roman"/>
          <w:sz w:val="24"/>
          <w:szCs w:val="24"/>
        </w:rPr>
        <w:t>SuperScript</w:t>
      </w:r>
      <w:proofErr w:type="spellEnd"/>
      <w:r w:rsidRPr="00134093">
        <w:rPr>
          <w:rFonts w:ascii="Times New Roman" w:hAnsi="Times New Roman"/>
          <w:sz w:val="24"/>
          <w:szCs w:val="24"/>
          <w:vertAlign w:val="superscript"/>
        </w:rPr>
        <w:t>®</w:t>
      </w:r>
      <w:r w:rsidRPr="006266FF">
        <w:rPr>
          <w:rFonts w:ascii="Times New Roman" w:hAnsi="Times New Roman"/>
          <w:sz w:val="24"/>
          <w:szCs w:val="24"/>
        </w:rPr>
        <w:t xml:space="preserve"> III RT-PCR Kit (Invitrogen, Carlsbad, C</w:t>
      </w:r>
      <w:r w:rsidRPr="006266FF">
        <w:rPr>
          <w:rFonts w:ascii="Times New Roman" w:hAnsi="Times New Roman" w:hint="eastAsia"/>
          <w:sz w:val="24"/>
          <w:szCs w:val="24"/>
        </w:rPr>
        <w:t>A, USA</w:t>
      </w:r>
      <w:r w:rsidRPr="006266FF">
        <w:rPr>
          <w:rFonts w:ascii="Times New Roman" w:hAnsi="Times New Roman"/>
          <w:sz w:val="24"/>
          <w:szCs w:val="24"/>
        </w:rPr>
        <w:t>) according to the manufacturer’s protocol. A prepared PCR mixture containing 1</w:t>
      </w:r>
      <w:r w:rsidR="00134093">
        <w:rPr>
          <w:rFonts w:ascii="Times New Roman" w:hAnsi="Times New Roman"/>
          <w:sz w:val="24"/>
          <w:szCs w:val="24"/>
        </w:rPr>
        <w:t>,</w:t>
      </w:r>
      <w:r w:rsidRPr="006266FF">
        <w:rPr>
          <w:rFonts w:ascii="Times New Roman" w:hAnsi="Times New Roman"/>
          <w:sz w:val="24"/>
          <w:szCs w:val="24"/>
        </w:rPr>
        <w:t xml:space="preserve">050 µl </w:t>
      </w:r>
      <w:proofErr w:type="spellStart"/>
      <w:r w:rsidRPr="006266FF">
        <w:rPr>
          <w:rFonts w:ascii="Times New Roman" w:hAnsi="Times New Roman"/>
          <w:sz w:val="24"/>
          <w:szCs w:val="24"/>
        </w:rPr>
        <w:t>SuperArray</w:t>
      </w:r>
      <w:proofErr w:type="spellEnd"/>
      <w:r w:rsidRPr="006266FF">
        <w:rPr>
          <w:rFonts w:ascii="Times New Roman" w:hAnsi="Times New Roman"/>
          <w:sz w:val="24"/>
          <w:szCs w:val="24"/>
        </w:rPr>
        <w:t xml:space="preserve"> PCR master mix, 105 µl cDNA template and 945 µl RNase-free water was added to each well of a 96-well PCR plate at a volume of 20 µl/well. Quantitative real-time PCR (qPCR) was performed to screen the 84 ATGs using the Human Autophagy RT</w:t>
      </w:r>
      <w:r w:rsidRPr="006266FF">
        <w:rPr>
          <w:rFonts w:ascii="Times New Roman" w:hAnsi="Times New Roman"/>
          <w:sz w:val="24"/>
          <w:szCs w:val="24"/>
          <w:vertAlign w:val="superscript"/>
        </w:rPr>
        <w:t>2</w:t>
      </w:r>
      <w:r w:rsidRPr="006266FF">
        <w:rPr>
          <w:rFonts w:ascii="Times New Roman" w:hAnsi="Times New Roman"/>
          <w:sz w:val="24"/>
          <w:szCs w:val="24"/>
        </w:rPr>
        <w:t xml:space="preserve"> Profiler PCR Array (PAHS-084Z; </w:t>
      </w:r>
      <w:proofErr w:type="spellStart"/>
      <w:r w:rsidRPr="006266FF">
        <w:rPr>
          <w:rFonts w:ascii="Times New Roman" w:hAnsi="Times New Roman"/>
          <w:sz w:val="24"/>
          <w:szCs w:val="24"/>
        </w:rPr>
        <w:t>SABiosciences</w:t>
      </w:r>
      <w:proofErr w:type="spellEnd"/>
      <w:r w:rsidRPr="006266FF">
        <w:rPr>
          <w:rFonts w:ascii="Times New Roman" w:hAnsi="Times New Roman"/>
          <w:sz w:val="24"/>
          <w:szCs w:val="24"/>
        </w:rPr>
        <w:t>, Frederick, MD, USA) according to the manufacturer's instructions. Expression levels of target genes were normalized to those of housekeeping genes (ACTB, B2M, GAPDH, HPRT1 and RPLP0)</w:t>
      </w:r>
      <w:r w:rsidRPr="006266FF">
        <w:rPr>
          <w:rFonts w:ascii="Times New Roman" w:hAnsi="Times New Roman" w:hint="eastAsia"/>
          <w:sz w:val="24"/>
          <w:szCs w:val="24"/>
        </w:rPr>
        <w:t xml:space="preserve">, </w:t>
      </w:r>
      <w:r w:rsidRPr="006266FF">
        <w:rPr>
          <w:rFonts w:ascii="Times New Roman" w:hAnsi="Times New Roman"/>
          <w:sz w:val="24"/>
          <w:szCs w:val="24"/>
        </w:rPr>
        <w:t>which were calculated using an Excel-based PCR Array data analysis approach (Qiagen, Hilden, Germany).</w:t>
      </w:r>
    </w:p>
    <w:p w:rsidR="001E4F7A" w:rsidRPr="006266FF" w:rsidRDefault="001E4F7A" w:rsidP="001E4F7A">
      <w:pPr>
        <w:rPr>
          <w:rFonts w:ascii="Times New Roman" w:hAnsi="Times New Roman"/>
          <w:sz w:val="24"/>
          <w:szCs w:val="24"/>
        </w:rPr>
      </w:pPr>
    </w:p>
    <w:p w:rsidR="001E4F7A" w:rsidRPr="006266FF" w:rsidRDefault="001E4F7A" w:rsidP="001E4F7A">
      <w:pPr>
        <w:ind w:firstLineChars="100" w:firstLine="240"/>
        <w:rPr>
          <w:rFonts w:ascii="Times New Roman" w:hAnsi="Times New Roman"/>
          <w:i/>
          <w:sz w:val="24"/>
          <w:szCs w:val="24"/>
        </w:rPr>
      </w:pPr>
      <w:r w:rsidRPr="006266FF">
        <w:rPr>
          <w:rFonts w:ascii="Times New Roman" w:hAnsi="Times New Roman"/>
          <w:i/>
          <w:sz w:val="24"/>
          <w:szCs w:val="24"/>
        </w:rPr>
        <w:t>Quantitative Real-</w:t>
      </w:r>
      <w:r w:rsidR="00134093" w:rsidRPr="006266FF">
        <w:rPr>
          <w:rFonts w:ascii="Times New Roman" w:hAnsi="Times New Roman"/>
          <w:i/>
          <w:sz w:val="24"/>
          <w:szCs w:val="24"/>
        </w:rPr>
        <w:t>T</w:t>
      </w:r>
      <w:r w:rsidRPr="006266FF">
        <w:rPr>
          <w:rFonts w:ascii="Times New Roman" w:hAnsi="Times New Roman"/>
          <w:i/>
          <w:sz w:val="24"/>
          <w:szCs w:val="24"/>
        </w:rPr>
        <w:t>ime PCR</w:t>
      </w:r>
    </w:p>
    <w:p w:rsidR="001E4F7A" w:rsidRPr="006266FF" w:rsidRDefault="001E4F7A" w:rsidP="001E4F7A">
      <w:pPr>
        <w:ind w:firstLineChars="100" w:firstLine="240"/>
        <w:rPr>
          <w:rFonts w:ascii="Times New Roman" w:hAnsi="Times New Roman"/>
          <w:sz w:val="24"/>
          <w:szCs w:val="24"/>
        </w:rPr>
      </w:pPr>
      <w:r w:rsidRPr="006266FF">
        <w:rPr>
          <w:rFonts w:ascii="Times New Roman" w:hAnsi="Times New Roman"/>
          <w:sz w:val="24"/>
          <w:szCs w:val="24"/>
        </w:rPr>
        <w:t xml:space="preserve">Differentially expressed ATGs were identified by the initial screening, and the subsequent validation was conducted with another </w:t>
      </w:r>
      <w:r w:rsidRPr="006266FF">
        <w:rPr>
          <w:rFonts w:ascii="Times New Roman" w:hAnsi="Times New Roman" w:hint="eastAsia"/>
          <w:sz w:val="24"/>
          <w:szCs w:val="24"/>
        </w:rPr>
        <w:t>24</w:t>
      </w:r>
      <w:r w:rsidRPr="006266FF">
        <w:rPr>
          <w:rFonts w:ascii="Times New Roman" w:hAnsi="Times New Roman"/>
          <w:sz w:val="24"/>
          <w:szCs w:val="24"/>
        </w:rPr>
        <w:t xml:space="preserve"> patients </w:t>
      </w:r>
      <w:r w:rsidRPr="006266FF">
        <w:rPr>
          <w:rFonts w:ascii="Times New Roman" w:hAnsi="Times New Roman" w:hint="eastAsia"/>
          <w:sz w:val="24"/>
          <w:szCs w:val="24"/>
        </w:rPr>
        <w:t xml:space="preserve">in HPV infection groups </w:t>
      </w:r>
      <w:r w:rsidRPr="006266FF">
        <w:rPr>
          <w:rFonts w:ascii="Times New Roman" w:hAnsi="Times New Roman"/>
          <w:sz w:val="24"/>
          <w:szCs w:val="24"/>
        </w:rPr>
        <w:t xml:space="preserve">via real-time PCR. </w:t>
      </w:r>
      <w:r w:rsidRPr="006266FF">
        <w:rPr>
          <w:rFonts w:ascii="Times New Roman" w:hAnsi="Times New Roman" w:hint="eastAsia"/>
          <w:sz w:val="24"/>
          <w:szCs w:val="24"/>
        </w:rPr>
        <w:t xml:space="preserve">The control group was chosen as </w:t>
      </w:r>
      <w:r w:rsidRPr="006266FF">
        <w:rPr>
          <w:rFonts w:ascii="Times New Roman" w:hAnsi="Times New Roman"/>
          <w:sz w:val="24"/>
          <w:szCs w:val="24"/>
        </w:rPr>
        <w:t xml:space="preserve">the initial </w:t>
      </w:r>
      <w:r w:rsidR="00134093">
        <w:rPr>
          <w:rFonts w:ascii="Times New Roman" w:hAnsi="Times New Roman"/>
          <w:sz w:val="24"/>
          <w:szCs w:val="24"/>
        </w:rPr>
        <w:t>6</w:t>
      </w:r>
      <w:r w:rsidRPr="006266FF">
        <w:rPr>
          <w:rFonts w:ascii="Times New Roman" w:hAnsi="Times New Roman" w:hint="eastAsia"/>
          <w:sz w:val="24"/>
          <w:szCs w:val="24"/>
        </w:rPr>
        <w:t xml:space="preserve"> individuals.</w:t>
      </w:r>
      <w:r w:rsidRPr="006266FF">
        <w:rPr>
          <w:rFonts w:ascii="Times New Roman" w:hAnsi="Times New Roman"/>
          <w:sz w:val="24"/>
          <w:szCs w:val="24"/>
        </w:rPr>
        <w:t xml:space="preserve"> The method of RNA extraction from the tissue samples and the system for reverse transcription into cDNA were performed under the same conditions </w:t>
      </w:r>
      <w:r w:rsidR="00134093">
        <w:rPr>
          <w:rFonts w:ascii="Times New Roman" w:hAnsi="Times New Roman"/>
          <w:sz w:val="24"/>
          <w:szCs w:val="24"/>
        </w:rPr>
        <w:t xml:space="preserve">as </w:t>
      </w:r>
      <w:r w:rsidRPr="006266FF">
        <w:rPr>
          <w:rFonts w:ascii="Times New Roman" w:hAnsi="Times New Roman"/>
          <w:sz w:val="24"/>
          <w:szCs w:val="24"/>
        </w:rPr>
        <w:t>described above. The primers were designed using Primer 5.0 software and are listed in Table 3. Each sample was analyzed in triplicate, and the method of 2</w:t>
      </w:r>
      <w:r w:rsidRPr="006266FF">
        <w:rPr>
          <w:rFonts w:ascii="Times New Roman" w:hAnsi="Times New Roman"/>
          <w:sz w:val="24"/>
          <w:szCs w:val="24"/>
          <w:vertAlign w:val="superscript"/>
        </w:rPr>
        <w:t>−ΔΔCT</w:t>
      </w:r>
      <w:r w:rsidRPr="006266FF">
        <w:rPr>
          <w:rFonts w:ascii="Times New Roman" w:hAnsi="Times New Roman"/>
          <w:sz w:val="24"/>
          <w:szCs w:val="24"/>
        </w:rPr>
        <w:t xml:space="preserve"> was used to quantify the relative expression of the target genes in the different groups.</w:t>
      </w:r>
    </w:p>
    <w:p w:rsidR="001E4F7A" w:rsidRPr="006266FF" w:rsidRDefault="001E4F7A" w:rsidP="001E4F7A">
      <w:pPr>
        <w:ind w:firstLineChars="100" w:firstLine="240"/>
        <w:rPr>
          <w:rFonts w:ascii="Times New Roman" w:hAnsi="Times New Roman"/>
          <w:sz w:val="24"/>
          <w:szCs w:val="24"/>
        </w:rPr>
      </w:pPr>
    </w:p>
    <w:p w:rsidR="001E4F7A" w:rsidRPr="006266FF" w:rsidRDefault="001E4F7A" w:rsidP="001E4F7A">
      <w:pPr>
        <w:ind w:firstLineChars="100" w:firstLine="240"/>
        <w:rPr>
          <w:rFonts w:ascii="Times New Roman" w:hAnsi="Times New Roman"/>
          <w:i/>
          <w:sz w:val="24"/>
          <w:szCs w:val="24"/>
        </w:rPr>
      </w:pPr>
      <w:r w:rsidRPr="006266FF">
        <w:rPr>
          <w:rFonts w:ascii="Times New Roman" w:hAnsi="Times New Roman"/>
          <w:i/>
          <w:sz w:val="24"/>
          <w:szCs w:val="24"/>
        </w:rPr>
        <w:t>Statistical Analysis</w:t>
      </w:r>
    </w:p>
    <w:p w:rsidR="001E4F7A" w:rsidRPr="006266FF" w:rsidRDefault="001E4F7A" w:rsidP="001E4F7A">
      <w:pPr>
        <w:ind w:firstLineChars="100" w:firstLine="240"/>
        <w:rPr>
          <w:rFonts w:ascii="Times New Roman" w:hAnsi="Times New Roman"/>
          <w:sz w:val="24"/>
          <w:szCs w:val="24"/>
        </w:rPr>
      </w:pPr>
      <w:r w:rsidRPr="006266FF">
        <w:rPr>
          <w:rFonts w:ascii="Times New Roman" w:hAnsi="Times New Roman"/>
          <w:sz w:val="24"/>
          <w:szCs w:val="24"/>
        </w:rPr>
        <w:t>Data are presented as the mean ± SE. Statistical significance was determined by one-way analysis of variance with Tukey’s post</w:t>
      </w:r>
      <w:r w:rsidR="00134093">
        <w:rPr>
          <w:rFonts w:ascii="Times New Roman" w:hAnsi="Times New Roman"/>
          <w:sz w:val="24"/>
          <w:szCs w:val="24"/>
        </w:rPr>
        <w:t xml:space="preserve"> </w:t>
      </w:r>
      <w:r w:rsidRPr="006266FF">
        <w:rPr>
          <w:rFonts w:ascii="Times New Roman" w:hAnsi="Times New Roman"/>
          <w:sz w:val="24"/>
          <w:szCs w:val="24"/>
        </w:rPr>
        <w:t>hoc test and the nonparametric Kruskal-Wallis test. All data were analyzed using GraphPad Prism 6.0 software with a significance level of p</w:t>
      </w:r>
      <w:r w:rsidR="00134093">
        <w:rPr>
          <w:rFonts w:ascii="Times New Roman" w:hAnsi="Times New Roman"/>
          <w:sz w:val="24"/>
          <w:szCs w:val="24"/>
        </w:rPr>
        <w:t xml:space="preserve"> </w:t>
      </w:r>
      <w:r w:rsidRPr="006266FF">
        <w:rPr>
          <w:rFonts w:ascii="Times New Roman" w:hAnsi="Times New Roman"/>
          <w:sz w:val="24"/>
          <w:szCs w:val="24"/>
        </w:rPr>
        <w:t>&lt;</w:t>
      </w:r>
      <w:r w:rsidR="00134093">
        <w:rPr>
          <w:rFonts w:ascii="Times New Roman" w:hAnsi="Times New Roman"/>
          <w:sz w:val="24"/>
          <w:szCs w:val="24"/>
        </w:rPr>
        <w:t xml:space="preserve"> </w:t>
      </w:r>
      <w:r w:rsidRPr="006266FF">
        <w:rPr>
          <w:rFonts w:ascii="Times New Roman" w:hAnsi="Times New Roman"/>
          <w:sz w:val="24"/>
          <w:szCs w:val="24"/>
        </w:rPr>
        <w:t>0.05.</w:t>
      </w:r>
    </w:p>
    <w:p w:rsidR="00FA078B" w:rsidRDefault="00E92542">
      <w:bookmarkStart w:id="0" w:name="_GoBack"/>
      <w:bookmarkEnd w:id="0"/>
    </w:p>
    <w:sectPr w:rsidR="00FA078B" w:rsidSect="001A6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7A"/>
    <w:rsid w:val="00134093"/>
    <w:rsid w:val="00177B47"/>
    <w:rsid w:val="001A60CA"/>
    <w:rsid w:val="001E4F7A"/>
    <w:rsid w:val="004F761E"/>
    <w:rsid w:val="007A7F4C"/>
    <w:rsid w:val="00B6644F"/>
    <w:rsid w:val="00CA0487"/>
    <w:rsid w:val="00E92542"/>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A980"/>
  <w15:chartTrackingRefBased/>
  <w15:docId w15:val="{258C7A6A-B06F-4E69-8526-819F7EAC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4F7A"/>
    <w:pPr>
      <w:widowControl w:val="0"/>
      <w:spacing w:after="0" w:line="240" w:lineRule="auto"/>
      <w:jc w:val="both"/>
    </w:pPr>
    <w:rPr>
      <w:rFonts w:ascii="Calibri" w:eastAsia="SimSun" w:hAnsi="Calibri" w:cs="Times New Roman"/>
      <w:kern w:val="2"/>
      <w:sz w:val="2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Mühlemann</dc:creator>
  <cp:keywords/>
  <dc:description/>
  <cp:lastModifiedBy>Elisabeth Stöcklin</cp:lastModifiedBy>
  <cp:revision>3</cp:revision>
  <dcterms:created xsi:type="dcterms:W3CDTF">2019-04-18T09:18:00Z</dcterms:created>
  <dcterms:modified xsi:type="dcterms:W3CDTF">2019-05-20T11:34:00Z</dcterms:modified>
</cp:coreProperties>
</file>