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8D" w:rsidRPr="009A64E8" w:rsidRDefault="00B6578D" w:rsidP="00B6578D">
      <w:pPr>
        <w:keepNext/>
        <w:ind w:left="864" w:hanging="864"/>
        <w:outlineLvl w:val="3"/>
        <w:rPr>
          <w:rFonts w:ascii="Cambria" w:eastAsia="Times New Roman" w:hAnsi="Cambria"/>
          <w:b/>
          <w:bCs/>
          <w:sz w:val="24"/>
          <w:szCs w:val="28"/>
          <w:lang w:val="en-US" w:eastAsia="de-CH"/>
        </w:rPr>
      </w:pPr>
      <w:bookmarkStart w:id="0" w:name="_Toc460500634"/>
      <w:r w:rsidRPr="009A64E8">
        <w:rPr>
          <w:rFonts w:ascii="Cambria" w:eastAsia="Times New Roman" w:hAnsi="Cambria"/>
          <w:b/>
          <w:bCs/>
          <w:sz w:val="24"/>
          <w:szCs w:val="28"/>
          <w:lang w:val="en-US" w:eastAsia="de-CH"/>
        </w:rPr>
        <w:t>Materials and Methods</w:t>
      </w:r>
      <w:bookmarkEnd w:id="0"/>
    </w:p>
    <w:p w:rsidR="00B6578D" w:rsidRPr="009A64E8" w:rsidRDefault="00277DC6" w:rsidP="00B6578D">
      <w:pPr>
        <w:spacing w:line="312" w:lineRule="auto"/>
        <w:rPr>
          <w:rFonts w:cs="Calibri"/>
          <w:i/>
          <w:lang w:val="en-US"/>
        </w:rPr>
      </w:pPr>
      <w:r w:rsidRPr="009A64E8">
        <w:rPr>
          <w:rFonts w:cs="Calibri"/>
          <w:i/>
          <w:lang w:val="en-US"/>
        </w:rPr>
        <w:t>Study Objective</w:t>
      </w:r>
    </w:p>
    <w:p w:rsidR="00B6578D" w:rsidRPr="00EF4348" w:rsidRDefault="00B6578D" w:rsidP="00B6578D">
      <w:pPr>
        <w:spacing w:line="312" w:lineRule="auto"/>
        <w:ind w:firstLineChars="150" w:firstLine="330"/>
        <w:rPr>
          <w:lang w:val="en-US"/>
        </w:rPr>
      </w:pPr>
      <w:r w:rsidRPr="00EF4348">
        <w:rPr>
          <w:lang w:val="en-US"/>
        </w:rPr>
        <w:t>This retrospective study was formally approved by the ethics committee of the Tianjin Medical University</w:t>
      </w:r>
      <w:r w:rsidRPr="00EF4348" w:rsidDel="00865F2A">
        <w:rPr>
          <w:lang w:val="en-US"/>
        </w:rPr>
        <w:t xml:space="preserve"> </w:t>
      </w:r>
      <w:r w:rsidRPr="00EF4348">
        <w:rPr>
          <w:lang w:val="en-US"/>
        </w:rPr>
        <w:t xml:space="preserve">General Hospital. The data of </w:t>
      </w:r>
      <w:r w:rsidR="009A64E8">
        <w:rPr>
          <w:lang w:val="en-US"/>
        </w:rPr>
        <w:t>herpe</w:t>
      </w:r>
      <w:bookmarkStart w:id="1" w:name="_GoBack"/>
      <w:bookmarkEnd w:id="1"/>
      <w:r w:rsidR="009A64E8">
        <w:rPr>
          <w:lang w:val="en-US"/>
        </w:rPr>
        <w:t>s zoster (</w:t>
      </w:r>
      <w:r w:rsidRPr="00EF4348">
        <w:rPr>
          <w:lang w:val="en-US"/>
        </w:rPr>
        <w:t>HZ</w:t>
      </w:r>
      <w:r w:rsidR="009A64E8">
        <w:rPr>
          <w:lang w:val="en-US"/>
        </w:rPr>
        <w:t>)</w:t>
      </w:r>
      <w:r w:rsidRPr="00EF4348">
        <w:rPr>
          <w:lang w:val="en-US"/>
        </w:rPr>
        <w:t xml:space="preserve"> patients admitted to the Department of Dermatology from January 2017 to December 2017 </w:t>
      </w:r>
      <w:r w:rsidR="009A64E8">
        <w:rPr>
          <w:lang w:val="en-US"/>
        </w:rPr>
        <w:t>were</w:t>
      </w:r>
      <w:r w:rsidRPr="00EF4348">
        <w:rPr>
          <w:lang w:val="en-US"/>
        </w:rPr>
        <w:t xml:space="preserve"> collected. Subjects were required to meet the following inclusion criteria: (</w:t>
      </w:r>
      <w:proofErr w:type="spellStart"/>
      <w:r w:rsidRPr="00EF4348">
        <w:rPr>
          <w:lang w:val="en-US"/>
        </w:rPr>
        <w:t>i</w:t>
      </w:r>
      <w:proofErr w:type="spellEnd"/>
      <w:r w:rsidRPr="00EF4348">
        <w:rPr>
          <w:lang w:val="en-US"/>
        </w:rPr>
        <w:t xml:space="preserve">) </w:t>
      </w:r>
      <w:r w:rsidR="009A64E8">
        <w:rPr>
          <w:lang w:val="en-US"/>
        </w:rPr>
        <w:t xml:space="preserve">diagnosis of HZ for </w:t>
      </w:r>
      <w:r w:rsidRPr="00EF4348">
        <w:rPr>
          <w:lang w:val="en-US"/>
        </w:rPr>
        <w:t xml:space="preserve">both </w:t>
      </w:r>
      <w:r w:rsidRPr="00913EC8">
        <w:rPr>
          <w:lang w:val="en-US"/>
        </w:rPr>
        <w:t>men and women</w:t>
      </w:r>
      <w:r w:rsidRPr="00EF4348">
        <w:rPr>
          <w:lang w:val="en-US"/>
        </w:rPr>
        <w:t xml:space="preserve">, (ii) over 14 years </w:t>
      </w:r>
      <w:r w:rsidR="009A64E8">
        <w:rPr>
          <w:lang w:val="en-US"/>
        </w:rPr>
        <w:t>of age</w:t>
      </w:r>
      <w:r w:rsidRPr="00EF4348">
        <w:rPr>
          <w:rFonts w:cs="Calibri" w:hint="eastAsia"/>
          <w:lang w:val="en-US" w:eastAsia="zh-CN"/>
        </w:rPr>
        <w:t>,</w:t>
      </w:r>
      <w:r w:rsidRPr="00EF4348">
        <w:rPr>
          <w:lang w:val="en-US"/>
        </w:rPr>
        <w:t xml:space="preserve"> (iii) complete </w:t>
      </w:r>
      <w:bookmarkStart w:id="2" w:name="_Hlk6054184"/>
      <w:bookmarkStart w:id="3" w:name="OLE_LINK12"/>
      <w:r w:rsidRPr="00EF4348">
        <w:rPr>
          <w:lang w:val="en-US"/>
        </w:rPr>
        <w:t xml:space="preserve">major medical records </w:t>
      </w:r>
      <w:r w:rsidRPr="00EF4348">
        <w:rPr>
          <w:rFonts w:cs="Calibri" w:hint="eastAsia"/>
          <w:lang w:val="en-US" w:eastAsia="zh-CN"/>
        </w:rPr>
        <w:t>which</w:t>
      </w:r>
      <w:r w:rsidRPr="00EF4348">
        <w:rPr>
          <w:rFonts w:cs="Calibri"/>
          <w:lang w:val="en-US"/>
        </w:rPr>
        <w:t xml:space="preserve"> </w:t>
      </w:r>
      <w:r w:rsidRPr="00EF4348">
        <w:rPr>
          <w:rFonts w:cs="Calibri" w:hint="eastAsia"/>
          <w:lang w:val="en-US" w:eastAsia="zh-CN"/>
        </w:rPr>
        <w:t>include</w:t>
      </w:r>
      <w:r w:rsidRPr="00EF4348">
        <w:rPr>
          <w:rFonts w:cs="Calibri"/>
          <w:lang w:val="en-US"/>
        </w:rPr>
        <w:t xml:space="preserve"> </w:t>
      </w:r>
      <w:r w:rsidRPr="00EF4348">
        <w:rPr>
          <w:rFonts w:cs="Calibri" w:hint="eastAsia"/>
          <w:lang w:val="en-US" w:eastAsia="zh-CN"/>
        </w:rPr>
        <w:t>g</w:t>
      </w:r>
      <w:r w:rsidRPr="00EF4348">
        <w:rPr>
          <w:rFonts w:cs="Calibri"/>
          <w:lang w:val="en-US"/>
        </w:rPr>
        <w:t>eneral data (gender and age) and clinical data (length of stay, pathogenesis, initial symptoms and first diagnosis, involved nerves, clinical classifications, pain grading, outcome)</w:t>
      </w:r>
      <w:bookmarkEnd w:id="2"/>
      <w:bookmarkEnd w:id="3"/>
      <w:r w:rsidRPr="00EF4348">
        <w:rPr>
          <w:rFonts w:cs="Calibri"/>
          <w:lang w:val="en-US"/>
        </w:rPr>
        <w:t xml:space="preserve">, </w:t>
      </w:r>
      <w:r w:rsidR="009A64E8">
        <w:rPr>
          <w:rFonts w:cs="Calibri"/>
          <w:lang w:val="en-US"/>
        </w:rPr>
        <w:t xml:space="preserve">and </w:t>
      </w:r>
      <w:r w:rsidRPr="00EF4348">
        <w:rPr>
          <w:rFonts w:cs="Calibri"/>
          <w:lang w:val="en-US"/>
        </w:rPr>
        <w:t xml:space="preserve">(iv) </w:t>
      </w:r>
      <w:r w:rsidRPr="00EF4348">
        <w:rPr>
          <w:lang w:val="en-US"/>
        </w:rPr>
        <w:t>follow</w:t>
      </w:r>
      <w:r w:rsidR="009A64E8">
        <w:rPr>
          <w:lang w:val="en-US"/>
        </w:rPr>
        <w:t>-</w:t>
      </w:r>
      <w:r w:rsidRPr="00EF4348">
        <w:rPr>
          <w:lang w:val="en-US"/>
        </w:rPr>
        <w:t xml:space="preserve">up </w:t>
      </w:r>
      <w:r w:rsidR="009A64E8">
        <w:rPr>
          <w:lang w:val="en-US"/>
        </w:rPr>
        <w:t>of</w:t>
      </w:r>
      <w:r w:rsidRPr="00EF4348">
        <w:rPr>
          <w:lang w:val="en-US"/>
        </w:rPr>
        <w:t xml:space="preserve"> </w:t>
      </w:r>
      <w:r w:rsidR="009A64E8">
        <w:rPr>
          <w:lang w:val="en-US"/>
        </w:rPr>
        <w:t>3</w:t>
      </w:r>
      <w:r w:rsidRPr="00EF4348">
        <w:rPr>
          <w:lang w:val="en-US"/>
        </w:rPr>
        <w:t xml:space="preserve"> months </w:t>
      </w:r>
      <w:r w:rsidR="009A64E8">
        <w:rPr>
          <w:lang w:val="en-US"/>
        </w:rPr>
        <w:t>after</w:t>
      </w:r>
      <w:r w:rsidRPr="00EF4348">
        <w:rPr>
          <w:lang w:val="en-US"/>
        </w:rPr>
        <w:t xml:space="preserve"> discharge.</w:t>
      </w:r>
    </w:p>
    <w:p w:rsidR="00B6578D" w:rsidRPr="009A64E8" w:rsidRDefault="00B6578D" w:rsidP="00B6578D">
      <w:pPr>
        <w:spacing w:line="312" w:lineRule="auto"/>
        <w:rPr>
          <w:rFonts w:cs="Calibri"/>
          <w:i/>
          <w:lang w:val="en-US"/>
        </w:rPr>
      </w:pPr>
      <w:r w:rsidRPr="009A64E8">
        <w:rPr>
          <w:rFonts w:cs="Calibri"/>
          <w:i/>
          <w:lang w:val="en-US"/>
        </w:rPr>
        <w:t xml:space="preserve">Definition of </w:t>
      </w:r>
      <w:r w:rsidR="009A64E8">
        <w:rPr>
          <w:rFonts w:cs="Calibri"/>
          <w:i/>
          <w:lang w:val="en-US"/>
        </w:rPr>
        <w:t>Postherpetic Neuralgia</w:t>
      </w:r>
      <w:r w:rsidRPr="009A64E8">
        <w:rPr>
          <w:rFonts w:cs="Calibri"/>
          <w:i/>
          <w:lang w:val="en-US"/>
        </w:rPr>
        <w:t xml:space="preserve"> </w:t>
      </w:r>
    </w:p>
    <w:p w:rsidR="00B6578D" w:rsidRPr="00EF4348" w:rsidRDefault="00B6578D" w:rsidP="00B6578D">
      <w:pPr>
        <w:spacing w:line="312" w:lineRule="auto"/>
        <w:ind w:firstLineChars="150" w:firstLine="330"/>
        <w:rPr>
          <w:rFonts w:cs="Calibri"/>
          <w:color w:val="000000"/>
          <w:lang w:val="en-US"/>
        </w:rPr>
      </w:pPr>
      <w:r w:rsidRPr="00EF4348">
        <w:rPr>
          <w:lang w:val="en-US"/>
        </w:rPr>
        <w:t xml:space="preserve">The basic definition of </w:t>
      </w:r>
      <w:r w:rsidR="009A64E8">
        <w:rPr>
          <w:lang w:val="en-US"/>
        </w:rPr>
        <w:t>postherpetic neuralgia (</w:t>
      </w:r>
      <w:r w:rsidRPr="00EF4348">
        <w:rPr>
          <w:lang w:val="en-US"/>
        </w:rPr>
        <w:t>PHN</w:t>
      </w:r>
      <w:r w:rsidR="009A64E8">
        <w:rPr>
          <w:lang w:val="en-US"/>
        </w:rPr>
        <w:t>)</w:t>
      </w:r>
      <w:r w:rsidRPr="00EF4348">
        <w:rPr>
          <w:lang w:val="en-US"/>
        </w:rPr>
        <w:t xml:space="preserve"> used in this study is pain persisting for more than </w:t>
      </w:r>
      <w:r w:rsidR="009A64E8">
        <w:rPr>
          <w:lang w:val="en-US"/>
        </w:rPr>
        <w:t>3</w:t>
      </w:r>
      <w:r w:rsidRPr="00EF4348">
        <w:rPr>
          <w:lang w:val="en-US"/>
        </w:rPr>
        <w:t xml:space="preserve"> months after a diagnosis of HZ. Pain was defined as including spontaneous pain, hyperalgesia,</w:t>
      </w:r>
      <w:r w:rsidRPr="00EF4348">
        <w:rPr>
          <w:rFonts w:cs="Calibri"/>
          <w:color w:val="000000"/>
          <w:lang w:val="en-US"/>
        </w:rPr>
        <w:t xml:space="preserve"> and paresthesia.</w:t>
      </w:r>
    </w:p>
    <w:p w:rsidR="00B6578D" w:rsidRPr="009A64E8" w:rsidRDefault="00277DC6" w:rsidP="00B6578D">
      <w:pPr>
        <w:spacing w:line="312" w:lineRule="auto"/>
        <w:rPr>
          <w:rFonts w:cs="Calibri"/>
          <w:i/>
          <w:lang w:val="en-US"/>
        </w:rPr>
      </w:pPr>
      <w:r w:rsidRPr="009A64E8">
        <w:rPr>
          <w:rFonts w:cs="Calibri"/>
          <w:i/>
          <w:lang w:val="en-US"/>
        </w:rPr>
        <w:t xml:space="preserve">Potential Risk Factors </w:t>
      </w:r>
      <w:r w:rsidR="007E5190" w:rsidRPr="009A64E8">
        <w:rPr>
          <w:rFonts w:cs="Calibri"/>
          <w:i/>
          <w:lang w:val="en-US"/>
        </w:rPr>
        <w:t>for</w:t>
      </w:r>
      <w:r w:rsidRPr="009A64E8">
        <w:rPr>
          <w:rFonts w:cs="Calibri"/>
          <w:i/>
          <w:lang w:val="en-US"/>
        </w:rPr>
        <w:t xml:space="preserve"> PHN Involved in This Study </w:t>
      </w:r>
    </w:p>
    <w:p w:rsidR="00B6578D" w:rsidRPr="00EF4348" w:rsidRDefault="00B6578D" w:rsidP="00B6578D">
      <w:pPr>
        <w:spacing w:line="312" w:lineRule="auto"/>
        <w:rPr>
          <w:rFonts w:cs="Calibri"/>
          <w:lang w:val="en-US"/>
        </w:rPr>
      </w:pPr>
      <w:r w:rsidRPr="00EF4348">
        <w:rPr>
          <w:rFonts w:cs="Calibri"/>
          <w:color w:val="000000"/>
          <w:lang w:val="en-US"/>
        </w:rPr>
        <w:t xml:space="preserve">Potential factors leading to PHN were collected and summarized as follows: gender, age, involved nerves, </w:t>
      </w:r>
      <w:r w:rsidRPr="00EF4348">
        <w:rPr>
          <w:rFonts w:cs="Calibri"/>
          <w:color w:val="000000" w:themeColor="text1"/>
          <w:lang w:val="en-US"/>
        </w:rPr>
        <w:t>side of the body on which HZ occur</w:t>
      </w:r>
      <w:r w:rsidR="009A64E8">
        <w:rPr>
          <w:rFonts w:cs="Calibri"/>
          <w:color w:val="000000" w:themeColor="text1"/>
          <w:lang w:val="en-US"/>
        </w:rPr>
        <w:t>r</w:t>
      </w:r>
      <w:r w:rsidRPr="00EF4348">
        <w:rPr>
          <w:rFonts w:cs="Calibri"/>
          <w:color w:val="000000" w:themeColor="text1"/>
          <w:lang w:val="en-US"/>
        </w:rPr>
        <w:t>ed</w:t>
      </w:r>
      <w:r w:rsidRPr="00EF4348">
        <w:rPr>
          <w:rFonts w:cs="Calibri"/>
          <w:color w:val="000000"/>
          <w:lang w:val="en-US"/>
        </w:rPr>
        <w:t xml:space="preserve">, clinical classification of HZ, degree of pain, initial symptoms, </w:t>
      </w:r>
      <w:r w:rsidRPr="00BC3A69">
        <w:rPr>
          <w:color w:val="000000"/>
          <w:lang w:val="en-US"/>
        </w:rPr>
        <w:t>glucocorticoid</w:t>
      </w:r>
      <w:r w:rsidRPr="00EF4348">
        <w:rPr>
          <w:rFonts w:cs="Calibri"/>
          <w:color w:val="000000"/>
          <w:lang w:val="en-US"/>
        </w:rPr>
        <w:t xml:space="preserve"> use, </w:t>
      </w:r>
      <w:r w:rsidR="009A64E8">
        <w:rPr>
          <w:rFonts w:cs="Calibri"/>
          <w:color w:val="000000"/>
          <w:lang w:val="en-US"/>
        </w:rPr>
        <w:t xml:space="preserve">and </w:t>
      </w:r>
      <w:r w:rsidRPr="00EF4348">
        <w:rPr>
          <w:rFonts w:cs="Calibri"/>
          <w:color w:val="000000"/>
          <w:lang w:val="en-US"/>
        </w:rPr>
        <w:t>interval from onset to antiviral therapy. Verbal rating scales were used to quantify the pain degree of HZ patients: (</w:t>
      </w:r>
      <w:proofErr w:type="spellStart"/>
      <w:r w:rsidRPr="00EF4348">
        <w:rPr>
          <w:rFonts w:cs="Calibri"/>
          <w:color w:val="000000"/>
          <w:lang w:val="en-US"/>
        </w:rPr>
        <w:t>i</w:t>
      </w:r>
      <w:proofErr w:type="spellEnd"/>
      <w:r w:rsidRPr="00EF4348">
        <w:rPr>
          <w:rFonts w:cs="Calibri"/>
          <w:color w:val="000000"/>
          <w:lang w:val="en-US"/>
        </w:rPr>
        <w:t>) grade 1</w:t>
      </w:r>
      <w:r w:rsidR="00112B12">
        <w:rPr>
          <w:rFonts w:cs="Calibri"/>
          <w:color w:val="000000"/>
          <w:lang w:val="en-US"/>
        </w:rPr>
        <w:t xml:space="preserve"> </w:t>
      </w:r>
      <w:r w:rsidRPr="00EF4348">
        <w:rPr>
          <w:rFonts w:cs="Calibri"/>
          <w:color w:val="000000"/>
          <w:lang w:val="en-US"/>
        </w:rPr>
        <w:t>= completely painless, (ii) grade 2</w:t>
      </w:r>
      <w:r w:rsidR="00112B12">
        <w:rPr>
          <w:rFonts w:cs="Calibri"/>
          <w:color w:val="000000"/>
          <w:lang w:val="en-US"/>
        </w:rPr>
        <w:t xml:space="preserve"> </w:t>
      </w:r>
      <w:r w:rsidRPr="00EF4348">
        <w:rPr>
          <w:rFonts w:cs="Calibri"/>
          <w:color w:val="000000"/>
          <w:lang w:val="en-US"/>
        </w:rPr>
        <w:t xml:space="preserve">= </w:t>
      </w:r>
      <w:r w:rsidRPr="00EF4348">
        <w:rPr>
          <w:rFonts w:cs="Calibri"/>
          <w:lang w:val="en-US"/>
        </w:rPr>
        <w:t>mild pain, tolerable, undisturbed daily life and sleep, (iii) grade 3</w:t>
      </w:r>
      <w:r w:rsidR="00112B12">
        <w:rPr>
          <w:rFonts w:cs="Calibri"/>
          <w:lang w:val="en-US"/>
        </w:rPr>
        <w:t xml:space="preserve"> </w:t>
      </w:r>
      <w:r w:rsidRPr="00EF4348">
        <w:rPr>
          <w:rFonts w:cs="Calibri"/>
          <w:lang w:val="en-US"/>
        </w:rPr>
        <w:t xml:space="preserve">= moderate pain, obviously intolerable, </w:t>
      </w:r>
      <w:r w:rsidR="00112B12">
        <w:rPr>
          <w:rFonts w:cs="Calibri"/>
          <w:lang w:val="en-US"/>
        </w:rPr>
        <w:t xml:space="preserve">undisturbed </w:t>
      </w:r>
      <w:r w:rsidRPr="00EF4348">
        <w:rPr>
          <w:rFonts w:cs="Calibri"/>
          <w:lang w:val="en-US"/>
        </w:rPr>
        <w:t xml:space="preserve">daily life but can affect sleep, requires the use of analgesics, </w:t>
      </w:r>
      <w:r w:rsidR="00112B12">
        <w:rPr>
          <w:rFonts w:cs="Calibri"/>
          <w:lang w:val="en-US"/>
        </w:rPr>
        <w:t xml:space="preserve">and </w:t>
      </w:r>
      <w:r w:rsidRPr="00EF4348">
        <w:rPr>
          <w:rFonts w:cs="Calibri"/>
          <w:lang w:val="en-US"/>
        </w:rPr>
        <w:t>(</w:t>
      </w:r>
      <w:bookmarkStart w:id="4" w:name="OLE_LINK7"/>
      <w:bookmarkStart w:id="5" w:name="OLE_LINK8"/>
      <w:r w:rsidRPr="00EF4348">
        <w:rPr>
          <w:rFonts w:cs="Calibri"/>
          <w:lang w:val="en-US"/>
        </w:rPr>
        <w:t>iv</w:t>
      </w:r>
      <w:bookmarkEnd w:id="4"/>
      <w:bookmarkEnd w:id="5"/>
      <w:r w:rsidRPr="00EF4348">
        <w:rPr>
          <w:rFonts w:cs="Calibri"/>
          <w:lang w:val="en-US"/>
        </w:rPr>
        <w:t>) grade 4</w:t>
      </w:r>
      <w:r w:rsidR="00112B12">
        <w:rPr>
          <w:rFonts w:cs="Calibri"/>
          <w:lang w:val="en-US"/>
        </w:rPr>
        <w:t xml:space="preserve"> </w:t>
      </w:r>
      <w:r w:rsidRPr="00EF4348">
        <w:rPr>
          <w:rFonts w:cs="Calibri"/>
          <w:lang w:val="en-US"/>
        </w:rPr>
        <w:t>= severe pain,</w:t>
      </w:r>
      <w:r w:rsidRPr="00EF4348">
        <w:rPr>
          <w:lang w:val="en-US"/>
        </w:rPr>
        <w:t xml:space="preserve"> </w:t>
      </w:r>
      <w:r w:rsidR="00112B12">
        <w:rPr>
          <w:lang w:val="en-US"/>
        </w:rPr>
        <w:t>intolerable</w:t>
      </w:r>
      <w:r w:rsidRPr="00EF4348">
        <w:rPr>
          <w:rFonts w:cs="Calibri"/>
          <w:lang w:val="en-US"/>
        </w:rPr>
        <w:t>,</w:t>
      </w:r>
      <w:r w:rsidR="00112B12" w:rsidRPr="00EF4348">
        <w:rPr>
          <w:rFonts w:cs="Calibri"/>
          <w:lang w:val="en-US"/>
        </w:rPr>
        <w:t xml:space="preserve"> severely disturbed</w:t>
      </w:r>
      <w:r w:rsidRPr="00EF4348">
        <w:rPr>
          <w:rFonts w:cs="Calibri"/>
          <w:lang w:val="en-US"/>
        </w:rPr>
        <w:t xml:space="preserve"> daily life and sleep, can be accompanied by autonomic nerve disorder or passive posture, must use analgesics</w:t>
      </w:r>
      <w:r w:rsidR="00965B28">
        <w:rPr>
          <w:rFonts w:cs="Calibri"/>
          <w:lang w:val="en-US"/>
        </w:rPr>
        <w:t xml:space="preserve"> </w:t>
      </w:r>
      <w:r w:rsidRPr="004E05C4">
        <w:rPr>
          <w:lang w:val="en-US"/>
        </w:rPr>
        <w:t>[</w:t>
      </w:r>
      <w:r w:rsidR="00B85A31">
        <w:rPr>
          <w:lang w:val="en-US"/>
        </w:rPr>
        <w:t>15</w:t>
      </w:r>
      <w:r w:rsidRPr="004E05C4">
        <w:rPr>
          <w:lang w:val="en-US"/>
        </w:rPr>
        <w:t>]</w:t>
      </w:r>
      <w:r w:rsidRPr="00EF4348">
        <w:rPr>
          <w:rFonts w:cs="Calibri"/>
          <w:lang w:val="en-US"/>
        </w:rPr>
        <w:t>. Clinical classifica</w:t>
      </w:r>
      <w:r w:rsidR="00112B12">
        <w:rPr>
          <w:rFonts w:cs="Calibri"/>
          <w:lang w:val="en-US"/>
        </w:rPr>
        <w:t>t</w:t>
      </w:r>
      <w:r w:rsidRPr="00EF4348">
        <w:rPr>
          <w:rFonts w:cs="Calibri"/>
          <w:lang w:val="en-US"/>
        </w:rPr>
        <w:t>ions of HZ include general clinical classifica</w:t>
      </w:r>
      <w:r w:rsidR="00112B12">
        <w:rPr>
          <w:rFonts w:cs="Calibri"/>
          <w:lang w:val="en-US"/>
        </w:rPr>
        <w:t>t</w:t>
      </w:r>
      <w:r w:rsidRPr="00EF4348">
        <w:rPr>
          <w:rFonts w:cs="Calibri"/>
          <w:lang w:val="en-US"/>
        </w:rPr>
        <w:t>ions and special clinical classifica</w:t>
      </w:r>
      <w:r w:rsidR="00112B12">
        <w:rPr>
          <w:rFonts w:cs="Calibri"/>
          <w:lang w:val="en-US"/>
        </w:rPr>
        <w:t>t</w:t>
      </w:r>
      <w:r w:rsidRPr="00EF4348">
        <w:rPr>
          <w:rFonts w:cs="Calibri"/>
          <w:lang w:val="en-US"/>
        </w:rPr>
        <w:t xml:space="preserve">ions. </w:t>
      </w:r>
      <w:r w:rsidRPr="00EF4348">
        <w:rPr>
          <w:lang w:val="en-US"/>
        </w:rPr>
        <w:t xml:space="preserve">General clinical </w:t>
      </w:r>
      <w:r w:rsidRPr="00EF4348">
        <w:rPr>
          <w:rFonts w:cs="Calibri"/>
          <w:lang w:val="en-US"/>
        </w:rPr>
        <w:t>classifica</w:t>
      </w:r>
      <w:r w:rsidR="00112B12">
        <w:rPr>
          <w:rFonts w:cs="Calibri"/>
          <w:lang w:val="en-US"/>
        </w:rPr>
        <w:t>t</w:t>
      </w:r>
      <w:r w:rsidRPr="00EF4348">
        <w:rPr>
          <w:rFonts w:cs="Calibri"/>
          <w:lang w:val="en-US"/>
        </w:rPr>
        <w:t xml:space="preserve">ions are divided into </w:t>
      </w:r>
      <w:r w:rsidRPr="00EF4348">
        <w:rPr>
          <w:lang w:val="en-US"/>
        </w:rPr>
        <w:t>vulgaris type, forme fruste, hemorrhagic type, bullous type</w:t>
      </w:r>
      <w:r w:rsidR="00112B12">
        <w:rPr>
          <w:lang w:val="en-US"/>
        </w:rPr>
        <w:t>,</w:t>
      </w:r>
      <w:r w:rsidRPr="00EF4348">
        <w:rPr>
          <w:lang w:val="en-US"/>
        </w:rPr>
        <w:t xml:space="preserve"> and disseminated type</w:t>
      </w:r>
      <w:r w:rsidRPr="00EF4348">
        <w:rPr>
          <w:rFonts w:cs="Calibri"/>
          <w:lang w:val="en-US"/>
        </w:rPr>
        <w:t xml:space="preserve"> according to the type of skin lesion. The last four of these lesion types are more serious. </w:t>
      </w:r>
      <w:r w:rsidRPr="00EF4348">
        <w:rPr>
          <w:lang w:val="en-US"/>
        </w:rPr>
        <w:t>Special clinical classifica</w:t>
      </w:r>
      <w:r w:rsidR="00112B12">
        <w:rPr>
          <w:lang w:val="en-US"/>
        </w:rPr>
        <w:t>t</w:t>
      </w:r>
      <w:r w:rsidRPr="00EF4348">
        <w:rPr>
          <w:lang w:val="en-US"/>
        </w:rPr>
        <w:t xml:space="preserve">ions </w:t>
      </w:r>
      <w:r w:rsidRPr="00EF4348">
        <w:rPr>
          <w:rFonts w:cs="Calibri"/>
          <w:lang w:val="en-US"/>
        </w:rPr>
        <w:t>are divided into</w:t>
      </w:r>
      <w:r w:rsidRPr="00EF4348">
        <w:rPr>
          <w:lang w:val="en-US"/>
        </w:rPr>
        <w:t xml:space="preserve"> trigeminal nerve zoster, herpes zoster oticus,</w:t>
      </w:r>
      <w:r w:rsidRPr="00EF4348">
        <w:rPr>
          <w:rFonts w:cs="Calibri"/>
          <w:lang w:val="en-US"/>
        </w:rPr>
        <w:t xml:space="preserve"> </w:t>
      </w:r>
      <w:r w:rsidRPr="00EF4348">
        <w:rPr>
          <w:lang w:val="en-US"/>
        </w:rPr>
        <w:t>motor paralysis</w:t>
      </w:r>
      <w:r w:rsidR="00112B12">
        <w:rPr>
          <w:lang w:val="en-US"/>
        </w:rPr>
        <w:t>,</w:t>
      </w:r>
      <w:r w:rsidRPr="00EF4348">
        <w:rPr>
          <w:lang w:val="en-US"/>
        </w:rPr>
        <w:t xml:space="preserve"> and visceral zoster</w:t>
      </w:r>
      <w:r w:rsidRPr="00EF4348">
        <w:rPr>
          <w:rFonts w:cs="Calibri"/>
          <w:lang w:val="en-US"/>
        </w:rPr>
        <w:t xml:space="preserve"> according to the site of the skin lesion and the involved nerve</w:t>
      </w:r>
      <w:r w:rsidRPr="00EF4348">
        <w:rPr>
          <w:lang w:val="en-US"/>
        </w:rPr>
        <w:t>.</w:t>
      </w:r>
    </w:p>
    <w:p w:rsidR="00B6578D" w:rsidRPr="009A64E8" w:rsidRDefault="00277DC6" w:rsidP="00B6578D">
      <w:pPr>
        <w:spacing w:line="312" w:lineRule="auto"/>
        <w:rPr>
          <w:rFonts w:cs="Calibri"/>
          <w:i/>
          <w:lang w:val="en-US"/>
        </w:rPr>
      </w:pPr>
      <w:r w:rsidRPr="009A64E8">
        <w:rPr>
          <w:rFonts w:cs="Calibri"/>
          <w:i/>
          <w:lang w:val="en-US"/>
        </w:rPr>
        <w:t>Data Analysis</w:t>
      </w:r>
    </w:p>
    <w:p w:rsidR="00B6578D" w:rsidRPr="00EF4348" w:rsidRDefault="00B6578D" w:rsidP="00B6578D">
      <w:pPr>
        <w:spacing w:line="312" w:lineRule="auto"/>
        <w:ind w:firstLineChars="200" w:firstLine="440"/>
        <w:rPr>
          <w:rFonts w:cs="Calibri"/>
          <w:color w:val="000000" w:themeColor="text1"/>
          <w:lang w:val="en-US"/>
        </w:rPr>
      </w:pPr>
      <w:r w:rsidRPr="00EF4348">
        <w:rPr>
          <w:rFonts w:cs="Calibri"/>
          <w:color w:val="000000" w:themeColor="text1"/>
          <w:lang w:val="en-US"/>
        </w:rPr>
        <w:t>All clinical data were statistically analyzed using IBM SPSS v23.0 statistical software (</w:t>
      </w:r>
      <w:r w:rsidRPr="00EF4348">
        <w:rPr>
          <w:rFonts w:cs="Calibri"/>
          <w:color w:val="000000" w:themeColor="text1"/>
          <w:shd w:val="clear" w:color="auto" w:fill="FFFFFF"/>
          <w:lang w:val="en-US"/>
        </w:rPr>
        <w:t xml:space="preserve">IBM </w:t>
      </w:r>
      <w:r w:rsidR="00112B12" w:rsidRPr="00EF4348">
        <w:rPr>
          <w:rFonts w:cs="Calibri"/>
          <w:color w:val="000000" w:themeColor="text1"/>
          <w:shd w:val="clear" w:color="auto" w:fill="FFFFFF"/>
          <w:lang w:val="en-US"/>
        </w:rPr>
        <w:t>Corporation</w:t>
      </w:r>
      <w:r w:rsidRPr="00EF4348">
        <w:rPr>
          <w:rFonts w:cs="Calibri"/>
          <w:color w:val="000000" w:themeColor="text1"/>
          <w:shd w:val="clear" w:color="auto" w:fill="FFFFFF"/>
          <w:lang w:val="en-US"/>
        </w:rPr>
        <w:t>, USA</w:t>
      </w:r>
      <w:r w:rsidRPr="00EF4348">
        <w:rPr>
          <w:rFonts w:cs="Calibri"/>
          <w:color w:val="000000" w:themeColor="text1"/>
          <w:lang w:val="en-US"/>
        </w:rPr>
        <w:t xml:space="preserve">), and the measurement data were represented by mean ± standard deviation. </w:t>
      </w:r>
      <w:r w:rsidRPr="004E05C4">
        <w:rPr>
          <w:color w:val="000000" w:themeColor="text1"/>
          <w:lang w:val="en-US"/>
        </w:rPr>
        <w:t xml:space="preserve">According to the occurrence of </w:t>
      </w:r>
      <w:r w:rsidR="009A64E8">
        <w:rPr>
          <w:color w:val="000000" w:themeColor="text1"/>
          <w:lang w:val="en-US"/>
        </w:rPr>
        <w:t>PHN</w:t>
      </w:r>
      <w:r w:rsidRPr="004E05C4">
        <w:rPr>
          <w:color w:val="000000" w:themeColor="text1"/>
          <w:lang w:val="en-US"/>
        </w:rPr>
        <w:t xml:space="preserve">, the patients were divided into a </w:t>
      </w:r>
      <w:r w:rsidR="009A64E8">
        <w:rPr>
          <w:color w:val="000000" w:themeColor="text1"/>
          <w:lang w:val="en-US"/>
        </w:rPr>
        <w:t>PHN</w:t>
      </w:r>
      <w:r w:rsidRPr="004E05C4">
        <w:rPr>
          <w:color w:val="000000" w:themeColor="text1"/>
          <w:lang w:val="en-US"/>
        </w:rPr>
        <w:t xml:space="preserve"> group and a non-</w:t>
      </w:r>
      <w:r w:rsidR="009A64E8">
        <w:rPr>
          <w:color w:val="000000" w:themeColor="text1"/>
          <w:lang w:val="en-US"/>
        </w:rPr>
        <w:t>PHN</w:t>
      </w:r>
      <w:r w:rsidRPr="004E05C4">
        <w:rPr>
          <w:color w:val="000000" w:themeColor="text1"/>
          <w:lang w:val="en-US"/>
        </w:rPr>
        <w:t xml:space="preserve"> group. </w:t>
      </w:r>
      <w:r w:rsidRPr="00EF4348">
        <w:rPr>
          <w:rFonts w:cs="Calibri"/>
          <w:color w:val="000000" w:themeColor="text1"/>
          <w:lang w:val="en-US"/>
        </w:rPr>
        <w:t>The comparison of mean values between different groups was performed using</w:t>
      </w:r>
      <w:r w:rsidRPr="00EF4348" w:rsidDel="00D7096C">
        <w:rPr>
          <w:rFonts w:cs="Calibri"/>
          <w:color w:val="000000" w:themeColor="text1"/>
          <w:lang w:val="en-US"/>
        </w:rPr>
        <w:t xml:space="preserve"> </w:t>
      </w:r>
      <w:r w:rsidRPr="00EF4348">
        <w:rPr>
          <w:rFonts w:cs="Calibri"/>
          <w:color w:val="000000" w:themeColor="text1"/>
          <w:lang w:val="en-US"/>
        </w:rPr>
        <w:t xml:space="preserve">ANOVA, and the </w:t>
      </w:r>
      <w:r w:rsidR="00112B12">
        <w:rPr>
          <w:rFonts w:cs="Calibri"/>
          <w:color w:val="000000" w:themeColor="text1"/>
          <w:lang w:val="en-US"/>
        </w:rPr>
        <w:t>χ</w:t>
      </w:r>
      <w:r w:rsidR="00112B12">
        <w:rPr>
          <w:rFonts w:cs="Calibri"/>
          <w:color w:val="000000" w:themeColor="text1"/>
          <w:vertAlign w:val="superscript"/>
          <w:lang w:val="en-US"/>
        </w:rPr>
        <w:t>2</w:t>
      </w:r>
      <w:r w:rsidRPr="00EF4348">
        <w:rPr>
          <w:rFonts w:cs="Calibri"/>
          <w:color w:val="000000" w:themeColor="text1"/>
          <w:lang w:val="en-US"/>
        </w:rPr>
        <w:t xml:space="preserve"> test or Fisher's exact probability method was used to compare the rates between </w:t>
      </w:r>
      <w:r w:rsidRPr="00112B12">
        <w:rPr>
          <w:rFonts w:cs="Calibri"/>
          <w:color w:val="000000" w:themeColor="text1"/>
          <w:lang w:val="en-US"/>
        </w:rPr>
        <w:t>counting data sets</w:t>
      </w:r>
      <w:r w:rsidRPr="00EF4348">
        <w:rPr>
          <w:rFonts w:cs="Calibri"/>
          <w:color w:val="000000" w:themeColor="text1"/>
          <w:lang w:val="en-US"/>
        </w:rPr>
        <w:t>. The rank</w:t>
      </w:r>
      <w:r w:rsidR="00112B12">
        <w:rPr>
          <w:rFonts w:cs="Calibri"/>
          <w:color w:val="000000" w:themeColor="text1"/>
          <w:lang w:val="en-US"/>
        </w:rPr>
        <w:t>-</w:t>
      </w:r>
      <w:r w:rsidRPr="00EF4348">
        <w:rPr>
          <w:rFonts w:cs="Calibri"/>
          <w:color w:val="000000" w:themeColor="text1"/>
          <w:lang w:val="en-US"/>
        </w:rPr>
        <w:t>sum test was used to compare the rates among the rank data sets and Spearman</w:t>
      </w:r>
      <w:r w:rsidR="00112B12">
        <w:rPr>
          <w:rFonts w:cs="Calibri"/>
          <w:color w:val="000000" w:themeColor="text1"/>
          <w:lang w:val="en-US"/>
        </w:rPr>
        <w:t>’s</w:t>
      </w:r>
      <w:r w:rsidRPr="00EF4348">
        <w:rPr>
          <w:rFonts w:cs="Calibri"/>
          <w:color w:val="000000" w:themeColor="text1"/>
          <w:lang w:val="en-US"/>
        </w:rPr>
        <w:t xml:space="preserve"> rank correlation coefficient was adopted for correlation analysis. The Bonferroni method was used to correct the significance level before pairwise comparison with </w:t>
      </w:r>
      <w:r w:rsidR="00112B12">
        <w:rPr>
          <w:rFonts w:cs="Calibri"/>
          <w:color w:val="000000" w:themeColor="text1"/>
          <w:lang w:val="en-US"/>
        </w:rPr>
        <w:t>the χ</w:t>
      </w:r>
      <w:r w:rsidR="00112B12">
        <w:rPr>
          <w:rFonts w:cs="Calibri"/>
          <w:color w:val="000000" w:themeColor="text1"/>
          <w:vertAlign w:val="superscript"/>
          <w:lang w:val="en-US"/>
        </w:rPr>
        <w:t>2</w:t>
      </w:r>
      <w:r w:rsidRPr="00EF4348">
        <w:rPr>
          <w:rFonts w:cs="Calibri"/>
          <w:color w:val="000000" w:themeColor="text1"/>
          <w:lang w:val="en-US"/>
        </w:rPr>
        <w:t xml:space="preserve"> test in the same data set. Finally, logistic regression was used to analyze the influencing factors. A </w:t>
      </w:r>
      <w:r w:rsidR="00112B12" w:rsidRPr="00112B12">
        <w:rPr>
          <w:rFonts w:cs="Calibri"/>
          <w:i/>
          <w:color w:val="000000" w:themeColor="text1"/>
          <w:lang w:val="en-US"/>
        </w:rPr>
        <w:t>p</w:t>
      </w:r>
      <w:r w:rsidRPr="00EF4348">
        <w:rPr>
          <w:rFonts w:cs="Calibri"/>
          <w:color w:val="000000" w:themeColor="text1"/>
          <w:lang w:val="en-US"/>
        </w:rPr>
        <w:t xml:space="preserve"> value of &lt;0.05 was considered statistically significant for all analysis methods</w:t>
      </w:r>
      <w:r w:rsidRPr="00EF4348">
        <w:rPr>
          <w:rFonts w:cs="Calibri" w:hint="eastAsia"/>
          <w:color w:val="000000" w:themeColor="text1"/>
          <w:lang w:val="en-US" w:eastAsia="zh-CN"/>
        </w:rPr>
        <w:t>.</w:t>
      </w:r>
    </w:p>
    <w:p w:rsidR="00D97653" w:rsidRPr="00B6578D" w:rsidRDefault="00D97653">
      <w:pPr>
        <w:rPr>
          <w:lang w:val="en-US"/>
        </w:rPr>
      </w:pPr>
    </w:p>
    <w:sectPr w:rsidR="00D97653" w:rsidRPr="00B657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8D"/>
    <w:rsid w:val="00112B12"/>
    <w:rsid w:val="00277DC6"/>
    <w:rsid w:val="003B0C51"/>
    <w:rsid w:val="007E5190"/>
    <w:rsid w:val="00913EC8"/>
    <w:rsid w:val="00965B28"/>
    <w:rsid w:val="009A64E8"/>
    <w:rsid w:val="00B6578D"/>
    <w:rsid w:val="00B85A31"/>
    <w:rsid w:val="00D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1AC59"/>
  <w15:chartTrackingRefBased/>
  <w15:docId w15:val="{528B1745-847B-4AA3-8D9D-D7144F9C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78D"/>
    <w:pPr>
      <w:spacing w:after="120" w:line="240" w:lineRule="auto"/>
    </w:pPr>
    <w:rPr>
      <w:rFonts w:ascii="Calibri" w:eastAsia="SimSu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Vera Warren</cp:lastModifiedBy>
  <cp:revision>7</cp:revision>
  <dcterms:created xsi:type="dcterms:W3CDTF">2019-04-24T10:01:00Z</dcterms:created>
  <dcterms:modified xsi:type="dcterms:W3CDTF">2019-05-23T09:39:00Z</dcterms:modified>
</cp:coreProperties>
</file>