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78" w:rsidRPr="00F75582" w:rsidRDefault="00B66511" w:rsidP="00542678">
      <w:pPr>
        <w:suppressLineNumbers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Materials and </w:t>
      </w:r>
      <w:r w:rsidR="00542678" w:rsidRPr="00F75582">
        <w:rPr>
          <w:rFonts w:ascii="Calibri" w:hAnsi="Calibri" w:cs="Calibri"/>
          <w:b/>
          <w:sz w:val="22"/>
          <w:szCs w:val="22"/>
        </w:rPr>
        <w:t>Methods</w:t>
      </w:r>
    </w:p>
    <w:p w:rsidR="00542678" w:rsidRPr="00F75582" w:rsidRDefault="00542678" w:rsidP="00542678">
      <w:pPr>
        <w:suppressLineNumbers/>
        <w:spacing w:line="480" w:lineRule="auto"/>
        <w:rPr>
          <w:rFonts w:ascii="Calibri" w:hAnsi="Calibri" w:cs="Calibri"/>
          <w:sz w:val="22"/>
          <w:szCs w:val="22"/>
        </w:rPr>
      </w:pPr>
    </w:p>
    <w:p w:rsidR="00542678" w:rsidRPr="00F75582" w:rsidRDefault="00542678" w:rsidP="00542678">
      <w:pPr>
        <w:spacing w:line="480" w:lineRule="auto"/>
        <w:rPr>
          <w:rFonts w:ascii="Calibri" w:hAnsi="Calibri" w:cs="Calibri"/>
          <w:sz w:val="22"/>
          <w:szCs w:val="22"/>
        </w:rPr>
      </w:pPr>
      <w:r w:rsidRPr="00F75582">
        <w:rPr>
          <w:rFonts w:ascii="Calibri" w:hAnsi="Calibri" w:cs="Calibri"/>
          <w:sz w:val="22"/>
          <w:szCs w:val="22"/>
        </w:rPr>
        <w:t xml:space="preserve">This </w:t>
      </w:r>
      <w:bookmarkStart w:id="0" w:name="_GoBack"/>
      <w:bookmarkEnd w:id="0"/>
      <w:r w:rsidRPr="00F75582">
        <w:rPr>
          <w:rFonts w:ascii="Calibri" w:hAnsi="Calibri" w:cs="Calibri"/>
          <w:sz w:val="22"/>
          <w:szCs w:val="22"/>
        </w:rPr>
        <w:t>retrospective cohort study was conducted in a tertiary University Hospital setting (West London Cancer Centre, Imperial College NHS Trust) over 10 years by examining the records of all women at Hammersmith and St</w:t>
      </w:r>
      <w:r w:rsidR="00E20FD6">
        <w:rPr>
          <w:rFonts w:ascii="Calibri" w:hAnsi="Calibri" w:cs="Calibri"/>
          <w:sz w:val="22"/>
          <w:szCs w:val="22"/>
        </w:rPr>
        <w:t>.</w:t>
      </w:r>
      <w:r w:rsidRPr="00F75582">
        <w:rPr>
          <w:rFonts w:ascii="Calibri" w:hAnsi="Calibri" w:cs="Calibri"/>
          <w:sz w:val="22"/>
          <w:szCs w:val="22"/>
        </w:rPr>
        <w:t xml:space="preserve"> Mary’s Hospitals diagnosed with </w:t>
      </w:r>
      <w:r w:rsidR="00245D77">
        <w:rPr>
          <w:rFonts w:ascii="Calibri" w:hAnsi="Calibri" w:cs="Calibri"/>
          <w:sz w:val="22"/>
          <w:szCs w:val="22"/>
        </w:rPr>
        <w:t>vulvar intraepithelial neoplas</w:t>
      </w:r>
      <w:r w:rsidR="00755546">
        <w:rPr>
          <w:rFonts w:ascii="Calibri" w:hAnsi="Calibri" w:cs="Calibri"/>
          <w:sz w:val="22"/>
          <w:szCs w:val="22"/>
        </w:rPr>
        <w:t>i</w:t>
      </w:r>
      <w:r w:rsidR="00245D77">
        <w:rPr>
          <w:rFonts w:ascii="Calibri" w:hAnsi="Calibri" w:cs="Calibri"/>
          <w:sz w:val="22"/>
          <w:szCs w:val="22"/>
        </w:rPr>
        <w:t>a</w:t>
      </w:r>
      <w:r w:rsidR="00755546">
        <w:rPr>
          <w:rFonts w:ascii="Calibri" w:hAnsi="Calibri" w:cs="Calibri"/>
          <w:sz w:val="22"/>
          <w:szCs w:val="22"/>
        </w:rPr>
        <w:t xml:space="preserve"> (</w:t>
      </w:r>
      <w:r w:rsidRPr="00F75582">
        <w:rPr>
          <w:rFonts w:ascii="Calibri" w:hAnsi="Calibri" w:cs="Calibri"/>
          <w:sz w:val="22"/>
          <w:szCs w:val="22"/>
        </w:rPr>
        <w:t>VIN</w:t>
      </w:r>
      <w:r w:rsidR="00755546">
        <w:rPr>
          <w:rFonts w:ascii="Calibri" w:hAnsi="Calibri" w:cs="Calibri"/>
          <w:sz w:val="22"/>
          <w:szCs w:val="22"/>
        </w:rPr>
        <w:t>)</w:t>
      </w:r>
      <w:r w:rsidRPr="00F75582">
        <w:rPr>
          <w:rFonts w:ascii="Calibri" w:hAnsi="Calibri" w:cs="Calibri"/>
          <w:sz w:val="22"/>
          <w:szCs w:val="22"/>
        </w:rPr>
        <w:t xml:space="preserve"> between January 2002 and December 2011. All women diagnosed with VIN (</w:t>
      </w:r>
      <w:r w:rsidRPr="00755546">
        <w:rPr>
          <w:rFonts w:ascii="Calibri" w:hAnsi="Calibri" w:cs="Calibri"/>
          <w:i/>
          <w:sz w:val="22"/>
          <w:szCs w:val="22"/>
        </w:rPr>
        <w:t>n</w:t>
      </w:r>
      <w:r w:rsidR="00755546">
        <w:rPr>
          <w:rFonts w:ascii="Calibri" w:hAnsi="Calibri" w:cs="Calibri"/>
          <w:sz w:val="22"/>
          <w:szCs w:val="22"/>
        </w:rPr>
        <w:t xml:space="preserve"> </w:t>
      </w:r>
      <w:r w:rsidRPr="00F75582">
        <w:rPr>
          <w:rFonts w:ascii="Calibri" w:hAnsi="Calibri" w:cs="Calibri"/>
          <w:sz w:val="22"/>
          <w:szCs w:val="22"/>
        </w:rPr>
        <w:t>=</w:t>
      </w:r>
      <w:r w:rsidR="00755546">
        <w:rPr>
          <w:rFonts w:ascii="Calibri" w:hAnsi="Calibri" w:cs="Calibri"/>
          <w:sz w:val="22"/>
          <w:szCs w:val="22"/>
        </w:rPr>
        <w:t xml:space="preserve"> </w:t>
      </w:r>
      <w:r w:rsidRPr="00F75582">
        <w:rPr>
          <w:rFonts w:ascii="Calibri" w:hAnsi="Calibri" w:cs="Calibri"/>
          <w:sz w:val="22"/>
          <w:szCs w:val="22"/>
        </w:rPr>
        <w:t xml:space="preserve">90) and managed within this period were included; women were suitable for inclusion irrespective of VIN type or grade of disease. A search by histological diagnosis of VIN was performed and hospital numbers obtained. St. Mary’s Hospital data </w:t>
      </w:r>
      <w:r w:rsidR="00755546">
        <w:rPr>
          <w:rFonts w:ascii="Calibri" w:hAnsi="Calibri" w:cs="Calibri"/>
          <w:sz w:val="22"/>
          <w:szCs w:val="22"/>
        </w:rPr>
        <w:t>were</w:t>
      </w:r>
      <w:r w:rsidRPr="00F75582">
        <w:rPr>
          <w:rFonts w:ascii="Calibri" w:hAnsi="Calibri" w:cs="Calibri"/>
          <w:sz w:val="22"/>
          <w:szCs w:val="22"/>
        </w:rPr>
        <w:t xml:space="preserve"> collected from the colposcopy database </w:t>
      </w:r>
      <w:r w:rsidR="00326441">
        <w:rPr>
          <w:rFonts w:ascii="Calibri" w:hAnsi="Calibri" w:cs="Calibri"/>
          <w:sz w:val="22"/>
          <w:szCs w:val="22"/>
        </w:rPr>
        <w:t>“</w:t>
      </w:r>
      <w:r w:rsidRPr="00F75582">
        <w:rPr>
          <w:rFonts w:ascii="Calibri" w:hAnsi="Calibri" w:cs="Calibri"/>
          <w:sz w:val="22"/>
          <w:szCs w:val="22"/>
        </w:rPr>
        <w:t>Excelicare</w:t>
      </w:r>
      <w:r w:rsidR="00326441">
        <w:rPr>
          <w:rFonts w:ascii="Calibri" w:hAnsi="Calibri" w:cs="Calibri"/>
          <w:sz w:val="22"/>
          <w:szCs w:val="22"/>
        </w:rPr>
        <w:t>”</w:t>
      </w:r>
      <w:r w:rsidRPr="00F75582">
        <w:rPr>
          <w:rFonts w:ascii="Calibri" w:hAnsi="Calibri" w:cs="Calibri"/>
          <w:sz w:val="22"/>
          <w:szCs w:val="22"/>
        </w:rPr>
        <w:t xml:space="preserve"> and pathology database </w:t>
      </w:r>
      <w:r w:rsidR="00326441">
        <w:rPr>
          <w:rFonts w:ascii="Calibri" w:hAnsi="Calibri" w:cs="Calibri"/>
          <w:sz w:val="22"/>
          <w:szCs w:val="22"/>
        </w:rPr>
        <w:t>“</w:t>
      </w:r>
      <w:r w:rsidRPr="00F75582">
        <w:rPr>
          <w:rFonts w:ascii="Calibri" w:hAnsi="Calibri" w:cs="Calibri"/>
          <w:sz w:val="22"/>
          <w:szCs w:val="22"/>
        </w:rPr>
        <w:t>Telepath</w:t>
      </w:r>
      <w:r w:rsidR="00326441">
        <w:rPr>
          <w:rFonts w:ascii="Calibri" w:hAnsi="Calibri" w:cs="Calibri"/>
          <w:sz w:val="22"/>
          <w:szCs w:val="22"/>
        </w:rPr>
        <w:t>”</w:t>
      </w:r>
      <w:r w:rsidRPr="00F75582">
        <w:rPr>
          <w:rFonts w:ascii="Calibri" w:hAnsi="Calibri" w:cs="Calibri"/>
          <w:sz w:val="22"/>
          <w:szCs w:val="22"/>
        </w:rPr>
        <w:t xml:space="preserve">. Hammersmith Hospital data </w:t>
      </w:r>
      <w:r w:rsidR="00755546">
        <w:rPr>
          <w:rFonts w:ascii="Calibri" w:hAnsi="Calibri" w:cs="Calibri"/>
          <w:sz w:val="22"/>
          <w:szCs w:val="22"/>
        </w:rPr>
        <w:t>were</w:t>
      </w:r>
      <w:r w:rsidRPr="00F75582">
        <w:rPr>
          <w:rFonts w:ascii="Calibri" w:hAnsi="Calibri" w:cs="Calibri"/>
          <w:sz w:val="22"/>
          <w:szCs w:val="22"/>
        </w:rPr>
        <w:t xml:space="preserve"> obtained from patients’ paper medical records. Symptoms at the time of presentation (Fig</w:t>
      </w:r>
      <w:r w:rsidR="00755546">
        <w:rPr>
          <w:rFonts w:ascii="Calibri" w:hAnsi="Calibri" w:cs="Calibri"/>
          <w:sz w:val="22"/>
          <w:szCs w:val="22"/>
        </w:rPr>
        <w:t>.</w:t>
      </w:r>
      <w:r w:rsidRPr="00F75582">
        <w:rPr>
          <w:rFonts w:ascii="Calibri" w:hAnsi="Calibri" w:cs="Calibri"/>
          <w:sz w:val="22"/>
          <w:szCs w:val="22"/>
        </w:rPr>
        <w:t xml:space="preserve"> 1) were collated, together with patient age at the time of initial presentation (mean ± SD; 44.8 ± 15.1 years; range 20</w:t>
      </w:r>
      <w:r w:rsidR="00755546">
        <w:rPr>
          <w:rFonts w:ascii="Calibri" w:hAnsi="Calibri" w:cs="Calibri"/>
          <w:sz w:val="22"/>
          <w:szCs w:val="22"/>
        </w:rPr>
        <w:t>–</w:t>
      </w:r>
      <w:r w:rsidRPr="00F75582">
        <w:rPr>
          <w:rFonts w:ascii="Calibri" w:hAnsi="Calibri" w:cs="Calibri"/>
          <w:sz w:val="22"/>
          <w:szCs w:val="22"/>
        </w:rPr>
        <w:t xml:space="preserve">86), smoking status, </w:t>
      </w:r>
      <w:r w:rsidR="00755546">
        <w:rPr>
          <w:rFonts w:ascii="Calibri" w:hAnsi="Calibri" w:cs="Calibri"/>
          <w:sz w:val="22"/>
          <w:szCs w:val="22"/>
        </w:rPr>
        <w:t>human papillomavirus (</w:t>
      </w:r>
      <w:r w:rsidRPr="00F75582">
        <w:rPr>
          <w:rFonts w:ascii="Calibri" w:hAnsi="Calibri" w:cs="Calibri"/>
          <w:sz w:val="22"/>
          <w:szCs w:val="22"/>
        </w:rPr>
        <w:t>HPV</w:t>
      </w:r>
      <w:r w:rsidR="00755546">
        <w:rPr>
          <w:rFonts w:ascii="Calibri" w:hAnsi="Calibri" w:cs="Calibri"/>
          <w:sz w:val="22"/>
          <w:szCs w:val="22"/>
        </w:rPr>
        <w:t>)</w:t>
      </w:r>
      <w:r w:rsidRPr="00F75582">
        <w:rPr>
          <w:rFonts w:ascii="Calibri" w:hAnsi="Calibri" w:cs="Calibri"/>
          <w:sz w:val="22"/>
          <w:szCs w:val="22"/>
        </w:rPr>
        <w:t xml:space="preserve"> and </w:t>
      </w:r>
      <w:r w:rsidR="00755546" w:rsidRPr="00F75582">
        <w:rPr>
          <w:rFonts w:ascii="Calibri" w:hAnsi="Calibri" w:cs="Calibri"/>
          <w:sz w:val="22"/>
          <w:szCs w:val="22"/>
        </w:rPr>
        <w:t>human immunodeficiency virus</w:t>
      </w:r>
      <w:r w:rsidR="00755546">
        <w:rPr>
          <w:rFonts w:ascii="Calibri" w:hAnsi="Calibri" w:cs="Calibri"/>
          <w:sz w:val="22"/>
          <w:szCs w:val="22"/>
        </w:rPr>
        <w:t xml:space="preserve"> (</w:t>
      </w:r>
      <w:r w:rsidRPr="00F75582">
        <w:rPr>
          <w:rFonts w:ascii="Calibri" w:hAnsi="Calibri" w:cs="Calibri"/>
          <w:sz w:val="22"/>
          <w:szCs w:val="22"/>
        </w:rPr>
        <w:t>HIV</w:t>
      </w:r>
      <w:r w:rsidR="00755546">
        <w:rPr>
          <w:rFonts w:ascii="Calibri" w:hAnsi="Calibri" w:cs="Calibri"/>
          <w:sz w:val="22"/>
          <w:szCs w:val="22"/>
        </w:rPr>
        <w:t>)</w:t>
      </w:r>
      <w:r w:rsidRPr="00F75582">
        <w:rPr>
          <w:rFonts w:ascii="Calibri" w:hAnsi="Calibri" w:cs="Calibri"/>
          <w:sz w:val="22"/>
          <w:szCs w:val="22"/>
        </w:rPr>
        <w:t xml:space="preserve"> status, CD4+ lymphocyte count and viral load (only in the HIV+ patients), initial diagnosis, and </w:t>
      </w:r>
      <w:r w:rsidR="00755546">
        <w:rPr>
          <w:rFonts w:ascii="Calibri" w:hAnsi="Calibri" w:cs="Calibri"/>
          <w:sz w:val="22"/>
          <w:szCs w:val="22"/>
        </w:rPr>
        <w:t>whether</w:t>
      </w:r>
      <w:r w:rsidRPr="00F75582">
        <w:rPr>
          <w:rFonts w:ascii="Calibri" w:hAnsi="Calibri" w:cs="Calibri"/>
          <w:sz w:val="22"/>
          <w:szCs w:val="22"/>
        </w:rPr>
        <w:t xml:space="preserve"> the lesions present were unifocal/multifocal and unicentric/multicentric</w:t>
      </w:r>
      <w:r w:rsidR="00755546" w:rsidRPr="00F75582">
        <w:rPr>
          <w:rFonts w:ascii="Calibri" w:hAnsi="Calibri" w:cs="Calibri"/>
          <w:sz w:val="22"/>
          <w:szCs w:val="22"/>
        </w:rPr>
        <w:t xml:space="preserve"> (Fig</w:t>
      </w:r>
      <w:r w:rsidR="00755546">
        <w:rPr>
          <w:rFonts w:ascii="Calibri" w:hAnsi="Calibri" w:cs="Calibri"/>
          <w:sz w:val="22"/>
          <w:szCs w:val="22"/>
        </w:rPr>
        <w:t>.</w:t>
      </w:r>
      <w:r w:rsidR="00755546" w:rsidRPr="00F75582">
        <w:rPr>
          <w:rFonts w:ascii="Calibri" w:hAnsi="Calibri" w:cs="Calibri"/>
          <w:sz w:val="22"/>
          <w:szCs w:val="22"/>
        </w:rPr>
        <w:t xml:space="preserve"> 1)</w:t>
      </w:r>
      <w:r w:rsidRPr="00F75582">
        <w:rPr>
          <w:rFonts w:ascii="Calibri" w:hAnsi="Calibri" w:cs="Calibri"/>
          <w:sz w:val="22"/>
          <w:szCs w:val="22"/>
        </w:rPr>
        <w:t xml:space="preserve">. Viral load was determined using an immunoassay that simultaneously detects both antibody to HIV and HIV p24 antigen (Architect HIV Ag/Ab Combo) and confirmation </w:t>
      </w:r>
      <w:r w:rsidR="00755546">
        <w:rPr>
          <w:rFonts w:ascii="Calibri" w:hAnsi="Calibri" w:cs="Calibri"/>
          <w:sz w:val="22"/>
          <w:szCs w:val="22"/>
        </w:rPr>
        <w:t xml:space="preserve">was made </w:t>
      </w:r>
      <w:r w:rsidRPr="00F75582">
        <w:rPr>
          <w:rFonts w:ascii="Calibri" w:hAnsi="Calibri" w:cs="Calibri"/>
          <w:sz w:val="22"/>
          <w:szCs w:val="22"/>
        </w:rPr>
        <w:t>using LIAISON® XL MUREX HIV Ab/Ag HT, whilst CD4 positivity was determined using fluorescence</w:t>
      </w:r>
      <w:r w:rsidR="00DF0838">
        <w:rPr>
          <w:rFonts w:ascii="Calibri" w:hAnsi="Calibri" w:cs="Calibri"/>
          <w:sz w:val="22"/>
          <w:szCs w:val="22"/>
        </w:rPr>
        <w:t>-</w:t>
      </w:r>
      <w:r w:rsidRPr="00F75582">
        <w:rPr>
          <w:rFonts w:ascii="Calibri" w:hAnsi="Calibri" w:cs="Calibri"/>
          <w:sz w:val="22"/>
          <w:szCs w:val="22"/>
        </w:rPr>
        <w:t xml:space="preserve">activated cell sorting on a </w:t>
      </w:r>
      <w:r w:rsidRPr="00F75582">
        <w:rPr>
          <w:rFonts w:ascii="Calibri" w:hAnsi="Calibri" w:cs="Calibri"/>
          <w:color w:val="000000"/>
          <w:sz w:val="22"/>
          <w:szCs w:val="22"/>
        </w:rPr>
        <w:t>BD FACSCanto analyser (BD Biosciences, San Jose, CA</w:t>
      </w:r>
      <w:r w:rsidR="00F75582">
        <w:rPr>
          <w:rFonts w:ascii="Calibri" w:hAnsi="Calibri" w:cs="Calibri"/>
          <w:color w:val="000000"/>
          <w:sz w:val="22"/>
          <w:szCs w:val="22"/>
        </w:rPr>
        <w:t>, USA</w:t>
      </w:r>
      <w:r w:rsidRPr="00F75582">
        <w:rPr>
          <w:rFonts w:ascii="Calibri" w:hAnsi="Calibri" w:cs="Calibri"/>
          <w:color w:val="000000"/>
          <w:sz w:val="22"/>
          <w:szCs w:val="22"/>
        </w:rPr>
        <w:t>)</w:t>
      </w:r>
      <w:r w:rsidRPr="00F75582">
        <w:rPr>
          <w:rFonts w:ascii="Calibri" w:hAnsi="Calibri" w:cs="Calibri"/>
          <w:sz w:val="22"/>
          <w:szCs w:val="22"/>
        </w:rPr>
        <w:t>.</w:t>
      </w:r>
    </w:p>
    <w:p w:rsidR="00542678" w:rsidRPr="00F75582" w:rsidRDefault="00542678" w:rsidP="00542678">
      <w:pPr>
        <w:suppressLineNumbers/>
        <w:spacing w:line="480" w:lineRule="auto"/>
        <w:rPr>
          <w:rFonts w:ascii="Calibri" w:hAnsi="Calibri" w:cs="Calibri"/>
          <w:sz w:val="22"/>
          <w:szCs w:val="22"/>
        </w:rPr>
      </w:pPr>
    </w:p>
    <w:p w:rsidR="00542678" w:rsidRPr="00F75582" w:rsidRDefault="00542678" w:rsidP="00542678">
      <w:pPr>
        <w:spacing w:line="480" w:lineRule="auto"/>
        <w:rPr>
          <w:rFonts w:ascii="Calibri" w:hAnsi="Calibri" w:cs="Calibri"/>
          <w:sz w:val="22"/>
          <w:szCs w:val="22"/>
        </w:rPr>
      </w:pPr>
      <w:r w:rsidRPr="00F75582">
        <w:rPr>
          <w:rFonts w:ascii="Calibri" w:hAnsi="Calibri" w:cs="Calibri"/>
          <w:sz w:val="22"/>
          <w:szCs w:val="22"/>
        </w:rPr>
        <w:t>Next, the initial treatment regimen, whether the patient remained disease free or if disease recurred (until December 2017), the time from treatment to recurrence</w:t>
      </w:r>
      <w:r w:rsidR="00DF0838">
        <w:rPr>
          <w:rFonts w:ascii="Calibri" w:hAnsi="Calibri" w:cs="Calibri"/>
          <w:sz w:val="22"/>
          <w:szCs w:val="22"/>
        </w:rPr>
        <w:t>,</w:t>
      </w:r>
      <w:r w:rsidRPr="00F75582">
        <w:rPr>
          <w:rFonts w:ascii="Calibri" w:hAnsi="Calibri" w:cs="Calibri"/>
          <w:sz w:val="22"/>
          <w:szCs w:val="22"/>
        </w:rPr>
        <w:t xml:space="preserve"> and final patient outcome were all recorded.</w:t>
      </w:r>
    </w:p>
    <w:p w:rsidR="00542678" w:rsidRPr="00F75582" w:rsidRDefault="00542678" w:rsidP="00542678">
      <w:pPr>
        <w:suppressLineNumbers/>
        <w:spacing w:line="480" w:lineRule="auto"/>
        <w:rPr>
          <w:rFonts w:ascii="Calibri" w:hAnsi="Calibri" w:cs="Calibri"/>
          <w:sz w:val="22"/>
          <w:szCs w:val="22"/>
        </w:rPr>
      </w:pPr>
    </w:p>
    <w:p w:rsidR="00542678" w:rsidRPr="00F75582" w:rsidRDefault="00542678" w:rsidP="00542678">
      <w:pPr>
        <w:spacing w:line="480" w:lineRule="auto"/>
        <w:rPr>
          <w:rFonts w:ascii="Calibri" w:hAnsi="Calibri" w:cs="Calibri"/>
          <w:sz w:val="22"/>
          <w:szCs w:val="22"/>
        </w:rPr>
      </w:pPr>
      <w:r w:rsidRPr="00F75582">
        <w:rPr>
          <w:rFonts w:ascii="Calibri" w:hAnsi="Calibri" w:cs="Calibri"/>
          <w:sz w:val="22"/>
          <w:szCs w:val="22"/>
        </w:rPr>
        <w:t xml:space="preserve">Univariate analysis using permutation </w:t>
      </w:r>
      <w:r w:rsidRPr="00F75582">
        <w:rPr>
          <w:rFonts w:ascii="Calibri" w:hAnsi="Calibri" w:cs="Calibri"/>
          <w:sz w:val="22"/>
          <w:szCs w:val="22"/>
        </w:rPr>
        <w:sym w:font="Symbol" w:char="F063"/>
      </w:r>
      <w:r w:rsidRPr="00F75582">
        <w:rPr>
          <w:rFonts w:ascii="Calibri" w:hAnsi="Calibri" w:cs="Calibri"/>
          <w:sz w:val="22"/>
          <w:szCs w:val="22"/>
          <w:vertAlign w:val="superscript"/>
        </w:rPr>
        <w:t>2</w:t>
      </w:r>
      <w:r w:rsidRPr="00F75582">
        <w:rPr>
          <w:rFonts w:ascii="Calibri" w:hAnsi="Calibri" w:cs="Calibri"/>
          <w:sz w:val="22"/>
          <w:szCs w:val="22"/>
        </w:rPr>
        <w:t xml:space="preserve"> tests (10</w:t>
      </w:r>
      <w:r w:rsidR="00F75582">
        <w:rPr>
          <w:rFonts w:ascii="Calibri" w:hAnsi="Calibri" w:cs="Calibri"/>
          <w:sz w:val="22"/>
          <w:szCs w:val="22"/>
        </w:rPr>
        <w:t>,</w:t>
      </w:r>
      <w:r w:rsidRPr="00F75582">
        <w:rPr>
          <w:rFonts w:ascii="Calibri" w:hAnsi="Calibri" w:cs="Calibri"/>
          <w:sz w:val="22"/>
          <w:szCs w:val="22"/>
        </w:rPr>
        <w:t>000 permutations; SPSS version 24</w:t>
      </w:r>
      <w:r w:rsidR="00F75582">
        <w:rPr>
          <w:rFonts w:ascii="Calibri" w:hAnsi="Calibri" w:cs="Calibri"/>
          <w:sz w:val="22"/>
          <w:szCs w:val="22"/>
        </w:rPr>
        <w:t xml:space="preserve"> (</w:t>
      </w:r>
      <w:r w:rsidR="00F75582" w:rsidRPr="00F75582">
        <w:rPr>
          <w:rFonts w:ascii="Calibri" w:hAnsi="Calibri" w:cs="Calibri"/>
          <w:sz w:val="22"/>
          <w:szCs w:val="22"/>
        </w:rPr>
        <w:t>r</w:t>
      </w:r>
      <w:r w:rsidR="00F75582" w:rsidRPr="00F75582">
        <w:rPr>
          <w:rFonts w:ascii="Calibri" w:hAnsi="Calibri" w:cs="Calibri"/>
          <w:sz w:val="22"/>
          <w:szCs w:val="22"/>
        </w:rPr>
        <w:t>eleased 2016</w:t>
      </w:r>
      <w:r w:rsidR="00F75582">
        <w:rPr>
          <w:rFonts w:ascii="Calibri" w:hAnsi="Calibri" w:cs="Calibri"/>
          <w:sz w:val="22"/>
          <w:szCs w:val="22"/>
        </w:rPr>
        <w:t>)</w:t>
      </w:r>
      <w:r w:rsidRPr="00F75582">
        <w:rPr>
          <w:rFonts w:ascii="Calibri" w:hAnsi="Calibri" w:cs="Calibri"/>
          <w:sz w:val="22"/>
          <w:szCs w:val="22"/>
        </w:rPr>
        <w:t>; IBM Corp., Armonk, NY</w:t>
      </w:r>
      <w:r w:rsidR="00F75582">
        <w:rPr>
          <w:rFonts w:ascii="Calibri" w:hAnsi="Calibri" w:cs="Calibri"/>
          <w:sz w:val="22"/>
          <w:szCs w:val="22"/>
        </w:rPr>
        <w:t>, USA</w:t>
      </w:r>
      <w:r w:rsidRPr="00F75582">
        <w:rPr>
          <w:rFonts w:ascii="Calibri" w:hAnsi="Calibri" w:cs="Calibri"/>
          <w:sz w:val="22"/>
          <w:szCs w:val="22"/>
        </w:rPr>
        <w:t xml:space="preserve">; </w:t>
      </w:r>
      <w:r w:rsidR="00F75582">
        <w:rPr>
          <w:rFonts w:ascii="Calibri" w:hAnsi="Calibri" w:cs="Calibri"/>
          <w:sz w:val="22"/>
          <w:szCs w:val="22"/>
        </w:rPr>
        <w:t>www.</w:t>
      </w:r>
      <w:r w:rsidRPr="00F75582">
        <w:rPr>
          <w:rFonts w:ascii="Calibri" w:hAnsi="Calibri" w:cs="Calibri"/>
          <w:sz w:val="22"/>
          <w:szCs w:val="22"/>
        </w:rPr>
        <w:t xml:space="preserve">ibm.com/products/spss-statistics) were used to evaluate statistical significance with respect to the effect of treatment on VIN recurrence and patient </w:t>
      </w:r>
      <w:r w:rsidRPr="00F75582">
        <w:rPr>
          <w:rFonts w:ascii="Calibri" w:hAnsi="Calibri" w:cs="Calibri"/>
          <w:sz w:val="22"/>
          <w:szCs w:val="22"/>
        </w:rPr>
        <w:lastRenderedPageBreak/>
        <w:t xml:space="preserve">outcomes, whilst Fisher’s exact test and linear regression analysis (Prism version 7:00 for </w:t>
      </w:r>
      <w:r w:rsidR="00DF0838" w:rsidRPr="00F75582">
        <w:rPr>
          <w:rFonts w:ascii="Calibri" w:hAnsi="Calibri" w:cs="Calibri"/>
          <w:sz w:val="22"/>
          <w:szCs w:val="22"/>
        </w:rPr>
        <w:t>Windows</w:t>
      </w:r>
      <w:r w:rsidRPr="00F75582">
        <w:rPr>
          <w:rFonts w:ascii="Calibri" w:hAnsi="Calibri" w:cs="Calibri"/>
          <w:sz w:val="22"/>
          <w:szCs w:val="22"/>
        </w:rPr>
        <w:t xml:space="preserve">, GraphPad Software, La Jolla, </w:t>
      </w:r>
      <w:r w:rsidR="00F75582">
        <w:rPr>
          <w:rFonts w:ascii="Calibri" w:hAnsi="Calibri" w:cs="Calibri"/>
          <w:sz w:val="22"/>
          <w:szCs w:val="22"/>
        </w:rPr>
        <w:t>CA</w:t>
      </w:r>
      <w:r w:rsidRPr="00F75582">
        <w:rPr>
          <w:rFonts w:ascii="Calibri" w:hAnsi="Calibri" w:cs="Calibri"/>
          <w:sz w:val="22"/>
          <w:szCs w:val="22"/>
        </w:rPr>
        <w:t>, USA</w:t>
      </w:r>
      <w:r w:rsidR="00F75582">
        <w:rPr>
          <w:rFonts w:ascii="Calibri" w:hAnsi="Calibri" w:cs="Calibri"/>
          <w:sz w:val="22"/>
          <w:szCs w:val="22"/>
        </w:rPr>
        <w:t>;</w:t>
      </w:r>
      <w:r w:rsidRPr="00F75582">
        <w:rPr>
          <w:rFonts w:ascii="Calibri" w:hAnsi="Calibri" w:cs="Calibri"/>
          <w:sz w:val="22"/>
          <w:szCs w:val="22"/>
        </w:rPr>
        <w:t xml:space="preserve"> www.</w:t>
      </w:r>
      <w:r w:rsidR="00DF0838" w:rsidRPr="00F75582">
        <w:rPr>
          <w:rFonts w:ascii="Calibri" w:hAnsi="Calibri" w:cs="Calibri"/>
          <w:sz w:val="22"/>
          <w:szCs w:val="22"/>
        </w:rPr>
        <w:t>graphpad</w:t>
      </w:r>
      <w:r w:rsidR="00F75582">
        <w:rPr>
          <w:rFonts w:ascii="Calibri" w:hAnsi="Calibri" w:cs="Calibri"/>
          <w:sz w:val="22"/>
          <w:szCs w:val="22"/>
        </w:rPr>
        <w:t>.</w:t>
      </w:r>
      <w:r w:rsidRPr="00F75582">
        <w:rPr>
          <w:rFonts w:ascii="Calibri" w:hAnsi="Calibri" w:cs="Calibri"/>
          <w:sz w:val="22"/>
          <w:szCs w:val="22"/>
        </w:rPr>
        <w:t>com) were used to determine the influences of multifocality and multicentricity on time to disease recurrence after treatment. Demographic data were analy</w:t>
      </w:r>
      <w:r w:rsidR="00DF0838">
        <w:rPr>
          <w:rFonts w:ascii="Calibri" w:hAnsi="Calibri" w:cs="Calibri"/>
          <w:sz w:val="22"/>
          <w:szCs w:val="22"/>
        </w:rPr>
        <w:t>s</w:t>
      </w:r>
      <w:r w:rsidRPr="00F75582">
        <w:rPr>
          <w:rFonts w:ascii="Calibri" w:hAnsi="Calibri" w:cs="Calibri"/>
          <w:sz w:val="22"/>
          <w:szCs w:val="22"/>
        </w:rPr>
        <w:t xml:space="preserve">ed with unpaired Student’s </w:t>
      </w:r>
      <w:r w:rsidRPr="00DF0838">
        <w:rPr>
          <w:rFonts w:ascii="Calibri" w:hAnsi="Calibri" w:cs="Calibri"/>
          <w:i/>
          <w:sz w:val="22"/>
          <w:szCs w:val="22"/>
        </w:rPr>
        <w:t>t</w:t>
      </w:r>
      <w:r w:rsidR="00DF0838">
        <w:rPr>
          <w:rFonts w:ascii="Calibri" w:hAnsi="Calibri" w:cs="Calibri"/>
          <w:sz w:val="22"/>
          <w:szCs w:val="22"/>
        </w:rPr>
        <w:t xml:space="preserve"> </w:t>
      </w:r>
      <w:r w:rsidRPr="00F75582">
        <w:rPr>
          <w:rFonts w:ascii="Calibri" w:hAnsi="Calibri" w:cs="Calibri"/>
          <w:sz w:val="22"/>
          <w:szCs w:val="22"/>
        </w:rPr>
        <w:t>test with Welch’s correction for non-uniform variances (Prism version 7)</w:t>
      </w:r>
      <w:r w:rsidR="00DF0838">
        <w:rPr>
          <w:rFonts w:ascii="Calibri" w:hAnsi="Calibri" w:cs="Calibri"/>
          <w:sz w:val="22"/>
          <w:szCs w:val="22"/>
        </w:rPr>
        <w:t>,</w:t>
      </w:r>
      <w:r w:rsidRPr="00F75582">
        <w:rPr>
          <w:rFonts w:ascii="Calibri" w:hAnsi="Calibri" w:cs="Calibri"/>
          <w:sz w:val="22"/>
          <w:szCs w:val="22"/>
        </w:rPr>
        <w:t xml:space="preserve"> and interactions between prediction variables for disease recurrence, including treatment options, </w:t>
      </w:r>
      <w:r w:rsidR="00DF0838">
        <w:rPr>
          <w:rFonts w:ascii="Calibri" w:hAnsi="Calibri" w:cs="Calibri"/>
          <w:sz w:val="22"/>
          <w:szCs w:val="22"/>
        </w:rPr>
        <w:t>were</w:t>
      </w:r>
      <w:r w:rsidRPr="00F75582">
        <w:rPr>
          <w:rFonts w:ascii="Calibri" w:hAnsi="Calibri" w:cs="Calibri"/>
          <w:sz w:val="22"/>
          <w:szCs w:val="22"/>
        </w:rPr>
        <w:t xml:space="preserve"> assessed using binomial logistic </w:t>
      </w:r>
      <w:r w:rsidRPr="00F75582">
        <w:rPr>
          <w:rFonts w:ascii="Calibri" w:hAnsi="Calibri" w:cs="Calibri"/>
          <w:color w:val="000000"/>
          <w:sz w:val="22"/>
          <w:szCs w:val="22"/>
        </w:rPr>
        <w:t>regression (Minitab version 18</w:t>
      </w:r>
      <w:r w:rsidR="00DF083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75582">
        <w:rPr>
          <w:rFonts w:ascii="Calibri" w:hAnsi="Calibri" w:cs="Calibri"/>
          <w:color w:val="000000"/>
          <w:sz w:val="22"/>
          <w:szCs w:val="22"/>
        </w:rPr>
        <w:t>2019</w:t>
      </w:r>
      <w:r w:rsidR="00DF0838">
        <w:rPr>
          <w:rFonts w:ascii="Calibri" w:hAnsi="Calibri" w:cs="Calibri"/>
          <w:color w:val="000000"/>
          <w:sz w:val="22"/>
          <w:szCs w:val="22"/>
        </w:rPr>
        <w:t>;</w:t>
      </w:r>
      <w:r w:rsidRPr="00F75582">
        <w:rPr>
          <w:rFonts w:ascii="Calibri" w:hAnsi="Calibri" w:cs="Calibri"/>
          <w:color w:val="000000"/>
          <w:sz w:val="22"/>
          <w:szCs w:val="22"/>
        </w:rPr>
        <w:t xml:space="preserve"> LLC</w:t>
      </w:r>
      <w:r w:rsidR="00DF0838">
        <w:rPr>
          <w:rFonts w:ascii="Calibri" w:hAnsi="Calibri" w:cs="Calibri"/>
          <w:color w:val="000000"/>
          <w:sz w:val="22"/>
          <w:szCs w:val="22"/>
        </w:rPr>
        <w:t>,</w:t>
      </w:r>
      <w:r w:rsidRPr="00F75582">
        <w:rPr>
          <w:rFonts w:ascii="Calibri" w:hAnsi="Calibri" w:cs="Calibri"/>
          <w:color w:val="000000"/>
          <w:sz w:val="22"/>
          <w:szCs w:val="22"/>
        </w:rPr>
        <w:t xml:space="preserve"> State College, </w:t>
      </w:r>
      <w:r w:rsidR="00DF0838">
        <w:rPr>
          <w:rFonts w:ascii="Calibri" w:hAnsi="Calibri" w:cs="Calibri"/>
          <w:color w:val="000000"/>
          <w:sz w:val="22"/>
          <w:szCs w:val="22"/>
        </w:rPr>
        <w:t>PA</w:t>
      </w:r>
      <w:r w:rsidRPr="00F75582">
        <w:rPr>
          <w:rFonts w:ascii="Calibri" w:hAnsi="Calibri" w:cs="Calibri"/>
          <w:color w:val="000000"/>
          <w:sz w:val="22"/>
          <w:szCs w:val="22"/>
        </w:rPr>
        <w:t>, USA</w:t>
      </w:r>
      <w:r w:rsidR="00DF0838">
        <w:rPr>
          <w:rFonts w:ascii="Calibri" w:hAnsi="Calibri" w:cs="Calibri"/>
          <w:color w:val="000000"/>
          <w:sz w:val="22"/>
          <w:szCs w:val="22"/>
        </w:rPr>
        <w:t>;</w:t>
      </w:r>
      <w:r w:rsidRPr="00F755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0838">
        <w:rPr>
          <w:rFonts w:ascii="Calibri" w:hAnsi="Calibri" w:cs="Calibri"/>
          <w:color w:val="000000"/>
          <w:sz w:val="22"/>
          <w:szCs w:val="22"/>
        </w:rPr>
        <w:t>www.</w:t>
      </w:r>
      <w:r w:rsidRPr="00F75582">
        <w:rPr>
          <w:rFonts w:ascii="Calibri" w:hAnsi="Calibri" w:cs="Calibri"/>
          <w:color w:val="000000"/>
          <w:sz w:val="22"/>
          <w:szCs w:val="22"/>
        </w:rPr>
        <w:t>minitab.com/en-us).</w:t>
      </w:r>
    </w:p>
    <w:p w:rsidR="00FA078B" w:rsidRPr="00F75582" w:rsidRDefault="0080396A"/>
    <w:sectPr w:rsidR="00FA078B" w:rsidRPr="00F75582" w:rsidSect="001A6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78"/>
    <w:rsid w:val="00177B47"/>
    <w:rsid w:val="001A60CA"/>
    <w:rsid w:val="00245D77"/>
    <w:rsid w:val="003224DC"/>
    <w:rsid w:val="00326441"/>
    <w:rsid w:val="004F761E"/>
    <w:rsid w:val="00542678"/>
    <w:rsid w:val="00755546"/>
    <w:rsid w:val="007A7F4C"/>
    <w:rsid w:val="0080396A"/>
    <w:rsid w:val="00B6644F"/>
    <w:rsid w:val="00B66511"/>
    <w:rsid w:val="00DF0838"/>
    <w:rsid w:val="00E20FD6"/>
    <w:rsid w:val="00F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2C8E3"/>
  <w15:chartTrackingRefBased/>
  <w15:docId w15:val="{326D6664-260E-43CE-BEBC-E68612D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267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Mühlemann</dc:creator>
  <cp:keywords/>
  <dc:description/>
  <cp:lastModifiedBy>Vera Warren</cp:lastModifiedBy>
  <cp:revision>8</cp:revision>
  <dcterms:created xsi:type="dcterms:W3CDTF">2019-04-23T12:59:00Z</dcterms:created>
  <dcterms:modified xsi:type="dcterms:W3CDTF">2019-06-03T14:25:00Z</dcterms:modified>
</cp:coreProperties>
</file>