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4D6" w:rsidRDefault="00E04BCD" w:rsidP="006744D6">
      <w:pPr>
        <w:spacing w:line="480" w:lineRule="auto"/>
        <w:rPr>
          <w:rFonts w:asciiTheme="minorHAnsi" w:hAnsiTheme="minorHAnsi" w:cstheme="minorHAnsi"/>
          <w:b/>
          <w:lang w:val="en-GB"/>
        </w:rPr>
      </w:pPr>
      <w:r>
        <w:rPr>
          <w:rFonts w:asciiTheme="minorHAnsi" w:hAnsiTheme="minorHAnsi" w:cstheme="minorHAnsi"/>
          <w:b/>
          <w:lang w:val="en-GB"/>
        </w:rPr>
        <w:t>Supplementary Material</w:t>
      </w:r>
    </w:p>
    <w:p w:rsidR="00A83190" w:rsidRDefault="00A83190" w:rsidP="006744D6">
      <w:pPr>
        <w:spacing w:line="480" w:lineRule="auto"/>
        <w:rPr>
          <w:rFonts w:asciiTheme="minorHAnsi" w:hAnsiTheme="minorHAnsi" w:cstheme="minorHAnsi"/>
          <w:b/>
          <w:lang w:val="en-GB"/>
        </w:rPr>
      </w:pPr>
    </w:p>
    <w:p w:rsidR="00A83190" w:rsidRPr="00A83190" w:rsidRDefault="00A83190" w:rsidP="00A83190">
      <w:pPr>
        <w:spacing w:line="480" w:lineRule="auto"/>
        <w:rPr>
          <w:rFonts w:asciiTheme="minorHAnsi" w:hAnsiTheme="minorHAnsi" w:cstheme="minorHAnsi"/>
          <w:b/>
          <w:lang w:val="en-GB"/>
        </w:rPr>
      </w:pPr>
      <w:r w:rsidRPr="00A83190">
        <w:rPr>
          <w:rFonts w:asciiTheme="minorHAnsi" w:hAnsiTheme="minorHAnsi" w:cstheme="minorHAnsi"/>
          <w:b/>
          <w:lang w:val="en-GB"/>
        </w:rPr>
        <w:t>Statement of Ethics</w:t>
      </w:r>
    </w:p>
    <w:p w:rsidR="00A83190" w:rsidRPr="00A83190" w:rsidRDefault="00A83190" w:rsidP="00A83190">
      <w:pPr>
        <w:spacing w:line="480" w:lineRule="auto"/>
        <w:rPr>
          <w:rFonts w:asciiTheme="minorHAnsi" w:hAnsiTheme="minorHAnsi" w:cstheme="minorHAnsi"/>
          <w:lang w:val="en-GB"/>
        </w:rPr>
      </w:pPr>
      <w:r w:rsidRPr="00A83190">
        <w:rPr>
          <w:rFonts w:asciiTheme="minorHAnsi" w:hAnsiTheme="minorHAnsi" w:cstheme="minorHAnsi"/>
          <w:lang w:val="en-GB"/>
        </w:rPr>
        <w:t xml:space="preserve">The </w:t>
      </w:r>
      <w:proofErr w:type="spellStart"/>
      <w:r w:rsidRPr="00A83190">
        <w:rPr>
          <w:rFonts w:asciiTheme="minorHAnsi" w:hAnsiTheme="minorHAnsi" w:cstheme="minorHAnsi"/>
          <w:lang w:val="en-GB"/>
        </w:rPr>
        <w:t>PharmaCool</w:t>
      </w:r>
      <w:proofErr w:type="spellEnd"/>
      <w:r w:rsidRPr="00A83190">
        <w:rPr>
          <w:rFonts w:asciiTheme="minorHAnsi" w:hAnsiTheme="minorHAnsi" w:cstheme="minorHAnsi"/>
          <w:lang w:val="en-GB"/>
        </w:rPr>
        <w:t xml:space="preserve"> study was approved by the Ethics Committees</w:t>
      </w:r>
      <w:r w:rsidRPr="00A83190">
        <w:rPr>
          <w:rFonts w:asciiTheme="minorHAnsi" w:hAnsiTheme="minorHAnsi" w:cstheme="minorHAnsi"/>
          <w:lang w:val="en-GB"/>
        </w:rPr>
        <w:t xml:space="preserve"> </w:t>
      </w:r>
      <w:r w:rsidRPr="00A83190">
        <w:rPr>
          <w:rFonts w:asciiTheme="minorHAnsi" w:hAnsiTheme="minorHAnsi" w:cstheme="minorHAnsi"/>
          <w:lang w:val="en-GB"/>
        </w:rPr>
        <w:t>of all twelve participating NICUs in the Netherlands and Belgium.</w:t>
      </w:r>
      <w:r w:rsidRPr="00A83190">
        <w:rPr>
          <w:rFonts w:asciiTheme="minorHAnsi" w:hAnsiTheme="minorHAnsi" w:cstheme="minorHAnsi"/>
          <w:lang w:val="en-GB"/>
        </w:rPr>
        <w:t xml:space="preserve"> </w:t>
      </w:r>
      <w:r w:rsidRPr="00A83190">
        <w:rPr>
          <w:rFonts w:asciiTheme="minorHAnsi" w:hAnsiTheme="minorHAnsi" w:cstheme="minorHAnsi"/>
          <w:lang w:val="en-GB"/>
        </w:rPr>
        <w:t>Parental informed consent was obtained for all included patients.</w:t>
      </w:r>
    </w:p>
    <w:p w:rsidR="00A83190" w:rsidRPr="00A83190" w:rsidRDefault="00A83190" w:rsidP="00A83190">
      <w:pPr>
        <w:spacing w:line="480" w:lineRule="auto"/>
        <w:rPr>
          <w:rFonts w:asciiTheme="minorHAnsi" w:hAnsiTheme="minorHAnsi" w:cstheme="minorHAnsi"/>
          <w:b/>
          <w:lang w:val="en-GB"/>
        </w:rPr>
      </w:pPr>
    </w:p>
    <w:p w:rsidR="00A83190" w:rsidRPr="00A83190" w:rsidRDefault="00A83190" w:rsidP="00A83190">
      <w:pPr>
        <w:spacing w:line="480" w:lineRule="auto"/>
        <w:rPr>
          <w:rFonts w:asciiTheme="minorHAnsi" w:hAnsiTheme="minorHAnsi" w:cstheme="minorHAnsi"/>
          <w:b/>
          <w:lang w:val="en-GB"/>
        </w:rPr>
      </w:pPr>
      <w:r w:rsidRPr="00A83190">
        <w:rPr>
          <w:rFonts w:asciiTheme="minorHAnsi" w:hAnsiTheme="minorHAnsi" w:cstheme="minorHAnsi"/>
          <w:b/>
          <w:lang w:val="en-GB"/>
        </w:rPr>
        <w:t>Disclosure Statement</w:t>
      </w:r>
    </w:p>
    <w:p w:rsidR="00A83190" w:rsidRPr="00A83190" w:rsidRDefault="00A83190" w:rsidP="00A83190">
      <w:pPr>
        <w:spacing w:line="480" w:lineRule="auto"/>
        <w:rPr>
          <w:rFonts w:asciiTheme="minorHAnsi" w:hAnsiTheme="minorHAnsi" w:cstheme="minorHAnsi"/>
          <w:lang w:val="en-GB"/>
        </w:rPr>
      </w:pPr>
      <w:r w:rsidRPr="00A83190">
        <w:rPr>
          <w:rFonts w:asciiTheme="minorHAnsi" w:hAnsiTheme="minorHAnsi" w:cstheme="minorHAnsi"/>
          <w:lang w:val="en-GB"/>
        </w:rPr>
        <w:t>Funding for this study was received from the Netherlands Organization</w:t>
      </w:r>
      <w:r w:rsidRPr="00A83190">
        <w:rPr>
          <w:rFonts w:asciiTheme="minorHAnsi" w:hAnsiTheme="minorHAnsi" w:cstheme="minorHAnsi"/>
          <w:lang w:val="en-GB"/>
        </w:rPr>
        <w:t xml:space="preserve"> </w:t>
      </w:r>
      <w:r w:rsidRPr="00A83190">
        <w:rPr>
          <w:rFonts w:asciiTheme="minorHAnsi" w:hAnsiTheme="minorHAnsi" w:cstheme="minorHAnsi"/>
          <w:lang w:val="en-GB"/>
        </w:rPr>
        <w:t>for Health Research and Development (</w:t>
      </w:r>
      <w:proofErr w:type="spellStart"/>
      <w:r w:rsidRPr="00A83190">
        <w:rPr>
          <w:rFonts w:asciiTheme="minorHAnsi" w:hAnsiTheme="minorHAnsi" w:cstheme="minorHAnsi"/>
          <w:lang w:val="en-GB"/>
        </w:rPr>
        <w:t>ZonMw</w:t>
      </w:r>
      <w:proofErr w:type="spellEnd"/>
      <w:r w:rsidRPr="00A83190">
        <w:rPr>
          <w:rFonts w:asciiTheme="minorHAnsi" w:hAnsiTheme="minorHAnsi" w:cstheme="minorHAnsi"/>
          <w:lang w:val="en-GB"/>
        </w:rPr>
        <w:t>) Priority</w:t>
      </w:r>
      <w:r w:rsidRPr="00A83190">
        <w:rPr>
          <w:rFonts w:asciiTheme="minorHAnsi" w:hAnsiTheme="minorHAnsi" w:cstheme="minorHAnsi"/>
          <w:lang w:val="en-GB"/>
        </w:rPr>
        <w:t xml:space="preserve"> </w:t>
      </w:r>
      <w:r w:rsidRPr="00A83190">
        <w:rPr>
          <w:rFonts w:asciiTheme="minorHAnsi" w:hAnsiTheme="minorHAnsi" w:cstheme="minorHAnsi"/>
          <w:lang w:val="en-GB"/>
        </w:rPr>
        <w:t>Medicines for Children. Grant number: 40-41500-98-9002. The</w:t>
      </w:r>
    </w:p>
    <w:p w:rsidR="00A83190" w:rsidRPr="00A83190" w:rsidRDefault="00A83190" w:rsidP="00A83190">
      <w:pPr>
        <w:spacing w:line="480" w:lineRule="auto"/>
        <w:rPr>
          <w:rFonts w:asciiTheme="minorHAnsi" w:hAnsiTheme="minorHAnsi" w:cstheme="minorHAnsi"/>
          <w:lang w:val="en-GB"/>
        </w:rPr>
      </w:pPr>
      <w:r w:rsidRPr="00A83190">
        <w:rPr>
          <w:rFonts w:asciiTheme="minorHAnsi" w:hAnsiTheme="minorHAnsi" w:cstheme="minorHAnsi"/>
          <w:lang w:val="en-GB"/>
        </w:rPr>
        <w:t>authors declare no conflicts of interest.</w:t>
      </w:r>
    </w:p>
    <w:p w:rsidR="00A83190" w:rsidRDefault="00A83190" w:rsidP="00A83190">
      <w:pPr>
        <w:spacing w:line="480" w:lineRule="auto"/>
        <w:rPr>
          <w:rFonts w:asciiTheme="minorHAnsi" w:hAnsiTheme="minorHAnsi" w:cstheme="minorHAnsi"/>
          <w:b/>
          <w:lang w:val="en-GB"/>
        </w:rPr>
      </w:pPr>
    </w:p>
    <w:p w:rsidR="00A83190" w:rsidRPr="00072084" w:rsidRDefault="00A83190" w:rsidP="00A83190">
      <w:pPr>
        <w:spacing w:line="480" w:lineRule="auto"/>
        <w:rPr>
          <w:rFonts w:asciiTheme="minorHAnsi" w:hAnsiTheme="minorHAnsi" w:cstheme="minorHAnsi"/>
          <w:b/>
          <w:lang w:val="en-GB"/>
        </w:rPr>
      </w:pPr>
      <w:r>
        <w:rPr>
          <w:rFonts w:asciiTheme="minorHAnsi" w:hAnsiTheme="minorHAnsi" w:cstheme="minorHAnsi"/>
          <w:b/>
          <w:lang w:val="en-GB"/>
        </w:rPr>
        <w:t>Appendix</w:t>
      </w:r>
      <w:bookmarkStart w:id="0" w:name="_GoBack"/>
      <w:bookmarkEnd w:id="0"/>
    </w:p>
    <w:p w:rsidR="006744D6" w:rsidRPr="00072084" w:rsidRDefault="006744D6" w:rsidP="006744D6">
      <w:pPr>
        <w:spacing w:line="480" w:lineRule="auto"/>
        <w:rPr>
          <w:rFonts w:asciiTheme="minorHAnsi" w:hAnsiTheme="minorHAnsi" w:cstheme="minorHAnsi"/>
          <w:i/>
          <w:lang w:val="en-GB"/>
        </w:rPr>
      </w:pPr>
      <w:r w:rsidRPr="00072084">
        <w:rPr>
          <w:rFonts w:asciiTheme="minorHAnsi" w:hAnsiTheme="minorHAnsi" w:cstheme="minorHAnsi"/>
          <w:i/>
          <w:lang w:val="en-GB"/>
        </w:rPr>
        <w:t>Bioanalyses</w:t>
      </w:r>
    </w:p>
    <w:p w:rsidR="006744D6" w:rsidRPr="00072084" w:rsidRDefault="006744D6" w:rsidP="006744D6">
      <w:pPr>
        <w:spacing w:line="480" w:lineRule="auto"/>
        <w:rPr>
          <w:rFonts w:asciiTheme="minorHAnsi" w:hAnsiTheme="minorHAnsi" w:cstheme="minorHAnsi"/>
          <w:lang w:val="en-GB"/>
        </w:rPr>
      </w:pPr>
      <w:r w:rsidRPr="00072084">
        <w:rPr>
          <w:rFonts w:asciiTheme="minorHAnsi" w:hAnsiTheme="minorHAnsi" w:cstheme="minorHAnsi"/>
          <w:lang w:val="en-GB"/>
        </w:rPr>
        <w:t xml:space="preserve">Plasma concentrations of phenobarbital were determined using a validated liquid chromatography-tandem mass spectrometry (LC-MS/MS) method. The lower limit of quantification (LLQ) was 2.73 mg/L. The calibration curves were linear from 2.73 to 58.4 mg/L. Between-run and within-run coefficients of variation were &lt;9%. </w:t>
      </w:r>
    </w:p>
    <w:p w:rsidR="006744D6" w:rsidRPr="00072084" w:rsidRDefault="006744D6" w:rsidP="006744D6">
      <w:pPr>
        <w:spacing w:line="480" w:lineRule="auto"/>
        <w:rPr>
          <w:rFonts w:asciiTheme="minorHAnsi" w:hAnsiTheme="minorHAnsi" w:cstheme="minorHAnsi"/>
          <w:lang w:val="en-GB"/>
        </w:rPr>
      </w:pPr>
      <w:r w:rsidRPr="00072084">
        <w:rPr>
          <w:rFonts w:asciiTheme="minorHAnsi" w:hAnsiTheme="minorHAnsi" w:cstheme="minorHAnsi"/>
          <w:lang w:val="en-GB"/>
        </w:rPr>
        <w:t xml:space="preserve">Plasma concentrations of midazolam, OHM and HMG were determined using a validated liquid chromatography-tandem mass spectrometry (LC-MS/MS) method. The LLQ was 0.02 mg/L for midazolam, OHM and HMG. The calibration curves were linear from 0.02 to 1.5 mg/L for midazolam and OHM and between 0.02 and 10.0 mg/L for HMG. Between-run and within-run coefficients of variation were &lt;2% for midazolam and &lt;5% for OHM and HMG. Samples were stored at -80°C until analyses at the Clinical Pharmaceutical and Toxicological Laboratory of the Department of Clinical Pharmacy of the University Medical </w:t>
      </w:r>
      <w:proofErr w:type="spellStart"/>
      <w:r w:rsidRPr="00072084">
        <w:rPr>
          <w:rFonts w:asciiTheme="minorHAnsi" w:hAnsiTheme="minorHAnsi" w:cstheme="minorHAnsi"/>
          <w:lang w:val="en-GB"/>
        </w:rPr>
        <w:t>Center</w:t>
      </w:r>
      <w:proofErr w:type="spellEnd"/>
      <w:r w:rsidRPr="00072084">
        <w:rPr>
          <w:rFonts w:asciiTheme="minorHAnsi" w:hAnsiTheme="minorHAnsi" w:cstheme="minorHAnsi"/>
          <w:lang w:val="en-GB"/>
        </w:rPr>
        <w:t xml:space="preserve"> Utrecht, the Netherlands. Samples with initial results above the range of linearity were diluted and </w:t>
      </w:r>
      <w:r w:rsidRPr="009B0F2E">
        <w:rPr>
          <w:rFonts w:asciiTheme="minorHAnsi" w:hAnsiTheme="minorHAnsi" w:cstheme="minorHAnsi"/>
          <w:lang w:val="en-GB"/>
        </w:rPr>
        <w:t>reanalysed</w:t>
      </w:r>
      <w:r w:rsidRPr="00072084">
        <w:rPr>
          <w:rFonts w:asciiTheme="minorHAnsi" w:hAnsiTheme="minorHAnsi" w:cstheme="minorHAnsi"/>
          <w:lang w:val="en-GB"/>
        </w:rPr>
        <w:t xml:space="preserve">. </w:t>
      </w:r>
      <w:r>
        <w:rPr>
          <w:rFonts w:asciiTheme="minorHAnsi" w:hAnsiTheme="minorHAnsi" w:cstheme="minorHAnsi"/>
          <w:lang w:val="en-GB"/>
        </w:rPr>
        <w:t xml:space="preserve">Figure </w:t>
      </w:r>
      <w:r w:rsidR="00E04BCD">
        <w:rPr>
          <w:rFonts w:asciiTheme="minorHAnsi" w:hAnsiTheme="minorHAnsi" w:cstheme="minorHAnsi"/>
          <w:lang w:val="en-GB"/>
        </w:rPr>
        <w:t>S</w:t>
      </w:r>
      <w:r>
        <w:rPr>
          <w:rFonts w:asciiTheme="minorHAnsi" w:hAnsiTheme="minorHAnsi" w:cstheme="minorHAnsi"/>
          <w:lang w:val="en-GB"/>
        </w:rPr>
        <w:t>1 shows the observed OHM and HMG plasma concentrations.</w:t>
      </w:r>
    </w:p>
    <w:p w:rsidR="006744D6" w:rsidRPr="00072084" w:rsidRDefault="006744D6" w:rsidP="006744D6">
      <w:pPr>
        <w:spacing w:line="480" w:lineRule="auto"/>
        <w:rPr>
          <w:rFonts w:asciiTheme="minorHAnsi" w:hAnsiTheme="minorHAnsi" w:cstheme="minorHAnsi"/>
          <w:lang w:val="en-GB"/>
        </w:rPr>
      </w:pPr>
    </w:p>
    <w:p w:rsidR="006744D6" w:rsidRPr="00072084" w:rsidRDefault="006744D6" w:rsidP="006744D6">
      <w:pPr>
        <w:spacing w:line="480" w:lineRule="auto"/>
        <w:rPr>
          <w:rFonts w:asciiTheme="minorHAnsi" w:hAnsiTheme="minorHAnsi" w:cstheme="minorHAnsi"/>
          <w:i/>
          <w:lang w:val="en-GB"/>
        </w:rPr>
      </w:pPr>
      <w:r w:rsidRPr="00072084">
        <w:rPr>
          <w:rFonts w:asciiTheme="minorHAnsi" w:hAnsiTheme="minorHAnsi" w:cstheme="minorHAnsi"/>
          <w:i/>
          <w:lang w:val="en-GB"/>
        </w:rPr>
        <w:t>Population pharmacokinetic analyses</w:t>
      </w:r>
    </w:p>
    <w:p w:rsidR="006744D6" w:rsidRDefault="006744D6" w:rsidP="006744D6">
      <w:pPr>
        <w:spacing w:line="480" w:lineRule="auto"/>
        <w:rPr>
          <w:rFonts w:asciiTheme="minorHAnsi" w:hAnsiTheme="minorHAnsi" w:cstheme="minorHAnsi"/>
          <w:lang w:val="en-GB"/>
        </w:rPr>
      </w:pPr>
      <w:r w:rsidRPr="00072084">
        <w:rPr>
          <w:rFonts w:asciiTheme="minorHAnsi" w:hAnsiTheme="minorHAnsi" w:cstheme="minorHAnsi"/>
          <w:lang w:val="en-GB"/>
        </w:rPr>
        <w:t xml:space="preserve">PK analyses </w:t>
      </w:r>
      <w:r>
        <w:rPr>
          <w:rFonts w:asciiTheme="minorHAnsi" w:hAnsiTheme="minorHAnsi" w:cstheme="minorHAnsi"/>
          <w:lang w:val="en-GB"/>
        </w:rPr>
        <w:t>were performed</w:t>
      </w:r>
      <w:r w:rsidRPr="00072084">
        <w:rPr>
          <w:rFonts w:asciiTheme="minorHAnsi" w:hAnsiTheme="minorHAnsi" w:cstheme="minorHAnsi"/>
          <w:lang w:val="en-GB"/>
        </w:rPr>
        <w:t xml:space="preserve"> using non-linear mixed effects modelling NONMEM (version 7.3, Icon Development Solutions) with R (version 3.4.1), </w:t>
      </w:r>
      <w:proofErr w:type="spellStart"/>
      <w:r w:rsidRPr="00072084">
        <w:rPr>
          <w:rFonts w:asciiTheme="minorHAnsi" w:hAnsiTheme="minorHAnsi" w:cstheme="minorHAnsi"/>
          <w:lang w:val="en-GB"/>
        </w:rPr>
        <w:t>Xpose</w:t>
      </w:r>
      <w:proofErr w:type="spellEnd"/>
      <w:r w:rsidRPr="00072084">
        <w:rPr>
          <w:rFonts w:asciiTheme="minorHAnsi" w:hAnsiTheme="minorHAnsi" w:cstheme="minorHAnsi"/>
          <w:lang w:val="en-GB"/>
        </w:rPr>
        <w:t xml:space="preserve"> (version 4) for data visualization and </w:t>
      </w:r>
      <w:proofErr w:type="spellStart"/>
      <w:r w:rsidRPr="00072084">
        <w:rPr>
          <w:rFonts w:asciiTheme="minorHAnsi" w:hAnsiTheme="minorHAnsi" w:cstheme="minorHAnsi"/>
          <w:lang w:val="en-GB"/>
        </w:rPr>
        <w:t>Piraña</w:t>
      </w:r>
      <w:proofErr w:type="spellEnd"/>
      <w:r w:rsidRPr="00072084">
        <w:rPr>
          <w:rFonts w:asciiTheme="minorHAnsi" w:hAnsiTheme="minorHAnsi" w:cstheme="minorHAnsi"/>
          <w:lang w:val="en-GB"/>
        </w:rPr>
        <w:t xml:space="preserve"> for run management. </w:t>
      </w:r>
      <w:r>
        <w:rPr>
          <w:rFonts w:asciiTheme="minorHAnsi" w:hAnsiTheme="minorHAnsi" w:cstheme="minorHAnsi"/>
          <w:lang w:val="en-GB"/>
        </w:rPr>
        <w:t>In both models, t</w:t>
      </w:r>
      <w:r w:rsidRPr="00072084">
        <w:rPr>
          <w:rFonts w:asciiTheme="minorHAnsi" w:hAnsiTheme="minorHAnsi" w:cstheme="minorHAnsi"/>
          <w:lang w:val="en-GB"/>
        </w:rPr>
        <w:t>he exponent defining the relationship of BW and clearance (Cl) was fixed to 0.75 and the exponent defining the relationship of BW and volume of distribution (V) was fixed to 1.</w:t>
      </w:r>
      <w:r>
        <w:rPr>
          <w:rFonts w:asciiTheme="minorHAnsi" w:hAnsiTheme="minorHAnsi" w:cstheme="minorHAnsi"/>
          <w:lang w:val="en-GB"/>
        </w:rPr>
        <w:t xml:space="preserve"> In the phenobarbital model, an additive error model was used to model residual unexplained variability. </w:t>
      </w:r>
    </w:p>
    <w:p w:rsidR="006744D6" w:rsidRDefault="006744D6" w:rsidP="006744D6">
      <w:pPr>
        <w:spacing w:line="480" w:lineRule="auto"/>
        <w:rPr>
          <w:rFonts w:asciiTheme="minorHAnsi" w:hAnsiTheme="minorHAnsi" w:cstheme="minorHAnsi"/>
          <w:lang w:val="en-GB"/>
        </w:rPr>
      </w:pPr>
    </w:p>
    <w:p w:rsidR="008F346A" w:rsidRDefault="006744D6" w:rsidP="006744D6">
      <w:pPr>
        <w:spacing w:line="480" w:lineRule="auto"/>
        <w:rPr>
          <w:rFonts w:asciiTheme="minorHAnsi" w:hAnsiTheme="minorHAnsi" w:cstheme="minorHAnsi"/>
          <w:lang w:val="en-GB"/>
        </w:rPr>
      </w:pPr>
      <w:proofErr w:type="gramStart"/>
      <w:r>
        <w:rPr>
          <w:rFonts w:asciiTheme="minorHAnsi" w:hAnsiTheme="minorHAnsi" w:cstheme="minorHAnsi"/>
          <w:lang w:val="en-GB"/>
        </w:rPr>
        <w:t>In order to</w:t>
      </w:r>
      <w:proofErr w:type="gramEnd"/>
      <w:r>
        <w:rPr>
          <w:rFonts w:asciiTheme="minorHAnsi" w:hAnsiTheme="minorHAnsi" w:cstheme="minorHAnsi"/>
          <w:lang w:val="en-GB"/>
        </w:rPr>
        <w:t xml:space="preserve"> simultaneously fit the </w:t>
      </w:r>
      <w:r w:rsidRPr="00072084">
        <w:rPr>
          <w:rFonts w:asciiTheme="minorHAnsi" w:hAnsiTheme="minorHAnsi" w:cstheme="minorHAnsi"/>
          <w:lang w:val="en-GB"/>
        </w:rPr>
        <w:t>midazolam, OHM and HMG</w:t>
      </w:r>
      <w:r>
        <w:rPr>
          <w:rFonts w:asciiTheme="minorHAnsi" w:hAnsiTheme="minorHAnsi" w:cstheme="minorHAnsi"/>
          <w:lang w:val="en-GB"/>
        </w:rPr>
        <w:t xml:space="preserve"> data</w:t>
      </w:r>
      <w:r w:rsidRPr="00072084">
        <w:rPr>
          <w:rFonts w:asciiTheme="minorHAnsi" w:hAnsiTheme="minorHAnsi" w:cstheme="minorHAnsi"/>
          <w:lang w:val="en-GB"/>
        </w:rPr>
        <w:t xml:space="preserve">, all units of dose and concentration for were converted to </w:t>
      </w:r>
      <w:proofErr w:type="spellStart"/>
      <w:r w:rsidRPr="00072084">
        <w:rPr>
          <w:rFonts w:asciiTheme="minorHAnsi" w:hAnsiTheme="minorHAnsi" w:cstheme="minorHAnsi"/>
          <w:lang w:val="en-GB"/>
        </w:rPr>
        <w:t>μmol</w:t>
      </w:r>
      <w:proofErr w:type="spellEnd"/>
      <w:r w:rsidRPr="00072084">
        <w:rPr>
          <w:rFonts w:asciiTheme="minorHAnsi" w:hAnsiTheme="minorHAnsi" w:cstheme="minorHAnsi"/>
          <w:lang w:val="en-GB"/>
        </w:rPr>
        <w:t xml:space="preserve"> and </w:t>
      </w:r>
      <w:proofErr w:type="spellStart"/>
      <w:r w:rsidRPr="00072084">
        <w:rPr>
          <w:rFonts w:asciiTheme="minorHAnsi" w:hAnsiTheme="minorHAnsi" w:cstheme="minorHAnsi"/>
          <w:lang w:val="en-GB"/>
        </w:rPr>
        <w:t>μmol</w:t>
      </w:r>
      <w:proofErr w:type="spellEnd"/>
      <w:r w:rsidRPr="00072084">
        <w:rPr>
          <w:rFonts w:asciiTheme="minorHAnsi" w:hAnsiTheme="minorHAnsi" w:cstheme="minorHAnsi"/>
          <w:lang w:val="en-GB"/>
        </w:rPr>
        <w:t xml:space="preserve">/L, respectively. The fractions (F) of midazolam converted to OHM and HMG were unknown; metabolite parameters are therefore estimated relative to F. For midazolam, 48 measurements (12.8%) were below the LLQ; for OHM, 100 </w:t>
      </w:r>
      <w:r w:rsidRPr="009B0F2E">
        <w:rPr>
          <w:rFonts w:asciiTheme="minorHAnsi" w:hAnsiTheme="minorHAnsi" w:cstheme="minorHAnsi"/>
          <w:lang w:val="en-GB"/>
        </w:rPr>
        <w:t>measurements</w:t>
      </w:r>
      <w:r w:rsidRPr="00072084">
        <w:rPr>
          <w:rFonts w:asciiTheme="minorHAnsi" w:hAnsiTheme="minorHAnsi" w:cstheme="minorHAnsi"/>
          <w:lang w:val="en-GB"/>
        </w:rPr>
        <w:t xml:space="preserve"> (36.1%) and for HMG, 2 measurements (0.53%). </w:t>
      </w:r>
      <w:r>
        <w:rPr>
          <w:rFonts w:asciiTheme="minorHAnsi" w:hAnsiTheme="minorHAnsi" w:cstheme="minorHAnsi"/>
          <w:lang w:val="en-GB"/>
        </w:rPr>
        <w:t>To account for below LLQ data, the M3 method was used</w:t>
      </w:r>
      <w:r>
        <w:rPr>
          <w:rFonts w:asciiTheme="minorHAnsi" w:hAnsiTheme="minorHAnsi" w:cstheme="minorHAnsi"/>
          <w:lang w:val="en-GB"/>
        </w:rPr>
        <w:fldChar w:fldCharType="begin" w:fldLock="1"/>
      </w:r>
      <w:r>
        <w:rPr>
          <w:rFonts w:asciiTheme="minorHAnsi" w:hAnsiTheme="minorHAnsi" w:cstheme="minorHAnsi"/>
          <w:lang w:val="en-GB"/>
        </w:rPr>
        <w:instrText>ADDIN CSL_CITATION {"citationItems":[{"id":"ITEM-1","itemData":{"DOI":"10.1023/A:1012299115260","ISBN":"1567-567X (Print)","ISSN":"1567567X","PMID":"11768292","abstract":"Pharmacokinetic data consist of drug concentration measurements, as well as reports of some measured concentrations being below the quantification limit of the assay (BQL). A pharmacokinetic model may befit to these data, and for this purpose, the BQL observations must be either discarded or handled in a special way. In this paper, seven methods for dealing with BQL observations are evaluated. Both single-subject and population data are simulated from a one-compartment model. A moderate amount of data is simulated for each individual. The actual cv of concentration measurements at the quantification limit is assumed to be no greater than 20%, in accord with the FDA Guidance. The results of this paper should be interpreted in this context. The methods include handling BQL observations as fixed-point censored observations, i.e., by using the likelihoods that these observations are in fact BQL. This method is shown to have some overall statistical advantage. However, the gain in using this method over that of simply discarding the BQL observations is not always much, and this is especially so when the frequency of BQL observations is small. Some simple methods entailing (i) replacing one or more BQL observations with the value 0, or (ii) replacing them with the value QL/2, where QL is the quantification limit, are also included. The first of these two approaches should not be used With population data, use of the second approach can result in some noticeably improved estimation of the typical value of a parameter, but then there is also marked degradation in the estimation of the population variance of the parameter.","author":[{"dropping-particle":"","family":"Beal","given":"S. L.","non-dropping-particle":"","parse-names":false,"suffix":""}],"container-title":"Journal of Pharmacokinetics and Pharmacodynamics","id":"ITEM-1","issued":{"date-parts":[["2001"]]},"title":"Ways to fit a PK model with some data below the quantification limit","type":"article-journal"},"uris":["http://www.mendeley.com/documents/?uuid=81462b80-2bfc-4ab2-8f44-2f31ac608799"]}],"mendeley":{"formattedCitation":"[35]","plainTextFormattedCitation":"[35]","previouslyFormattedCitation":"[35]"},"properties":{"noteIndex":0},"schema":"https://github.com/citation-style-language/schema/raw/master/csl-citation.json"}</w:instrText>
      </w:r>
      <w:r>
        <w:rPr>
          <w:rFonts w:asciiTheme="minorHAnsi" w:hAnsiTheme="minorHAnsi" w:cstheme="minorHAnsi"/>
          <w:lang w:val="en-GB"/>
        </w:rPr>
        <w:fldChar w:fldCharType="separate"/>
      </w:r>
      <w:r w:rsidRPr="003C3E8A">
        <w:rPr>
          <w:rFonts w:asciiTheme="minorHAnsi" w:hAnsiTheme="minorHAnsi" w:cstheme="minorHAnsi"/>
          <w:noProof/>
          <w:lang w:val="en-GB"/>
        </w:rPr>
        <w:t>[35]</w:t>
      </w:r>
      <w:r>
        <w:rPr>
          <w:rFonts w:asciiTheme="minorHAnsi" w:hAnsiTheme="minorHAnsi" w:cstheme="minorHAnsi"/>
          <w:lang w:val="en-GB"/>
        </w:rPr>
        <w:fldChar w:fldCharType="end"/>
      </w:r>
      <w:r>
        <w:rPr>
          <w:rFonts w:asciiTheme="minorHAnsi" w:hAnsiTheme="minorHAnsi" w:cstheme="minorHAnsi"/>
          <w:lang w:val="en-GB"/>
        </w:rPr>
        <w:t xml:space="preserve"> For each compound, the additive error was fixed on LLQ/2. Separate</w:t>
      </w:r>
      <w:r w:rsidRPr="006C7818">
        <w:rPr>
          <w:rFonts w:asciiTheme="minorHAnsi" w:hAnsiTheme="minorHAnsi" w:cstheme="minorHAnsi"/>
          <w:lang w:val="en-GB"/>
        </w:rPr>
        <w:t xml:space="preserve"> proportional error model</w:t>
      </w:r>
      <w:r>
        <w:rPr>
          <w:rFonts w:asciiTheme="minorHAnsi" w:hAnsiTheme="minorHAnsi" w:cstheme="minorHAnsi"/>
          <w:lang w:val="en-GB"/>
        </w:rPr>
        <w:t>s were</w:t>
      </w:r>
      <w:r w:rsidRPr="006C7818">
        <w:rPr>
          <w:rFonts w:asciiTheme="minorHAnsi" w:hAnsiTheme="minorHAnsi" w:cstheme="minorHAnsi"/>
          <w:lang w:val="en-GB"/>
        </w:rPr>
        <w:t xml:space="preserve"> used to model r</w:t>
      </w:r>
      <w:r>
        <w:rPr>
          <w:rFonts w:asciiTheme="minorHAnsi" w:hAnsiTheme="minorHAnsi" w:cstheme="minorHAnsi"/>
          <w:lang w:val="en-GB"/>
        </w:rPr>
        <w:t>esidual unexplained variability. Because the formation rate for OHM is slower than its elimination rate, OHM volume of distribution could not be estimated and was fixed to 4.18 L based on literature.</w:t>
      </w:r>
      <w:r>
        <w:rPr>
          <w:rFonts w:asciiTheme="minorHAnsi" w:hAnsiTheme="minorHAnsi" w:cstheme="minorHAnsi"/>
          <w:lang w:val="en-GB"/>
        </w:rPr>
        <w:fldChar w:fldCharType="begin" w:fldLock="1"/>
      </w:r>
      <w:r>
        <w:rPr>
          <w:rFonts w:asciiTheme="minorHAnsi" w:hAnsiTheme="minorHAnsi" w:cstheme="minorHAnsi"/>
          <w:lang w:val="en-GB"/>
        </w:rPr>
        <w:instrText>ADDIN CSL_CITATION {"citationItems":[{"id":"ITEM-1","itemData":{"DOI":"10.1159/000368180","ISSN":"16617819","PMID":"25572061","abstract":"© 2015 S. Karger AG, Basel. Background: Midazolam is used as an anticonvulsant in neonatology, including newborns with perinatal asphyxia treated with hypothermia. Hypothermia may affect the safety and effectiveness of midazolam in these patients. Objectives: The objective was to evaluate the anticonvulsant effectiveness and hemodynamic safety of midazolam in hypothermic newborns and to provide dosing guidance. Methods: Hypothermic newborns with perinatal asphyxia and treated with midazolam were included. Effectiveness was studied using continuous amplitude-integrated electroencephalography. Hemodynamic safety was assessed using pharmacokinetic-pharmacodynamic modeling with plasma samples and blood pressure recordings (mean arterial blood pressure) under hypothermia. Results: No effect of therapeutic hypothermia on pharmacokinetics could be identified. Add-on seizure control with midazolam was limited (23% seizure control). An inverse relationship between the midazolam plasma concentration and mean arterial blood pressure could be identified. At least one hypotensive episode was experienced in 64%. The concomitant use of inotropes decreased midazolam clearance by 33%. Conclusions: Under therapeutic hypothermia, midazolam has limited add-on clinical anticonvulsant effectiveness after phenobarbital administration. Due to occurrence of hypotension requiring inotropic support, midazolam is less suitable as a second-line anticonvulsant drug under hypothermia.","author":[{"dropping-particle":"","family":"Broek","given":"Marcel P H","non-dropping-particle":"Van Den","parse-names":false,"suffix":""},{"dropping-particle":"","family":"Straaten","given":"Henrica L M","non-dropping-particle":"Van","parse-names":false,"suffix":""},{"dropping-particle":"","family":"Huitema","given":"Alwin D R","non-dropping-particle":"","parse-names":false,"suffix":""},{"dropping-particle":"","family":"Egberts","given":"Toine","non-dropping-particle":"","parse-names":false,"suffix":""},{"dropping-particle":"","family":"Toet","given":"Mona C.","non-dropping-particle":"","parse-names":false,"suffix":""},{"dropping-particle":"","family":"Vries","given":"Linda S.","non-dropping-particle":"De","parse-names":false,"suffix":""},{"dropping-particle":"","family":"Rademaker","given":"Karin","non-dropping-particle":"","parse-names":false,"suffix":""},{"dropping-particle":"","family":"Groenendaal","given":"Floris","non-dropping-particle":"","parse-names":false,"suffix":""}],"container-title":"Neonatology","id":"ITEM-1","issue":"2","issued":{"date-parts":[["2015"]]},"page":"150-156","title":"Anticonvulsant effectiveness and hemodynamic safety of midazolam in full-term infants treated with hypothermia","type":"article-journal","volume":"107"},"uris":["http://www.mendeley.com/documents/?uuid=6ce7ec3d-b2ac-4530-af81-e7a3649d0112"]}],"mendeley":{"formattedCitation":"[8]","plainTextFormattedCitation":"[8]","previouslyFormattedCitation":"[8]"},"properties":{"noteIndex":0},"schema":"https://github.com/citation-style-language/schema/raw/master/csl-citation.json"}</w:instrText>
      </w:r>
      <w:r>
        <w:rPr>
          <w:rFonts w:asciiTheme="minorHAnsi" w:hAnsiTheme="minorHAnsi" w:cstheme="minorHAnsi"/>
          <w:lang w:val="en-GB"/>
        </w:rPr>
        <w:fldChar w:fldCharType="separate"/>
      </w:r>
      <w:r w:rsidRPr="00AF0501">
        <w:rPr>
          <w:rFonts w:asciiTheme="minorHAnsi" w:hAnsiTheme="minorHAnsi" w:cstheme="minorHAnsi"/>
          <w:noProof/>
          <w:lang w:val="en-GB"/>
        </w:rPr>
        <w:t>[8]</w:t>
      </w:r>
      <w:r>
        <w:rPr>
          <w:rFonts w:asciiTheme="minorHAnsi" w:hAnsiTheme="minorHAnsi" w:cstheme="minorHAnsi"/>
          <w:lang w:val="en-GB"/>
        </w:rPr>
        <w:fldChar w:fldCharType="end"/>
      </w:r>
      <w:r>
        <w:rPr>
          <w:rFonts w:asciiTheme="minorHAnsi" w:hAnsiTheme="minorHAnsi" w:cstheme="minorHAnsi"/>
          <w:lang w:val="en-GB"/>
        </w:rPr>
        <w:t xml:space="preserve"> </w:t>
      </w:r>
      <w:r w:rsidRPr="001E7171">
        <w:rPr>
          <w:rFonts w:asciiTheme="minorHAnsi" w:hAnsiTheme="minorHAnsi" w:cstheme="minorHAnsi"/>
          <w:lang w:val="en-GB"/>
        </w:rPr>
        <w:t>Model evaluation demonstrated that the final model</w:t>
      </w:r>
      <w:r>
        <w:rPr>
          <w:rFonts w:asciiTheme="minorHAnsi" w:hAnsiTheme="minorHAnsi" w:cstheme="minorHAnsi"/>
          <w:lang w:val="en-GB"/>
        </w:rPr>
        <w:t>s</w:t>
      </w:r>
      <w:r w:rsidRPr="001E7171">
        <w:rPr>
          <w:rFonts w:asciiTheme="minorHAnsi" w:hAnsiTheme="minorHAnsi" w:cstheme="minorHAnsi"/>
          <w:lang w:val="en-GB"/>
        </w:rPr>
        <w:t xml:space="preserve"> </w:t>
      </w:r>
      <w:r>
        <w:rPr>
          <w:rFonts w:asciiTheme="minorHAnsi" w:hAnsiTheme="minorHAnsi" w:cstheme="minorHAnsi"/>
          <w:lang w:val="en-GB"/>
        </w:rPr>
        <w:t>adequately described</w:t>
      </w:r>
      <w:r w:rsidRPr="001E7171">
        <w:rPr>
          <w:rFonts w:asciiTheme="minorHAnsi" w:hAnsiTheme="minorHAnsi" w:cstheme="minorHAnsi"/>
          <w:lang w:val="en-GB"/>
        </w:rPr>
        <w:t xml:space="preserve"> the data</w:t>
      </w:r>
      <w:r>
        <w:rPr>
          <w:rFonts w:asciiTheme="minorHAnsi" w:hAnsiTheme="minorHAnsi" w:cstheme="minorHAnsi"/>
          <w:lang w:val="en-GB"/>
        </w:rPr>
        <w:t>, although with considerable variability on both clearance and volume of distribution of all compounds</w:t>
      </w:r>
      <w:r w:rsidRPr="001E7171">
        <w:rPr>
          <w:rFonts w:asciiTheme="minorHAnsi" w:hAnsiTheme="minorHAnsi" w:cstheme="minorHAnsi"/>
          <w:lang w:val="en-GB"/>
        </w:rPr>
        <w:t>. Goodness-of-fit plots of observed versus population and individual predicted concentrations showed no systematic deviation and the weighted residuals were h</w:t>
      </w:r>
      <w:r>
        <w:rPr>
          <w:rFonts w:asciiTheme="minorHAnsi" w:hAnsiTheme="minorHAnsi" w:cstheme="minorHAnsi"/>
          <w:lang w:val="en-GB"/>
        </w:rPr>
        <w:t xml:space="preserve">omogeneously scattered for all compounds (Figures </w:t>
      </w:r>
      <w:r w:rsidR="00E04BCD">
        <w:rPr>
          <w:rFonts w:asciiTheme="minorHAnsi" w:hAnsiTheme="minorHAnsi" w:cstheme="minorHAnsi"/>
          <w:lang w:val="en-GB"/>
        </w:rPr>
        <w:t>S</w:t>
      </w:r>
      <w:r>
        <w:rPr>
          <w:rFonts w:asciiTheme="minorHAnsi" w:hAnsiTheme="minorHAnsi" w:cstheme="minorHAnsi"/>
          <w:lang w:val="en-GB"/>
        </w:rPr>
        <w:t>2-</w:t>
      </w:r>
      <w:r w:rsidR="00E04BCD">
        <w:rPr>
          <w:rFonts w:asciiTheme="minorHAnsi" w:hAnsiTheme="minorHAnsi" w:cstheme="minorHAnsi"/>
          <w:lang w:val="en-GB"/>
        </w:rPr>
        <w:t>S</w:t>
      </w:r>
      <w:r>
        <w:rPr>
          <w:rFonts w:asciiTheme="minorHAnsi" w:hAnsiTheme="minorHAnsi" w:cstheme="minorHAnsi"/>
          <w:lang w:val="en-GB"/>
        </w:rPr>
        <w:t>5</w:t>
      </w:r>
      <w:r w:rsidRPr="001E7171">
        <w:rPr>
          <w:rFonts w:asciiTheme="minorHAnsi" w:hAnsiTheme="minorHAnsi" w:cstheme="minorHAnsi"/>
          <w:lang w:val="en-GB"/>
        </w:rPr>
        <w:t xml:space="preserve">). </w:t>
      </w:r>
    </w:p>
    <w:p w:rsidR="006744D6" w:rsidRDefault="006744D6" w:rsidP="006744D6">
      <w:pPr>
        <w:spacing w:line="480" w:lineRule="auto"/>
        <w:rPr>
          <w:rFonts w:asciiTheme="minorHAnsi" w:hAnsiTheme="minorHAnsi" w:cstheme="minorHAnsi"/>
          <w:lang w:val="en-GB"/>
        </w:rPr>
      </w:pPr>
      <w:r>
        <w:rPr>
          <w:rFonts w:asciiTheme="minorHAnsi" w:hAnsiTheme="minorHAnsi" w:cstheme="minorHAnsi"/>
          <w:lang w:val="en-GB"/>
        </w:rPr>
        <w:br w:type="page"/>
      </w:r>
    </w:p>
    <w:p w:rsidR="008F346A" w:rsidRDefault="008F346A"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r w:rsidRPr="00303187">
        <w:rPr>
          <w:rFonts w:asciiTheme="minorHAnsi" w:hAnsiTheme="minorHAnsi" w:cstheme="minorHAnsi"/>
          <w:noProof/>
          <w:lang w:val="en-GB"/>
        </w:rPr>
        <w:drawing>
          <wp:inline distT="0" distB="0" distL="0" distR="0">
            <wp:extent cx="5756910" cy="1923485"/>
            <wp:effectExtent l="0" t="0" r="0" b="635"/>
            <wp:docPr id="5" name="Grafik 5" descr="\\storage.karger.intra\ProductionP$\Articles\000\499\330\Original\Appendix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age.karger.intra\ProductionP$\Articles\000\499\330\Original\Appendix_Figure_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1923485"/>
                    </a:xfrm>
                    <a:prstGeom prst="rect">
                      <a:avLst/>
                    </a:prstGeom>
                    <a:noFill/>
                    <a:ln>
                      <a:noFill/>
                    </a:ln>
                  </pic:spPr>
                </pic:pic>
              </a:graphicData>
            </a:graphic>
          </wp:inline>
        </w:drawing>
      </w:r>
    </w:p>
    <w:p w:rsidR="008F346A" w:rsidRDefault="008F346A" w:rsidP="00303187">
      <w:pPr>
        <w:widowControl w:val="0"/>
        <w:autoSpaceDE w:val="0"/>
        <w:autoSpaceDN w:val="0"/>
        <w:adjustRightInd w:val="0"/>
        <w:spacing w:line="480" w:lineRule="auto"/>
        <w:rPr>
          <w:rFonts w:asciiTheme="minorHAnsi" w:hAnsiTheme="minorHAnsi" w:cstheme="minorHAnsi"/>
          <w:lang w:val="en-GB"/>
        </w:rPr>
      </w:pPr>
    </w:p>
    <w:p w:rsidR="00303187" w:rsidRDefault="00303187" w:rsidP="00303187">
      <w:pPr>
        <w:widowControl w:val="0"/>
        <w:autoSpaceDE w:val="0"/>
        <w:autoSpaceDN w:val="0"/>
        <w:adjustRightInd w:val="0"/>
        <w:spacing w:line="480" w:lineRule="auto"/>
        <w:rPr>
          <w:rFonts w:asciiTheme="minorHAnsi" w:hAnsiTheme="minorHAnsi" w:cstheme="minorHAnsi"/>
          <w:lang w:val="en-GB"/>
        </w:rPr>
      </w:pPr>
      <w:r w:rsidRPr="00072084">
        <w:rPr>
          <w:rFonts w:asciiTheme="minorHAnsi" w:hAnsiTheme="minorHAnsi" w:cstheme="minorHAnsi"/>
          <w:lang w:val="en-GB"/>
        </w:rPr>
        <w:t xml:space="preserve">Figure </w:t>
      </w:r>
      <w:r>
        <w:rPr>
          <w:rFonts w:asciiTheme="minorHAnsi" w:hAnsiTheme="minorHAnsi" w:cstheme="minorHAnsi"/>
          <w:lang w:val="en-GB"/>
        </w:rPr>
        <w:t>S</w:t>
      </w:r>
      <w:r w:rsidRPr="00072084">
        <w:rPr>
          <w:rFonts w:asciiTheme="minorHAnsi" w:hAnsiTheme="minorHAnsi" w:cstheme="minorHAnsi"/>
          <w:lang w:val="en-GB"/>
        </w:rPr>
        <w:t xml:space="preserve">1: Observed </w:t>
      </w:r>
      <w:r>
        <w:rPr>
          <w:rFonts w:asciiTheme="minorHAnsi" w:hAnsiTheme="minorHAnsi" w:cstheme="minorHAnsi"/>
          <w:lang w:val="en-GB"/>
        </w:rPr>
        <w:t>OHM (left) and HMG (right)</w:t>
      </w:r>
      <w:r w:rsidRPr="00072084">
        <w:rPr>
          <w:rFonts w:asciiTheme="minorHAnsi" w:hAnsiTheme="minorHAnsi" w:cstheme="minorHAnsi"/>
          <w:lang w:val="en-GB"/>
        </w:rPr>
        <w:t xml:space="preserve"> plasma concentrations versus time after birth. </w:t>
      </w:r>
    </w:p>
    <w:p w:rsidR="00303187" w:rsidRDefault="00303187" w:rsidP="00303187">
      <w:pPr>
        <w:widowControl w:val="0"/>
        <w:autoSpaceDE w:val="0"/>
        <w:autoSpaceDN w:val="0"/>
        <w:adjustRightInd w:val="0"/>
        <w:spacing w:line="480" w:lineRule="auto"/>
        <w:rPr>
          <w:rFonts w:asciiTheme="minorHAnsi" w:hAnsiTheme="minorHAnsi" w:cstheme="minorHAnsi"/>
          <w:lang w:val="en-GB"/>
        </w:rPr>
      </w:pPr>
    </w:p>
    <w:p w:rsidR="00303187" w:rsidRDefault="00303187" w:rsidP="00303187">
      <w:pPr>
        <w:widowControl w:val="0"/>
        <w:autoSpaceDE w:val="0"/>
        <w:autoSpaceDN w:val="0"/>
        <w:adjustRightInd w:val="0"/>
        <w:spacing w:line="480" w:lineRule="auto"/>
        <w:rPr>
          <w:rFonts w:asciiTheme="minorHAnsi" w:hAnsiTheme="minorHAnsi" w:cstheme="minorHAnsi"/>
          <w:lang w:val="en-GB"/>
        </w:rPr>
      </w:pPr>
    </w:p>
    <w:p w:rsidR="006744D6" w:rsidRDefault="006744D6"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noProof/>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r w:rsidRPr="00303187">
        <w:rPr>
          <w:rFonts w:asciiTheme="minorHAnsi" w:hAnsiTheme="minorHAnsi" w:cstheme="minorHAnsi"/>
          <w:noProof/>
          <w:lang w:val="en-GB"/>
        </w:rPr>
        <w:drawing>
          <wp:inline distT="0" distB="0" distL="0" distR="0">
            <wp:extent cx="5756910" cy="6272454"/>
            <wp:effectExtent l="0" t="0" r="0" b="0"/>
            <wp:docPr id="6" name="Grafik 6" descr="\\storage.karger.intra\ProductionP$\Articles\000\499\330\Original\Appendix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age.karger.intra\ProductionP$\Articles\000\499\330\Original\Appendix_Figure_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6272454"/>
                    </a:xfrm>
                    <a:prstGeom prst="rect">
                      <a:avLst/>
                    </a:prstGeom>
                    <a:noFill/>
                    <a:ln>
                      <a:noFill/>
                    </a:ln>
                  </pic:spPr>
                </pic:pic>
              </a:graphicData>
            </a:graphic>
          </wp:inline>
        </w:drawing>
      </w: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6744D6" w:rsidRDefault="006744D6" w:rsidP="006744D6">
      <w:pPr>
        <w:widowControl w:val="0"/>
        <w:autoSpaceDE w:val="0"/>
        <w:autoSpaceDN w:val="0"/>
        <w:adjustRightInd w:val="0"/>
        <w:spacing w:line="480" w:lineRule="auto"/>
        <w:rPr>
          <w:rFonts w:asciiTheme="minorHAnsi" w:hAnsiTheme="minorHAnsi" w:cstheme="minorHAnsi"/>
          <w:lang w:val="en-GB"/>
        </w:rPr>
      </w:pPr>
      <w:r>
        <w:rPr>
          <w:rFonts w:asciiTheme="minorHAnsi" w:hAnsiTheme="minorHAnsi" w:cstheme="minorHAnsi"/>
          <w:lang w:val="en-GB"/>
        </w:rPr>
        <w:t xml:space="preserve">Figure </w:t>
      </w:r>
      <w:r w:rsidR="00E04BCD">
        <w:rPr>
          <w:rFonts w:asciiTheme="minorHAnsi" w:hAnsiTheme="minorHAnsi" w:cstheme="minorHAnsi"/>
          <w:lang w:val="en-GB"/>
        </w:rPr>
        <w:t>S</w:t>
      </w:r>
      <w:r>
        <w:rPr>
          <w:rFonts w:asciiTheme="minorHAnsi" w:hAnsiTheme="minorHAnsi" w:cstheme="minorHAnsi"/>
          <w:lang w:val="en-GB"/>
        </w:rPr>
        <w:t>2</w:t>
      </w:r>
      <w:r w:rsidRPr="00D17172">
        <w:rPr>
          <w:rFonts w:asciiTheme="minorHAnsi" w:hAnsiTheme="minorHAnsi" w:cstheme="minorHAnsi"/>
          <w:lang w:val="en-GB"/>
        </w:rPr>
        <w:t xml:space="preserve">: </w:t>
      </w:r>
      <w:r>
        <w:rPr>
          <w:rFonts w:asciiTheme="minorHAnsi" w:hAnsiTheme="minorHAnsi" w:cstheme="minorHAnsi"/>
          <w:lang w:val="en-GB"/>
        </w:rPr>
        <w:t>Phenobarbital</w:t>
      </w:r>
      <w:r w:rsidRPr="00D17172">
        <w:rPr>
          <w:rFonts w:asciiTheme="minorHAnsi" w:hAnsiTheme="minorHAnsi" w:cstheme="minorHAnsi"/>
          <w:lang w:val="en-GB"/>
        </w:rPr>
        <w:t xml:space="preserve"> goodness-of-fit plots. A = observed vs population predicted plasma concentrations; B = observed vs individual predicted plasma concentrations; C = population conditional weighted residuals vs population predicted plasma concentrations; D = population conditional weighted residuals vs time after birth</w:t>
      </w:r>
      <w:r w:rsidR="00E04BCD">
        <w:rPr>
          <w:rFonts w:asciiTheme="minorHAnsi" w:hAnsiTheme="minorHAnsi" w:cstheme="minorHAnsi"/>
          <w:lang w:val="en-GB"/>
        </w:rPr>
        <w:t>.</w:t>
      </w:r>
    </w:p>
    <w:p w:rsidR="006744D6" w:rsidRPr="00D17172" w:rsidRDefault="006744D6"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8F346A" w:rsidP="006744D6">
      <w:pPr>
        <w:widowControl w:val="0"/>
        <w:autoSpaceDE w:val="0"/>
        <w:autoSpaceDN w:val="0"/>
        <w:adjustRightInd w:val="0"/>
        <w:spacing w:line="480" w:lineRule="auto"/>
        <w:rPr>
          <w:rFonts w:asciiTheme="minorHAnsi" w:hAnsiTheme="minorHAnsi" w:cstheme="minorHAnsi"/>
          <w:lang w:val="en-GB"/>
        </w:rPr>
      </w:pPr>
      <w:r w:rsidRPr="008F346A">
        <w:rPr>
          <w:rFonts w:asciiTheme="minorHAnsi" w:hAnsiTheme="minorHAnsi" w:cstheme="minorHAnsi"/>
          <w:noProof/>
          <w:lang w:val="en-GB"/>
        </w:rPr>
        <w:drawing>
          <wp:inline distT="0" distB="0" distL="0" distR="0">
            <wp:extent cx="5756910" cy="6272454"/>
            <wp:effectExtent l="0" t="0" r="0" b="0"/>
            <wp:docPr id="7" name="Grafik 7" descr="\\storage.karger.intra\ProductionP$\Articles\000\499\330\Original\Appendix_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age.karger.intra\ProductionP$\Articles\000\499\330\Original\Appendix_Figure_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6272454"/>
                    </a:xfrm>
                    <a:prstGeom prst="rect">
                      <a:avLst/>
                    </a:prstGeom>
                    <a:noFill/>
                    <a:ln>
                      <a:noFill/>
                    </a:ln>
                  </pic:spPr>
                </pic:pic>
              </a:graphicData>
            </a:graphic>
          </wp:inline>
        </w:drawing>
      </w: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6744D6" w:rsidRDefault="006744D6" w:rsidP="006744D6">
      <w:pPr>
        <w:widowControl w:val="0"/>
        <w:autoSpaceDE w:val="0"/>
        <w:autoSpaceDN w:val="0"/>
        <w:adjustRightInd w:val="0"/>
        <w:spacing w:line="480" w:lineRule="auto"/>
        <w:rPr>
          <w:rFonts w:asciiTheme="minorHAnsi" w:hAnsiTheme="minorHAnsi" w:cstheme="minorHAnsi"/>
          <w:lang w:val="en-GB"/>
        </w:rPr>
      </w:pPr>
      <w:r>
        <w:rPr>
          <w:rFonts w:asciiTheme="minorHAnsi" w:hAnsiTheme="minorHAnsi" w:cstheme="minorHAnsi"/>
          <w:lang w:val="en-GB"/>
        </w:rPr>
        <w:t xml:space="preserve">Figure </w:t>
      </w:r>
      <w:r w:rsidR="00E04BCD">
        <w:rPr>
          <w:rFonts w:asciiTheme="minorHAnsi" w:hAnsiTheme="minorHAnsi" w:cstheme="minorHAnsi"/>
          <w:lang w:val="en-GB"/>
        </w:rPr>
        <w:t>S</w:t>
      </w:r>
      <w:r>
        <w:rPr>
          <w:rFonts w:asciiTheme="minorHAnsi" w:hAnsiTheme="minorHAnsi" w:cstheme="minorHAnsi"/>
          <w:lang w:val="en-GB"/>
        </w:rPr>
        <w:t xml:space="preserve">3: Midazolam </w:t>
      </w:r>
      <w:r w:rsidRPr="00D17172">
        <w:rPr>
          <w:rFonts w:asciiTheme="minorHAnsi" w:hAnsiTheme="minorHAnsi" w:cstheme="minorHAnsi"/>
          <w:lang w:val="en-GB"/>
        </w:rPr>
        <w:t>goodness-of-fit plots. A = observed vs population predicted plasma concentrations; B = observed vs individual predicted plasma concentrations; C = population conditional weighted residuals vs population predicted plasma concentrations; D = population conditional weighted residuals vs time after birth</w:t>
      </w:r>
      <w:r w:rsidR="00E04BCD">
        <w:rPr>
          <w:rFonts w:asciiTheme="minorHAnsi" w:hAnsiTheme="minorHAnsi" w:cstheme="minorHAnsi"/>
          <w:lang w:val="en-GB"/>
        </w:rPr>
        <w:t>.</w:t>
      </w: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303187" w:rsidRDefault="00303187" w:rsidP="006744D6">
      <w:pPr>
        <w:widowControl w:val="0"/>
        <w:autoSpaceDE w:val="0"/>
        <w:autoSpaceDN w:val="0"/>
        <w:adjustRightInd w:val="0"/>
        <w:spacing w:line="480" w:lineRule="auto"/>
        <w:rPr>
          <w:rFonts w:asciiTheme="minorHAnsi" w:hAnsiTheme="minorHAnsi" w:cstheme="minorHAnsi"/>
          <w:lang w:val="en-GB"/>
        </w:rPr>
      </w:pPr>
    </w:p>
    <w:p w:rsidR="006744D6" w:rsidRPr="00D17172" w:rsidRDefault="008F346A" w:rsidP="006744D6">
      <w:pPr>
        <w:widowControl w:val="0"/>
        <w:autoSpaceDE w:val="0"/>
        <w:autoSpaceDN w:val="0"/>
        <w:adjustRightInd w:val="0"/>
        <w:spacing w:line="480" w:lineRule="auto"/>
        <w:rPr>
          <w:rFonts w:asciiTheme="minorHAnsi" w:hAnsiTheme="minorHAnsi" w:cstheme="minorHAnsi"/>
          <w:lang w:val="en-GB"/>
        </w:rPr>
      </w:pPr>
      <w:r w:rsidRPr="008F346A">
        <w:rPr>
          <w:rFonts w:asciiTheme="minorHAnsi" w:hAnsiTheme="minorHAnsi" w:cstheme="minorHAnsi"/>
          <w:noProof/>
          <w:lang w:val="en-GB"/>
        </w:rPr>
        <w:drawing>
          <wp:inline distT="0" distB="0" distL="0" distR="0">
            <wp:extent cx="5756910" cy="6272454"/>
            <wp:effectExtent l="0" t="0" r="0" b="0"/>
            <wp:docPr id="8" name="Grafik 8" descr="\\storage.karger.intra\ProductionP$\Articles\000\499\330\Original\Appendix_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age.karger.intra\ProductionP$\Articles\000\499\330\Original\Appendix_Figure_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6272454"/>
                    </a:xfrm>
                    <a:prstGeom prst="rect">
                      <a:avLst/>
                    </a:prstGeom>
                    <a:noFill/>
                    <a:ln>
                      <a:noFill/>
                    </a:ln>
                  </pic:spPr>
                </pic:pic>
              </a:graphicData>
            </a:graphic>
          </wp:inline>
        </w:drawing>
      </w:r>
    </w:p>
    <w:p w:rsidR="008F346A" w:rsidRDefault="008F346A" w:rsidP="006744D6">
      <w:pPr>
        <w:widowControl w:val="0"/>
        <w:autoSpaceDE w:val="0"/>
        <w:autoSpaceDN w:val="0"/>
        <w:adjustRightInd w:val="0"/>
        <w:spacing w:line="480" w:lineRule="auto"/>
        <w:rPr>
          <w:rFonts w:asciiTheme="minorHAnsi" w:hAnsiTheme="minorHAnsi" w:cstheme="minorHAnsi"/>
          <w:lang w:val="en-GB"/>
        </w:rPr>
      </w:pPr>
    </w:p>
    <w:p w:rsidR="006744D6" w:rsidRDefault="006744D6" w:rsidP="006744D6">
      <w:pPr>
        <w:widowControl w:val="0"/>
        <w:autoSpaceDE w:val="0"/>
        <w:autoSpaceDN w:val="0"/>
        <w:adjustRightInd w:val="0"/>
        <w:spacing w:line="480" w:lineRule="auto"/>
        <w:rPr>
          <w:rFonts w:asciiTheme="minorHAnsi" w:hAnsiTheme="minorHAnsi" w:cstheme="minorHAnsi"/>
          <w:lang w:val="en-GB"/>
        </w:rPr>
      </w:pPr>
      <w:r>
        <w:rPr>
          <w:rFonts w:asciiTheme="minorHAnsi" w:hAnsiTheme="minorHAnsi" w:cstheme="minorHAnsi"/>
          <w:lang w:val="en-GB"/>
        </w:rPr>
        <w:t xml:space="preserve">Figure </w:t>
      </w:r>
      <w:r w:rsidR="00E04BCD">
        <w:rPr>
          <w:rFonts w:asciiTheme="minorHAnsi" w:hAnsiTheme="minorHAnsi" w:cstheme="minorHAnsi"/>
          <w:lang w:val="en-GB"/>
        </w:rPr>
        <w:t>S</w:t>
      </w:r>
      <w:r>
        <w:rPr>
          <w:rFonts w:asciiTheme="minorHAnsi" w:hAnsiTheme="minorHAnsi" w:cstheme="minorHAnsi"/>
          <w:lang w:val="en-GB"/>
        </w:rPr>
        <w:t>4: OHM</w:t>
      </w:r>
      <w:r w:rsidRPr="00D17172">
        <w:rPr>
          <w:rFonts w:asciiTheme="minorHAnsi" w:hAnsiTheme="minorHAnsi" w:cstheme="minorHAnsi"/>
          <w:lang w:val="en-GB"/>
        </w:rPr>
        <w:t xml:space="preserve"> goodness-of-fit plots. A = observed vs population predicted plasma concentrations; B = observed vs individual predicted plasma concentrations; C = population conditional weighted residuals vs population predicted plasma concentrations; D = population conditional weighted residuals vs time after birth; </w:t>
      </w:r>
      <w:r>
        <w:rPr>
          <w:rFonts w:asciiTheme="minorHAnsi" w:hAnsiTheme="minorHAnsi" w:cstheme="minorHAnsi"/>
          <w:lang w:val="en-GB"/>
        </w:rPr>
        <w:t>OHM = 1-hydroxymidazolam</w:t>
      </w:r>
      <w:r w:rsidR="00E04BCD">
        <w:rPr>
          <w:rFonts w:asciiTheme="minorHAnsi" w:hAnsiTheme="minorHAnsi" w:cstheme="minorHAnsi"/>
          <w:lang w:val="en-GB"/>
        </w:rPr>
        <w:t>.</w:t>
      </w:r>
    </w:p>
    <w:p w:rsidR="008F346A" w:rsidRDefault="008F346A" w:rsidP="006744D6">
      <w:pPr>
        <w:widowControl w:val="0"/>
        <w:autoSpaceDE w:val="0"/>
        <w:autoSpaceDN w:val="0"/>
        <w:adjustRightInd w:val="0"/>
        <w:spacing w:line="480" w:lineRule="auto"/>
        <w:rPr>
          <w:rFonts w:asciiTheme="minorHAnsi" w:hAnsiTheme="minorHAnsi" w:cstheme="minorHAnsi"/>
          <w:lang w:val="en-GB"/>
        </w:rPr>
      </w:pPr>
    </w:p>
    <w:p w:rsidR="008F346A" w:rsidRDefault="008F346A" w:rsidP="006744D6">
      <w:pPr>
        <w:widowControl w:val="0"/>
        <w:autoSpaceDE w:val="0"/>
        <w:autoSpaceDN w:val="0"/>
        <w:adjustRightInd w:val="0"/>
        <w:spacing w:line="480" w:lineRule="auto"/>
        <w:rPr>
          <w:rFonts w:asciiTheme="minorHAnsi" w:hAnsiTheme="minorHAnsi" w:cstheme="minorHAnsi"/>
          <w:lang w:val="en-GB"/>
        </w:rPr>
      </w:pPr>
    </w:p>
    <w:p w:rsidR="008F346A" w:rsidRDefault="008F346A" w:rsidP="006744D6">
      <w:pPr>
        <w:widowControl w:val="0"/>
        <w:autoSpaceDE w:val="0"/>
        <w:autoSpaceDN w:val="0"/>
        <w:adjustRightInd w:val="0"/>
        <w:spacing w:line="480" w:lineRule="auto"/>
        <w:rPr>
          <w:rFonts w:asciiTheme="minorHAnsi" w:hAnsiTheme="minorHAnsi" w:cstheme="minorHAnsi"/>
          <w:lang w:val="en-GB"/>
        </w:rPr>
      </w:pPr>
      <w:r w:rsidRPr="008F346A">
        <w:rPr>
          <w:rFonts w:asciiTheme="minorHAnsi" w:hAnsiTheme="minorHAnsi" w:cstheme="minorHAnsi"/>
          <w:noProof/>
          <w:lang w:val="en-GB"/>
        </w:rPr>
        <w:drawing>
          <wp:inline distT="0" distB="0" distL="0" distR="0">
            <wp:extent cx="5756910" cy="6272454"/>
            <wp:effectExtent l="0" t="0" r="0" b="0"/>
            <wp:docPr id="9" name="Grafik 9" descr="\\storage.karger.intra\ProductionP$\Articles\000\499\330\Original\Appendix_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age.karger.intra\ProductionP$\Articles\000\499\330\Original\Appendix_Figure_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6272454"/>
                    </a:xfrm>
                    <a:prstGeom prst="rect">
                      <a:avLst/>
                    </a:prstGeom>
                    <a:noFill/>
                    <a:ln>
                      <a:noFill/>
                    </a:ln>
                  </pic:spPr>
                </pic:pic>
              </a:graphicData>
            </a:graphic>
          </wp:inline>
        </w:drawing>
      </w:r>
    </w:p>
    <w:p w:rsidR="008F346A" w:rsidRDefault="008F346A" w:rsidP="006744D6">
      <w:pPr>
        <w:widowControl w:val="0"/>
        <w:autoSpaceDE w:val="0"/>
        <w:autoSpaceDN w:val="0"/>
        <w:adjustRightInd w:val="0"/>
        <w:spacing w:line="480" w:lineRule="auto"/>
        <w:rPr>
          <w:rFonts w:asciiTheme="minorHAnsi" w:hAnsiTheme="minorHAnsi" w:cstheme="minorHAnsi"/>
          <w:lang w:val="en-GB"/>
        </w:rPr>
      </w:pPr>
    </w:p>
    <w:p w:rsidR="006744D6" w:rsidRPr="00231166" w:rsidRDefault="006744D6" w:rsidP="006744D6">
      <w:pPr>
        <w:widowControl w:val="0"/>
        <w:autoSpaceDE w:val="0"/>
        <w:autoSpaceDN w:val="0"/>
        <w:adjustRightInd w:val="0"/>
        <w:spacing w:line="480" w:lineRule="auto"/>
        <w:rPr>
          <w:rFonts w:asciiTheme="minorHAnsi" w:hAnsiTheme="minorHAnsi" w:cstheme="minorHAnsi"/>
          <w:lang w:val="en-GB"/>
        </w:rPr>
      </w:pPr>
      <w:r>
        <w:rPr>
          <w:rFonts w:asciiTheme="minorHAnsi" w:hAnsiTheme="minorHAnsi" w:cstheme="minorHAnsi"/>
          <w:lang w:val="en-GB"/>
        </w:rPr>
        <w:t xml:space="preserve">Figure </w:t>
      </w:r>
      <w:r w:rsidR="00E04BCD">
        <w:rPr>
          <w:rFonts w:asciiTheme="minorHAnsi" w:hAnsiTheme="minorHAnsi" w:cstheme="minorHAnsi"/>
          <w:lang w:val="en-GB"/>
        </w:rPr>
        <w:t>S</w:t>
      </w:r>
      <w:r>
        <w:rPr>
          <w:rFonts w:asciiTheme="minorHAnsi" w:hAnsiTheme="minorHAnsi" w:cstheme="minorHAnsi"/>
          <w:lang w:val="en-GB"/>
        </w:rPr>
        <w:t xml:space="preserve">5: HMG </w:t>
      </w:r>
      <w:r w:rsidRPr="00D17172">
        <w:rPr>
          <w:rFonts w:asciiTheme="minorHAnsi" w:hAnsiTheme="minorHAnsi" w:cstheme="minorHAnsi"/>
          <w:lang w:val="en-GB"/>
        </w:rPr>
        <w:t xml:space="preserve">goodness-of-fit plots. A = observed vs population predicted plasma concentrations; B = observed vs individual predicted plasma concentrations; C = population conditional weighted residuals vs population predicted plasma concentrations; D = population conditional weighted residuals vs time after birth; </w:t>
      </w:r>
      <w:r>
        <w:rPr>
          <w:rFonts w:asciiTheme="minorHAnsi" w:hAnsiTheme="minorHAnsi" w:cstheme="minorHAnsi"/>
          <w:lang w:val="en-GB"/>
        </w:rPr>
        <w:t xml:space="preserve">HMG = </w:t>
      </w:r>
      <w:proofErr w:type="spellStart"/>
      <w:r>
        <w:rPr>
          <w:rFonts w:asciiTheme="minorHAnsi" w:hAnsiTheme="minorHAnsi" w:cstheme="minorHAnsi"/>
          <w:lang w:val="en-GB"/>
        </w:rPr>
        <w:t>hydroxymidazolam</w:t>
      </w:r>
      <w:proofErr w:type="spellEnd"/>
      <w:r>
        <w:rPr>
          <w:rFonts w:asciiTheme="minorHAnsi" w:hAnsiTheme="minorHAnsi" w:cstheme="minorHAnsi"/>
          <w:lang w:val="en-GB"/>
        </w:rPr>
        <w:t xml:space="preserve"> glucuronide</w:t>
      </w:r>
      <w:r w:rsidR="00E04BCD">
        <w:rPr>
          <w:rFonts w:asciiTheme="minorHAnsi" w:hAnsiTheme="minorHAnsi" w:cstheme="minorHAnsi"/>
          <w:lang w:val="en-GB"/>
        </w:rPr>
        <w:t>.</w:t>
      </w:r>
    </w:p>
    <w:p w:rsidR="00E15EB5" w:rsidRPr="006744D6" w:rsidRDefault="00A83190">
      <w:pPr>
        <w:rPr>
          <w:lang w:val="en-GB"/>
        </w:rPr>
      </w:pPr>
    </w:p>
    <w:sectPr w:rsidR="00E15EB5" w:rsidRPr="006744D6" w:rsidSect="00E04BCD">
      <w:footerReference w:type="default" r:id="rId11"/>
      <w:pgSz w:w="1190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526" w:rsidRDefault="008F346A">
      <w:r>
        <w:separator/>
      </w:r>
    </w:p>
  </w:endnote>
  <w:endnote w:type="continuationSeparator" w:id="0">
    <w:p w:rsidR="00173526" w:rsidRDefault="008F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20B05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059624"/>
      <w:docPartObj>
        <w:docPartGallery w:val="Page Numbers (Bottom of Page)"/>
        <w:docPartUnique/>
      </w:docPartObj>
    </w:sdtPr>
    <w:sdtEndPr/>
    <w:sdtContent>
      <w:p w:rsidR="00162C7E" w:rsidRDefault="006744D6">
        <w:pPr>
          <w:pStyle w:val="Fuzeile"/>
          <w:jc w:val="right"/>
        </w:pPr>
        <w:r>
          <w:fldChar w:fldCharType="begin"/>
        </w:r>
        <w:r>
          <w:instrText>PAGE   \* MERGEFORMAT</w:instrText>
        </w:r>
        <w:r>
          <w:fldChar w:fldCharType="separate"/>
        </w:r>
        <w:r>
          <w:rPr>
            <w:noProof/>
          </w:rPr>
          <w:t>2</w:t>
        </w:r>
        <w:r>
          <w:fldChar w:fldCharType="end"/>
        </w:r>
      </w:p>
    </w:sdtContent>
  </w:sdt>
  <w:p w:rsidR="00162C7E" w:rsidRDefault="00A831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526" w:rsidRDefault="008F346A">
      <w:r>
        <w:separator/>
      </w:r>
    </w:p>
  </w:footnote>
  <w:footnote w:type="continuationSeparator" w:id="0">
    <w:p w:rsidR="00173526" w:rsidRDefault="008F34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4D6"/>
    <w:rsid w:val="00173526"/>
    <w:rsid w:val="002A5E45"/>
    <w:rsid w:val="00303187"/>
    <w:rsid w:val="006744D6"/>
    <w:rsid w:val="008F346A"/>
    <w:rsid w:val="00A83190"/>
    <w:rsid w:val="00D90642"/>
    <w:rsid w:val="00E0383F"/>
    <w:rsid w:val="00E04BCD"/>
    <w:rsid w:val="00F56B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91D39"/>
  <w15:docId w15:val="{7F4A193D-4258-457C-9476-F1A4F029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6744D6"/>
    <w:pPr>
      <w:pBdr>
        <w:top w:val="nil"/>
        <w:left w:val="nil"/>
        <w:bottom w:val="nil"/>
        <w:right w:val="nil"/>
        <w:between w:val="nil"/>
        <w:bar w:val="nil"/>
      </w:pBdr>
      <w:spacing w:after="0" w:line="240" w:lineRule="auto"/>
    </w:pPr>
    <w:rPr>
      <w:rFonts w:ascii="Helvetica" w:eastAsia="Helvetica" w:hAnsi="Helvetica" w:cs="Helvetica"/>
      <w:color w:val="000000"/>
      <w:bdr w:val="nil"/>
      <w:lang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6744D6"/>
    <w:pPr>
      <w:tabs>
        <w:tab w:val="center" w:pos="4536"/>
        <w:tab w:val="right" w:pos="9072"/>
      </w:tabs>
    </w:pPr>
  </w:style>
  <w:style w:type="character" w:customStyle="1" w:styleId="FuzeileZchn">
    <w:name w:val="Fußzeile Zchn"/>
    <w:basedOn w:val="Absatz-Standardschriftart"/>
    <w:link w:val="Fuzeile"/>
    <w:uiPriority w:val="99"/>
    <w:rsid w:val="006744D6"/>
    <w:rPr>
      <w:rFonts w:ascii="Helvetica" w:eastAsia="Helvetica" w:hAnsi="Helvetica" w:cs="Helvetica"/>
      <w:color w:val="000000"/>
      <w:bdr w:val="nil"/>
      <w:lang w:eastAsia="nl-NL"/>
    </w:rPr>
  </w:style>
  <w:style w:type="character" w:styleId="Zeilennummer">
    <w:name w:val="line number"/>
    <w:basedOn w:val="Absatz-Standardschriftart"/>
    <w:uiPriority w:val="99"/>
    <w:semiHidden/>
    <w:unhideWhenUsed/>
    <w:rsid w:val="00674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1440</Words>
  <Characters>9075</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Favie, L.M.A.</dc:creator>
  <cp:lastModifiedBy>Patrick Näf</cp:lastModifiedBy>
  <cp:revision>6</cp:revision>
  <dcterms:created xsi:type="dcterms:W3CDTF">2019-01-31T15:19:00Z</dcterms:created>
  <dcterms:modified xsi:type="dcterms:W3CDTF">2019-05-28T14:10:00Z</dcterms:modified>
</cp:coreProperties>
</file>