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5A" w:rsidRDefault="00C1395A" w:rsidP="00C1395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Materials and Methods</w:t>
      </w:r>
    </w:p>
    <w:p w:rsidR="00C1395A" w:rsidRPr="00E954E6" w:rsidRDefault="00C1395A" w:rsidP="00C1395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 w:rsidRPr="00E954E6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Patients</w:t>
      </w:r>
    </w:p>
    <w:p w:rsidR="00C1395A" w:rsidRPr="00945562" w:rsidRDefault="00C1395A" w:rsidP="00C1395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We retros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pectively reviewed the medical records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patients with BD who were followed at the BD polyclinic from 1994 to 2014. We included 840 patients who had provided </w:t>
      </w:r>
      <w:proofErr w:type="gramStart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sufficient</w:t>
      </w:r>
      <w:proofErr w:type="gramEnd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data. </w:t>
      </w:r>
      <w:proofErr w:type="gramStart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All of</w:t>
      </w:r>
      <w:proofErr w:type="gramEnd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patients were diagnosed with BD according to </w:t>
      </w:r>
      <w:r w:rsidR="00E954E6"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he </w:t>
      </w:r>
      <w:proofErr w:type="spellStart"/>
      <w:r w:rsidRPr="0094556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Behçet's</w:t>
      </w:r>
      <w:proofErr w:type="spellEnd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Syndrome </w:t>
      </w:r>
      <w:r w:rsidRPr="0094556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International Study Group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Criteria [</w:t>
      </w:r>
      <w:r w:rsidRP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7]</w:t>
      </w:r>
      <w:r w:rsid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.</w:t>
      </w:r>
      <w:r w:rsidRP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Only first-degree relatives (brothers, sisters and parents) who were affected were considered to constitute cases of familial B</w:t>
      </w:r>
      <w:bookmarkStart w:id="0" w:name="_GoBack"/>
      <w:bookmarkEnd w:id="0"/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 [</w:t>
      </w:r>
      <w:r w:rsidRP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</w:t>
      </w:r>
      <w:r w:rsid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4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–</w:t>
      </w:r>
      <w:r w:rsidRP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</w:t>
      </w:r>
      <w:r w:rsid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6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]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C1395A" w:rsidRPr="00E954E6" w:rsidRDefault="00C1395A" w:rsidP="00C139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 w:rsidRPr="00E954E6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Methods</w:t>
      </w:r>
    </w:p>
    <w:p w:rsidR="00C1395A" w:rsidRPr="00945562" w:rsidRDefault="00C1395A" w:rsidP="00C1395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 were also able to obtain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demographic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such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 age, gender, age of onset, symptoms experienced, age at diagnosis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clinical findings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including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oral aphthae, genital ulcers, papulopustular lesions, nodular lesions, pathergy reactions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the involvement of the ocular, central nervous, musculoskeletal, cardiovascular</w:t>
      </w:r>
      <w:r w:rsidR="00E954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genitourinary systems</w:t>
      </w:r>
      <w:r w:rsidRPr="009158D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from the medical records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We examined the initial findings and systemic involvements using records from other departments that the patients had consulted.</w:t>
      </w:r>
      <w:r w:rsidRPr="0094556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For the control group, we chose 45 patients similar in gender and age at random from the sporadic BD patient group (</w:t>
      </w:r>
      <w:r w:rsidRP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Fig</w:t>
      </w:r>
      <w:r w:rsid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. </w:t>
      </w:r>
      <w:r w:rsidRPr="00E954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1</w:t>
      </w:r>
      <w:r w:rsidRPr="0094556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). </w:t>
      </w:r>
    </w:p>
    <w:p w:rsidR="00C1395A" w:rsidRPr="00E954E6" w:rsidRDefault="00C1395A" w:rsidP="00C139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 w:rsidRPr="00E954E6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Statistical Analyses</w:t>
      </w:r>
    </w:p>
    <w:p w:rsidR="00C1395A" w:rsidRPr="00945562" w:rsidRDefault="00C1395A" w:rsidP="00C1395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data analysis was performed using SPSS for Windows Version 20.0 (SPSS Inc</w:t>
      </w:r>
      <w:r w:rsid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Chicago, I</w:t>
      </w:r>
      <w:r w:rsid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USA). </w:t>
      </w:r>
      <w:r w:rsidRPr="00023B58">
        <w:rPr>
          <w:rFonts w:ascii="Times New Roman" w:hAnsi="Times New Roman"/>
          <w:sz w:val="24"/>
        </w:rPr>
        <w:t>Mean</w:t>
      </w:r>
      <w:r w:rsidR="00EB6B77">
        <w:rPr>
          <w:rFonts w:ascii="Times New Roman" w:hAnsi="Times New Roman"/>
          <w:sz w:val="24"/>
        </w:rPr>
        <w:t>s</w:t>
      </w:r>
      <w:r w:rsidRPr="00023B58">
        <w:rPr>
          <w:rFonts w:ascii="Times New Roman" w:hAnsi="Times New Roman"/>
          <w:sz w:val="24"/>
        </w:rPr>
        <w:t xml:space="preserve"> ± standard deviation were calculated for continuous variables, while percentiles and frequencies were reported for categorical variables.</w:t>
      </w:r>
      <w:r w:rsidRPr="00945562">
        <w:rPr>
          <w:rFonts w:ascii="Times New Roman" w:hAnsi="Times New Roman"/>
          <w:i/>
          <w:sz w:val="24"/>
        </w:rPr>
        <w:t xml:space="preserve">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Categorical variables were given with cross-tabulations. Pearson’s and Fisher’s </w:t>
      </w:r>
      <w:r w:rsidR="00EB6B77" w:rsidRP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χ</w:t>
      </w:r>
      <w:r w:rsidR="00EB6B7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2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tests were used to demonstrate the differences between the two groups. We used a significance level of</w:t>
      </w:r>
      <w:r w:rsidRPr="0094556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r w:rsidR="00EB6B77" w:rsidRPr="00EB6B77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&lt;</w:t>
      </w:r>
      <w:r w:rsidR="00EB6B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4556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0.05 in our study. </w:t>
      </w:r>
    </w:p>
    <w:p w:rsidR="00941643" w:rsidRPr="00C1395A" w:rsidRDefault="00941643">
      <w:pPr>
        <w:rPr>
          <w:lang w:val="en-US"/>
        </w:rPr>
      </w:pPr>
    </w:p>
    <w:sectPr w:rsidR="00941643" w:rsidRPr="00C13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5A"/>
    <w:rsid w:val="00941643"/>
    <w:rsid w:val="00C1395A"/>
    <w:rsid w:val="00E954E6"/>
    <w:rsid w:val="00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A77A2"/>
  <w15:chartTrackingRefBased/>
  <w15:docId w15:val="{F3A95C9F-444D-4658-AA80-AC460324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95A"/>
    <w:rPr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3</cp:revision>
  <dcterms:created xsi:type="dcterms:W3CDTF">2019-05-15T06:42:00Z</dcterms:created>
  <dcterms:modified xsi:type="dcterms:W3CDTF">2019-06-13T12:30:00Z</dcterms:modified>
</cp:coreProperties>
</file>