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C0" w:rsidRPr="006A553B" w:rsidRDefault="006A553B">
      <w:pPr>
        <w:rPr>
          <w:b/>
          <w:sz w:val="36"/>
          <w:lang w:val="en-US"/>
        </w:rPr>
      </w:pPr>
      <w:bookmarkStart w:id="0" w:name="_GoBack"/>
      <w:bookmarkEnd w:id="0"/>
      <w:r w:rsidRPr="006A553B">
        <w:rPr>
          <w:b/>
          <w:sz w:val="36"/>
          <w:lang w:val="en-US"/>
        </w:rPr>
        <w:t>Supplementa</w:t>
      </w:r>
      <w:r>
        <w:rPr>
          <w:b/>
          <w:sz w:val="36"/>
          <w:lang w:val="en-US"/>
        </w:rPr>
        <w:t>ry</w:t>
      </w:r>
      <w:r w:rsidRPr="006A553B">
        <w:rPr>
          <w:b/>
          <w:sz w:val="36"/>
          <w:lang w:val="en-US"/>
        </w:rPr>
        <w:t xml:space="preserve"> Information</w:t>
      </w:r>
    </w:p>
    <w:p w:rsidR="006A553B" w:rsidRDefault="006A553B">
      <w:pPr>
        <w:rPr>
          <w:b/>
          <w:sz w:val="40"/>
        </w:rPr>
      </w:pPr>
    </w:p>
    <w:p w:rsidR="006A553B" w:rsidRPr="003671BB" w:rsidRDefault="006A553B" w:rsidP="006A553B">
      <w:pPr>
        <w:keepNext/>
        <w:numPr>
          <w:ilvl w:val="1"/>
          <w:numId w:val="0"/>
        </w:numPr>
        <w:spacing w:after="120"/>
        <w:ind w:left="576" w:hanging="576"/>
        <w:jc w:val="both"/>
        <w:outlineLvl w:val="1"/>
        <w:rPr>
          <w:rFonts w:ascii="Cambria" w:eastAsia="Times New Roman" w:hAnsi="Cambria"/>
          <w:b/>
          <w:bCs/>
          <w:i/>
          <w:iCs/>
          <w:color w:val="39A956"/>
          <w:sz w:val="28"/>
          <w:szCs w:val="28"/>
          <w:lang w:val="en-US" w:eastAsia="de-CH"/>
        </w:rPr>
      </w:pPr>
      <w:r w:rsidRPr="003671BB">
        <w:rPr>
          <w:rFonts w:ascii="Cambria" w:eastAsia="Times New Roman" w:hAnsi="Cambria"/>
          <w:b/>
          <w:bCs/>
          <w:i/>
          <w:iCs/>
          <w:color w:val="39A956"/>
          <w:sz w:val="28"/>
          <w:szCs w:val="28"/>
          <w:lang w:val="en-US" w:eastAsia="de-CH"/>
        </w:rPr>
        <w:t>A new generation somatostatin-dopamine analogue exerts potent antitumoral actions on pituitary neuroendocrine tumor cells</w:t>
      </w:r>
    </w:p>
    <w:p w:rsidR="006A553B" w:rsidRPr="003671BB" w:rsidRDefault="006A553B" w:rsidP="006A553B">
      <w:pPr>
        <w:spacing w:after="120"/>
        <w:jc w:val="center"/>
        <w:rPr>
          <w:lang w:eastAsia="de-CH"/>
        </w:rPr>
      </w:pPr>
      <w:r w:rsidRPr="003671BB">
        <w:rPr>
          <w:lang w:eastAsia="de-CH"/>
        </w:rPr>
        <w:t>Mari C. Vázquez-Borrego</w:t>
      </w:r>
      <w:r w:rsidRPr="003671BB">
        <w:rPr>
          <w:vertAlign w:val="superscript"/>
          <w:lang w:eastAsia="de-CH"/>
        </w:rPr>
        <w:t>1,2,3,4</w:t>
      </w:r>
      <w:r w:rsidRPr="003671BB">
        <w:rPr>
          <w:lang w:eastAsia="de-CH"/>
        </w:rPr>
        <w:t>, Fernando L-López</w:t>
      </w:r>
      <w:r w:rsidRPr="003671BB">
        <w:rPr>
          <w:vertAlign w:val="superscript"/>
          <w:lang w:eastAsia="de-CH"/>
        </w:rPr>
        <w:t>1,2,3,4</w:t>
      </w:r>
      <w:r w:rsidRPr="003671BB">
        <w:rPr>
          <w:lang w:eastAsia="de-CH"/>
        </w:rPr>
        <w:t>, María A. Gálvez-Moreno</w:t>
      </w:r>
      <w:r w:rsidRPr="003671BB">
        <w:rPr>
          <w:vertAlign w:val="superscript"/>
          <w:lang w:eastAsia="de-CH"/>
        </w:rPr>
        <w:t>1,2,3,5</w:t>
      </w:r>
      <w:r w:rsidRPr="003671BB">
        <w:rPr>
          <w:lang w:eastAsia="de-CH"/>
        </w:rPr>
        <w:t>, Antonio C. Fuentes-Fayos</w:t>
      </w:r>
      <w:r w:rsidRPr="003671BB">
        <w:rPr>
          <w:vertAlign w:val="superscript"/>
          <w:lang w:eastAsia="de-CH"/>
        </w:rPr>
        <w:t>1,2,3,4</w:t>
      </w:r>
      <w:r w:rsidRPr="003671BB">
        <w:rPr>
          <w:lang w:eastAsia="de-CH"/>
        </w:rPr>
        <w:t>, Eva Venegas-Moreno</w:t>
      </w:r>
      <w:r w:rsidRPr="003671BB">
        <w:rPr>
          <w:vertAlign w:val="superscript"/>
          <w:lang w:eastAsia="de-CH"/>
        </w:rPr>
        <w:t>6</w:t>
      </w:r>
      <w:r w:rsidRPr="003671BB">
        <w:rPr>
          <w:lang w:eastAsia="de-CH"/>
        </w:rPr>
        <w:t>, Aura D. Herrera-Martínez</w:t>
      </w:r>
      <w:r w:rsidRPr="003671BB">
        <w:rPr>
          <w:vertAlign w:val="superscript"/>
          <w:lang w:eastAsia="de-CH"/>
        </w:rPr>
        <w:t>1,3,5</w:t>
      </w:r>
      <w:r w:rsidRPr="003671BB">
        <w:rPr>
          <w:lang w:eastAsia="de-CH"/>
        </w:rPr>
        <w:t>, Cristóbal Blanco-Acevedo</w:t>
      </w:r>
      <w:r w:rsidRPr="003671BB">
        <w:rPr>
          <w:vertAlign w:val="superscript"/>
          <w:lang w:eastAsia="de-CH"/>
        </w:rPr>
        <w:t>1,3,7</w:t>
      </w:r>
      <w:r w:rsidRPr="003671BB">
        <w:rPr>
          <w:lang w:eastAsia="de-CH"/>
        </w:rPr>
        <w:t>, Juan Solivera</w:t>
      </w:r>
      <w:r w:rsidRPr="003671BB">
        <w:rPr>
          <w:vertAlign w:val="superscript"/>
          <w:lang w:eastAsia="de-CH"/>
        </w:rPr>
        <w:t>1,3,7</w:t>
      </w:r>
      <w:r w:rsidRPr="003671BB">
        <w:rPr>
          <w:lang w:eastAsia="de-CH"/>
        </w:rPr>
        <w:t xml:space="preserve">, </w:t>
      </w:r>
      <w:proofErr w:type="spellStart"/>
      <w:r w:rsidRPr="003671BB">
        <w:rPr>
          <w:lang w:eastAsia="de-CH"/>
        </w:rPr>
        <w:t>Tanya</w:t>
      </w:r>
      <w:proofErr w:type="spellEnd"/>
      <w:r w:rsidRPr="003671BB">
        <w:rPr>
          <w:lang w:eastAsia="de-CH"/>
        </w:rPr>
        <w:t xml:space="preserve"> Landsman</w:t>
      </w:r>
      <w:r w:rsidRPr="003671BB">
        <w:rPr>
          <w:vertAlign w:val="superscript"/>
          <w:lang w:eastAsia="de-CH"/>
        </w:rPr>
        <w:t>8**</w:t>
      </w:r>
      <w:r w:rsidRPr="003671BB">
        <w:rPr>
          <w:lang w:eastAsia="de-CH"/>
        </w:rPr>
        <w:t>, Manuel D. Gahete</w:t>
      </w:r>
      <w:r w:rsidRPr="003671BB">
        <w:rPr>
          <w:vertAlign w:val="superscript"/>
          <w:lang w:eastAsia="de-CH"/>
        </w:rPr>
        <w:t>1,2,3,4</w:t>
      </w:r>
      <w:r w:rsidRPr="003671BB">
        <w:rPr>
          <w:lang w:eastAsia="de-CH"/>
        </w:rPr>
        <w:t>, Alfonso Soto-Moreno</w:t>
      </w:r>
      <w:r w:rsidRPr="003671BB">
        <w:rPr>
          <w:vertAlign w:val="superscript"/>
          <w:lang w:eastAsia="de-CH"/>
        </w:rPr>
        <w:t>6</w:t>
      </w:r>
      <w:r w:rsidRPr="003671BB">
        <w:rPr>
          <w:lang w:eastAsia="de-CH"/>
        </w:rPr>
        <w:t>, Michael D. Culler</w:t>
      </w:r>
      <w:r w:rsidRPr="003671BB">
        <w:rPr>
          <w:vertAlign w:val="superscript"/>
          <w:lang w:eastAsia="de-CH"/>
        </w:rPr>
        <w:t>8**</w:t>
      </w:r>
      <w:r w:rsidRPr="003671BB">
        <w:rPr>
          <w:lang w:eastAsia="de-CH"/>
        </w:rPr>
        <w:t>, Justo P. Castaño</w:t>
      </w:r>
      <w:r w:rsidRPr="003671BB">
        <w:rPr>
          <w:vertAlign w:val="superscript"/>
          <w:lang w:eastAsia="de-CH"/>
        </w:rPr>
        <w:t>1,2,3,4*</w:t>
      </w:r>
      <w:r w:rsidRPr="003671BB">
        <w:rPr>
          <w:lang w:eastAsia="de-CH"/>
        </w:rPr>
        <w:t>, Raúl M. Luque</w:t>
      </w:r>
      <w:r w:rsidRPr="003671BB">
        <w:rPr>
          <w:vertAlign w:val="superscript"/>
          <w:lang w:eastAsia="de-CH"/>
        </w:rPr>
        <w:t>1,2,3,4*</w:t>
      </w:r>
      <w:r w:rsidRPr="003671BB">
        <w:rPr>
          <w:lang w:eastAsia="de-CH"/>
        </w:rPr>
        <w:t xml:space="preserve">. </w:t>
      </w:r>
    </w:p>
    <w:p w:rsidR="006A553B" w:rsidRPr="003671BB" w:rsidRDefault="006A553B" w:rsidP="006A553B">
      <w:pPr>
        <w:spacing w:after="120"/>
        <w:rPr>
          <w:lang w:eastAsia="de-CH"/>
        </w:rPr>
      </w:pPr>
    </w:p>
    <w:p w:rsidR="006A553B" w:rsidRPr="003671BB" w:rsidRDefault="006A553B" w:rsidP="006A553B">
      <w:pPr>
        <w:spacing w:after="120"/>
        <w:rPr>
          <w:lang w:val="en-US" w:eastAsia="de-CH"/>
        </w:rPr>
      </w:pPr>
      <w:r w:rsidRPr="003671BB">
        <w:rPr>
          <w:vertAlign w:val="superscript"/>
          <w:lang w:val="en-US" w:eastAsia="de-CH"/>
        </w:rPr>
        <w:t>1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Maimonides Institute of Biomedical Research of Cordoba (IMIBIC), 14004 Cordoba, Spain.</w:t>
      </w:r>
    </w:p>
    <w:p w:rsidR="006A553B" w:rsidRPr="003671BB" w:rsidRDefault="006A553B" w:rsidP="006A553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2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Department of Cell Biology, Physiology and Immunology, University of Cordoba, 14004 Cordoba, Spain.</w:t>
      </w:r>
    </w:p>
    <w:p w:rsidR="006A553B" w:rsidRPr="003671BB" w:rsidRDefault="006A553B" w:rsidP="006A553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3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Reina Sofia University Hospital (HURS), 14004 Cordoba, Spain.</w:t>
      </w:r>
    </w:p>
    <w:p w:rsidR="006A553B" w:rsidRPr="003671BB" w:rsidRDefault="006A553B" w:rsidP="006A553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4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CIBER Physiopathology of Obesity and Nutrition (</w:t>
      </w:r>
      <w:proofErr w:type="spellStart"/>
      <w:r w:rsidRPr="003671BB">
        <w:rPr>
          <w:rFonts w:ascii="Arial" w:hAnsi="Arial" w:cs="Arial"/>
          <w:sz w:val="20"/>
          <w:szCs w:val="20"/>
          <w:lang w:val="en-US"/>
        </w:rPr>
        <w:t>CIBERobn</w:t>
      </w:r>
      <w:proofErr w:type="spellEnd"/>
      <w:r w:rsidRPr="003671BB">
        <w:rPr>
          <w:rFonts w:ascii="Arial" w:hAnsi="Arial" w:cs="Arial"/>
          <w:sz w:val="20"/>
          <w:szCs w:val="20"/>
          <w:lang w:val="en-US"/>
        </w:rPr>
        <w:t>), 14004 Cordoba, Spain.</w:t>
      </w:r>
    </w:p>
    <w:p w:rsidR="006A553B" w:rsidRPr="003671BB" w:rsidRDefault="006A553B" w:rsidP="006A553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5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Service of Endocrinology and Nutrition, IMIBIC, HURS, 14004 Cordoba, Spain.</w:t>
      </w:r>
    </w:p>
    <w:p w:rsidR="006A553B" w:rsidRPr="003671BB" w:rsidRDefault="006A553B" w:rsidP="006A553B">
      <w:pPr>
        <w:spacing w:after="120"/>
        <w:rPr>
          <w:rFonts w:ascii="Arial" w:hAnsi="Arial" w:cs="Arial"/>
          <w:sz w:val="20"/>
          <w:szCs w:val="20"/>
        </w:rPr>
      </w:pPr>
      <w:r w:rsidRPr="003671BB">
        <w:rPr>
          <w:vertAlign w:val="superscript"/>
          <w:lang w:eastAsia="de-CH"/>
        </w:rPr>
        <w:t>6</w:t>
      </w:r>
      <w:r w:rsidRPr="003671BB">
        <w:rPr>
          <w:lang w:eastAsia="de-CH"/>
        </w:rPr>
        <w:t xml:space="preserve"> </w:t>
      </w:r>
      <w:proofErr w:type="spellStart"/>
      <w:r w:rsidRPr="003671BB">
        <w:rPr>
          <w:rFonts w:ascii="Arial" w:hAnsi="Arial" w:cs="Arial"/>
          <w:sz w:val="20"/>
          <w:szCs w:val="20"/>
        </w:rPr>
        <w:t>Metabolism</w:t>
      </w:r>
      <w:proofErr w:type="spellEnd"/>
      <w:r w:rsidRPr="003671B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671BB">
        <w:rPr>
          <w:rFonts w:ascii="Arial" w:hAnsi="Arial" w:cs="Arial"/>
          <w:sz w:val="20"/>
          <w:szCs w:val="20"/>
        </w:rPr>
        <w:t>Nutrition</w:t>
      </w:r>
      <w:proofErr w:type="spellEnd"/>
      <w:r w:rsidRPr="003671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1BB">
        <w:rPr>
          <w:rFonts w:ascii="Arial" w:hAnsi="Arial" w:cs="Arial"/>
          <w:sz w:val="20"/>
          <w:szCs w:val="20"/>
        </w:rPr>
        <w:t>Unit</w:t>
      </w:r>
      <w:proofErr w:type="spellEnd"/>
      <w:r w:rsidRPr="003671BB">
        <w:rPr>
          <w:rFonts w:ascii="Arial" w:hAnsi="Arial" w:cs="Arial"/>
          <w:sz w:val="20"/>
          <w:szCs w:val="20"/>
        </w:rPr>
        <w:t xml:space="preserve">, Hospital Universitario Virgen del Rocío, Instituto de Biomedicina de Sevilla (IBIS), 41013 Sevilla, </w:t>
      </w:r>
      <w:proofErr w:type="spellStart"/>
      <w:r w:rsidRPr="003671BB">
        <w:rPr>
          <w:rFonts w:ascii="Arial" w:hAnsi="Arial" w:cs="Arial"/>
          <w:sz w:val="20"/>
          <w:szCs w:val="20"/>
        </w:rPr>
        <w:t>Spain</w:t>
      </w:r>
      <w:proofErr w:type="spellEnd"/>
      <w:r w:rsidRPr="003671BB">
        <w:rPr>
          <w:rFonts w:ascii="Arial" w:hAnsi="Arial" w:cs="Arial"/>
          <w:sz w:val="20"/>
          <w:szCs w:val="20"/>
        </w:rPr>
        <w:t>.</w:t>
      </w:r>
    </w:p>
    <w:p w:rsidR="006A553B" w:rsidRPr="003671BB" w:rsidRDefault="006A553B" w:rsidP="006A553B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7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>Service of Neurosurgery, HURS, 14004 Cordoba, Spain</w:t>
      </w:r>
    </w:p>
    <w:p w:rsidR="006A553B" w:rsidRPr="003671BB" w:rsidRDefault="006A553B" w:rsidP="006A553B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3671BB">
        <w:rPr>
          <w:vertAlign w:val="superscript"/>
          <w:lang w:val="en-US" w:eastAsia="de-CH"/>
        </w:rPr>
        <w:t>8</w:t>
      </w:r>
      <w:r w:rsidRPr="003671BB">
        <w:rPr>
          <w:lang w:val="en-US" w:eastAsia="de-CH"/>
        </w:rPr>
        <w:t xml:space="preserve"> </w:t>
      </w:r>
      <w:r w:rsidRPr="003671BB">
        <w:rPr>
          <w:rFonts w:ascii="Arial" w:hAnsi="Arial" w:cs="Arial"/>
          <w:sz w:val="20"/>
          <w:szCs w:val="20"/>
          <w:lang w:val="en-US"/>
        </w:rPr>
        <w:t xml:space="preserve">IPSEN Bioscience, Cambridge, 02142 Massachusetts, USA. </w:t>
      </w:r>
    </w:p>
    <w:p w:rsidR="006A553B" w:rsidRPr="003671BB" w:rsidRDefault="006A553B" w:rsidP="006A553B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3671BB">
        <w:rPr>
          <w:rFonts w:ascii="Arial" w:hAnsi="Arial" w:cs="Arial"/>
          <w:sz w:val="20"/>
          <w:szCs w:val="20"/>
          <w:lang w:val="en-US"/>
        </w:rPr>
        <w:t>**These authors have different current affiliations.</w:t>
      </w: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Default="006A553B">
      <w:pPr>
        <w:rPr>
          <w:b/>
          <w:sz w:val="40"/>
          <w:lang w:val="en-US"/>
        </w:rPr>
      </w:pPr>
    </w:p>
    <w:p w:rsidR="006A553B" w:rsidRPr="006A553B" w:rsidRDefault="006A553B" w:rsidP="006A553B">
      <w:pPr>
        <w:jc w:val="both"/>
        <w:rPr>
          <w:sz w:val="22"/>
          <w:szCs w:val="20"/>
          <w:lang w:val="en-US"/>
        </w:rPr>
      </w:pPr>
      <w:r w:rsidRPr="006A553B">
        <w:rPr>
          <w:b/>
          <w:bCs/>
          <w:sz w:val="22"/>
          <w:szCs w:val="20"/>
          <w:lang w:val="en-US"/>
        </w:rPr>
        <w:lastRenderedPageBreak/>
        <w:t xml:space="preserve">Supplementary Figure 1: </w:t>
      </w:r>
      <w:r w:rsidRPr="006A553B">
        <w:rPr>
          <w:sz w:val="22"/>
          <w:szCs w:val="20"/>
          <w:lang w:val="en-US"/>
        </w:rPr>
        <w:t>ACTH-secreting adenomas. (A) Dose-response experiment of cell viability in response to BIM-065 (10</w:t>
      </w:r>
      <w:r w:rsidRPr="00F52FEA">
        <w:rPr>
          <w:sz w:val="22"/>
          <w:szCs w:val="13"/>
          <w:vertAlign w:val="superscript"/>
          <w:lang w:val="en-US"/>
        </w:rPr>
        <w:t>-13</w:t>
      </w:r>
      <w:r w:rsidRPr="00F52FEA">
        <w:rPr>
          <w:sz w:val="22"/>
          <w:szCs w:val="13"/>
          <w:lang w:val="en-US"/>
        </w:rPr>
        <w:t xml:space="preserve"> </w:t>
      </w:r>
      <w:r w:rsidRPr="006A553B">
        <w:rPr>
          <w:sz w:val="22"/>
          <w:szCs w:val="20"/>
          <w:lang w:val="en-US"/>
        </w:rPr>
        <w:t>to 10</w:t>
      </w:r>
      <w:r w:rsidRPr="00F52FEA">
        <w:rPr>
          <w:sz w:val="22"/>
          <w:szCs w:val="13"/>
          <w:vertAlign w:val="superscript"/>
          <w:lang w:val="en-US"/>
        </w:rPr>
        <w:t>-9</w:t>
      </w:r>
      <w:r w:rsidRPr="00F52FEA">
        <w:rPr>
          <w:sz w:val="22"/>
          <w:szCs w:val="13"/>
          <w:lang w:val="en-US"/>
        </w:rPr>
        <w:t xml:space="preserve"> </w:t>
      </w:r>
      <w:r w:rsidRPr="006A553B">
        <w:rPr>
          <w:sz w:val="22"/>
          <w:szCs w:val="20"/>
          <w:lang w:val="en-US"/>
        </w:rPr>
        <w:t xml:space="preserve">M; n=1), measured by </w:t>
      </w:r>
      <w:proofErr w:type="spellStart"/>
      <w:r w:rsidRPr="006A553B">
        <w:rPr>
          <w:sz w:val="22"/>
          <w:szCs w:val="20"/>
          <w:lang w:val="en-US"/>
        </w:rPr>
        <w:t>Alamar</w:t>
      </w:r>
      <w:proofErr w:type="spellEnd"/>
      <w:r w:rsidRPr="006A553B">
        <w:rPr>
          <w:sz w:val="22"/>
          <w:szCs w:val="20"/>
          <w:lang w:val="en-US"/>
        </w:rPr>
        <w:t>-blue reduction. (B) Comparison of dose-response experiment between BIM-065 and octreotide on cell viability (10</w:t>
      </w:r>
      <w:r w:rsidRPr="00F52FEA">
        <w:rPr>
          <w:sz w:val="22"/>
          <w:szCs w:val="13"/>
          <w:vertAlign w:val="superscript"/>
          <w:lang w:val="en-US"/>
        </w:rPr>
        <w:t>-11</w:t>
      </w:r>
      <w:r w:rsidRPr="00F52FEA">
        <w:rPr>
          <w:sz w:val="22"/>
          <w:szCs w:val="13"/>
          <w:lang w:val="en-US"/>
        </w:rPr>
        <w:t xml:space="preserve"> </w:t>
      </w:r>
      <w:r w:rsidRPr="006A553B">
        <w:rPr>
          <w:sz w:val="22"/>
          <w:szCs w:val="20"/>
          <w:lang w:val="en-US"/>
        </w:rPr>
        <w:t>to 10</w:t>
      </w:r>
      <w:r w:rsidRPr="00F52FEA">
        <w:rPr>
          <w:sz w:val="22"/>
          <w:szCs w:val="13"/>
          <w:vertAlign w:val="superscript"/>
          <w:lang w:val="en-US"/>
        </w:rPr>
        <w:t>-7</w:t>
      </w:r>
      <w:r w:rsidRPr="00F52FEA">
        <w:rPr>
          <w:sz w:val="22"/>
          <w:szCs w:val="13"/>
          <w:lang w:val="en-US"/>
        </w:rPr>
        <w:t xml:space="preserve"> </w:t>
      </w:r>
      <w:r w:rsidRPr="006A553B">
        <w:rPr>
          <w:sz w:val="22"/>
          <w:szCs w:val="20"/>
          <w:lang w:val="en-US"/>
        </w:rPr>
        <w:t xml:space="preserve">M; n=1), measured by </w:t>
      </w:r>
      <w:proofErr w:type="spellStart"/>
      <w:r w:rsidRPr="006A553B">
        <w:rPr>
          <w:sz w:val="22"/>
          <w:szCs w:val="20"/>
          <w:lang w:val="en-US"/>
        </w:rPr>
        <w:t>Alamar</w:t>
      </w:r>
      <w:proofErr w:type="spellEnd"/>
      <w:r w:rsidRPr="006A553B">
        <w:rPr>
          <w:sz w:val="22"/>
          <w:szCs w:val="20"/>
          <w:lang w:val="en-US"/>
        </w:rPr>
        <w:t>-blue reduction. Data are expressed as percent of vehicle-treated controls (set at 100%) within experiment. In cases where less than three experiment were carried out, no significance tests were performed.</w:t>
      </w:r>
    </w:p>
    <w:p w:rsidR="006A553B" w:rsidRDefault="006A553B" w:rsidP="006A553B">
      <w:pPr>
        <w:pStyle w:val="Default"/>
        <w:jc w:val="both"/>
      </w:pPr>
    </w:p>
    <w:p w:rsidR="006A553B" w:rsidRPr="006A553B" w:rsidRDefault="006A553B" w:rsidP="006A553B">
      <w:pPr>
        <w:jc w:val="both"/>
        <w:rPr>
          <w:sz w:val="22"/>
          <w:szCs w:val="20"/>
          <w:lang w:val="en-US"/>
        </w:rPr>
      </w:pPr>
      <w:r w:rsidRPr="006A553B">
        <w:rPr>
          <w:b/>
          <w:bCs/>
          <w:sz w:val="22"/>
          <w:szCs w:val="20"/>
          <w:lang w:val="en-US"/>
        </w:rPr>
        <w:t xml:space="preserve">Supplementary Figure 2: </w:t>
      </w:r>
      <w:r w:rsidRPr="006A553B">
        <w:rPr>
          <w:sz w:val="22"/>
          <w:szCs w:val="20"/>
          <w:lang w:val="en-US"/>
        </w:rPr>
        <w:t>GH-secreting adenomas. Direct effect of BIM-065, octreotide and pasireotide on GH secretion (24h treatment; n=2), determined by commercial ELISA kit. Data are expressed as percent of vehicle-treated controls (set at 100%) within experiment. Values represent the mean ± SEM. In cases where less than three experiment were carried out, no significance tests were performed.</w:t>
      </w:r>
    </w:p>
    <w:p w:rsidR="006A553B" w:rsidRPr="006A553B" w:rsidRDefault="006A553B" w:rsidP="006A553B">
      <w:pPr>
        <w:jc w:val="both"/>
        <w:rPr>
          <w:sz w:val="22"/>
          <w:szCs w:val="20"/>
          <w:lang w:val="en-US"/>
        </w:rPr>
      </w:pPr>
    </w:p>
    <w:p w:rsidR="006A553B" w:rsidRDefault="006A553B" w:rsidP="006A553B">
      <w:pPr>
        <w:jc w:val="both"/>
        <w:rPr>
          <w:sz w:val="22"/>
          <w:lang w:val="en-US"/>
        </w:rPr>
      </w:pPr>
      <w:r w:rsidRPr="006A553B">
        <w:rPr>
          <w:b/>
          <w:sz w:val="22"/>
          <w:lang w:val="en-US"/>
        </w:rPr>
        <w:t xml:space="preserve">Supplementary Figure 3: </w:t>
      </w:r>
      <w:r w:rsidRPr="006A553B">
        <w:rPr>
          <w:sz w:val="22"/>
          <w:lang w:val="en-US"/>
        </w:rPr>
        <w:t>Non-functioning pituitary adenomas. Dose-response experiment of cell viability in response to BIM-065 (10</w:t>
      </w:r>
      <w:r w:rsidRPr="00F52FEA">
        <w:rPr>
          <w:sz w:val="22"/>
          <w:vertAlign w:val="superscript"/>
          <w:lang w:val="en-US"/>
        </w:rPr>
        <w:t>-9</w:t>
      </w:r>
      <w:r w:rsidRPr="006A553B">
        <w:rPr>
          <w:sz w:val="22"/>
          <w:lang w:val="en-US"/>
        </w:rPr>
        <w:t xml:space="preserve"> to 10</w:t>
      </w:r>
      <w:r w:rsidRPr="00F52FEA">
        <w:rPr>
          <w:sz w:val="22"/>
          <w:vertAlign w:val="superscript"/>
          <w:lang w:val="en-US"/>
        </w:rPr>
        <w:t xml:space="preserve">-6 </w:t>
      </w:r>
      <w:r w:rsidRPr="006A553B">
        <w:rPr>
          <w:sz w:val="22"/>
          <w:lang w:val="en-US"/>
        </w:rPr>
        <w:t xml:space="preserve">M; n=3), measured by </w:t>
      </w:r>
      <w:proofErr w:type="spellStart"/>
      <w:r w:rsidRPr="006A553B">
        <w:rPr>
          <w:sz w:val="22"/>
          <w:lang w:val="en-US"/>
        </w:rPr>
        <w:t>Alamar</w:t>
      </w:r>
      <w:proofErr w:type="spellEnd"/>
      <w:r w:rsidRPr="006A553B">
        <w:rPr>
          <w:sz w:val="22"/>
          <w:lang w:val="en-US"/>
        </w:rPr>
        <w:t>-blue reduction. Data are expressed as percent of vehicle-treated controls (set at 100%) within experiment. Values represent the mean ± SEM.</w:t>
      </w:r>
    </w:p>
    <w:p w:rsidR="006A553B" w:rsidRPr="006A553B" w:rsidRDefault="006A553B" w:rsidP="006A553B">
      <w:pPr>
        <w:pStyle w:val="Default"/>
        <w:rPr>
          <w:sz w:val="28"/>
        </w:rPr>
      </w:pPr>
    </w:p>
    <w:p w:rsidR="006A553B" w:rsidRPr="006A553B" w:rsidRDefault="006A553B" w:rsidP="006A553B">
      <w:pPr>
        <w:jc w:val="both"/>
        <w:rPr>
          <w:sz w:val="22"/>
          <w:szCs w:val="20"/>
          <w:lang w:val="en-US"/>
        </w:rPr>
      </w:pPr>
      <w:r w:rsidRPr="006A553B">
        <w:rPr>
          <w:b/>
          <w:bCs/>
          <w:sz w:val="22"/>
          <w:szCs w:val="20"/>
          <w:lang w:val="en-US"/>
        </w:rPr>
        <w:t xml:space="preserve">Supplementary Figure 4: </w:t>
      </w:r>
      <w:r w:rsidRPr="006A553B">
        <w:rPr>
          <w:sz w:val="22"/>
          <w:szCs w:val="20"/>
          <w:lang w:val="en-US"/>
        </w:rPr>
        <w:t>PRL-secreting adenomas. (A) Expression profile of SST</w:t>
      </w:r>
      <w:r w:rsidRPr="00F52FEA">
        <w:rPr>
          <w:sz w:val="22"/>
          <w:szCs w:val="13"/>
          <w:vertAlign w:val="subscript"/>
          <w:lang w:val="en-US"/>
        </w:rPr>
        <w:t>2</w:t>
      </w:r>
      <w:r w:rsidRPr="006A553B">
        <w:rPr>
          <w:sz w:val="22"/>
          <w:szCs w:val="20"/>
          <w:lang w:val="en-US"/>
        </w:rPr>
        <w:t>, SST</w:t>
      </w:r>
      <w:r w:rsidRPr="00F52FEA">
        <w:rPr>
          <w:sz w:val="22"/>
          <w:szCs w:val="13"/>
          <w:vertAlign w:val="subscript"/>
          <w:lang w:val="en-US"/>
        </w:rPr>
        <w:t>5</w:t>
      </w:r>
      <w:r w:rsidRPr="006A553B">
        <w:rPr>
          <w:sz w:val="22"/>
          <w:szCs w:val="20"/>
          <w:lang w:val="en-US"/>
        </w:rPr>
        <w:t>, D</w:t>
      </w:r>
      <w:r w:rsidRPr="00F52FEA">
        <w:rPr>
          <w:sz w:val="22"/>
          <w:szCs w:val="13"/>
          <w:vertAlign w:val="subscript"/>
          <w:lang w:val="en-US"/>
        </w:rPr>
        <w:t>2</w:t>
      </w:r>
      <w:r w:rsidRPr="006A553B">
        <w:rPr>
          <w:sz w:val="16"/>
          <w:szCs w:val="13"/>
          <w:lang w:val="en-US"/>
        </w:rPr>
        <w:t xml:space="preserve"> </w:t>
      </w:r>
      <w:r w:rsidRPr="006A553B">
        <w:rPr>
          <w:sz w:val="22"/>
          <w:szCs w:val="20"/>
          <w:lang w:val="en-US"/>
        </w:rPr>
        <w:t>(total and long isoforms), SST</w:t>
      </w:r>
      <w:r w:rsidRPr="00F52FEA">
        <w:rPr>
          <w:sz w:val="22"/>
          <w:szCs w:val="13"/>
          <w:vertAlign w:val="subscript"/>
          <w:lang w:val="en-US"/>
        </w:rPr>
        <w:t>5</w:t>
      </w:r>
      <w:r w:rsidRPr="006A553B">
        <w:rPr>
          <w:sz w:val="22"/>
          <w:szCs w:val="20"/>
          <w:lang w:val="en-US"/>
        </w:rPr>
        <w:t>TMD4 and SST</w:t>
      </w:r>
      <w:r w:rsidRPr="00F52FEA">
        <w:rPr>
          <w:sz w:val="22"/>
          <w:szCs w:val="13"/>
          <w:vertAlign w:val="subscript"/>
          <w:lang w:val="en-US"/>
        </w:rPr>
        <w:t>5</w:t>
      </w:r>
      <w:r w:rsidRPr="006A553B">
        <w:rPr>
          <w:sz w:val="22"/>
          <w:szCs w:val="20"/>
          <w:lang w:val="en-US"/>
        </w:rPr>
        <w:t>TMD5 of two different PRLomas. (B) Dose-response experiment of cell viability in response to BIM-065 (10</w:t>
      </w:r>
      <w:r w:rsidRPr="00F52FEA">
        <w:rPr>
          <w:sz w:val="22"/>
          <w:szCs w:val="13"/>
          <w:vertAlign w:val="superscript"/>
          <w:lang w:val="en-US"/>
        </w:rPr>
        <w:t>-9</w:t>
      </w:r>
      <w:r w:rsidRPr="00F52FEA">
        <w:rPr>
          <w:sz w:val="22"/>
          <w:szCs w:val="13"/>
          <w:lang w:val="en-US"/>
        </w:rPr>
        <w:t xml:space="preserve"> </w:t>
      </w:r>
      <w:r w:rsidRPr="006A553B">
        <w:rPr>
          <w:sz w:val="22"/>
          <w:szCs w:val="20"/>
          <w:lang w:val="en-US"/>
        </w:rPr>
        <w:t>to 10</w:t>
      </w:r>
      <w:r w:rsidRPr="00F52FEA">
        <w:rPr>
          <w:sz w:val="22"/>
          <w:szCs w:val="13"/>
          <w:vertAlign w:val="superscript"/>
          <w:lang w:val="en-US"/>
        </w:rPr>
        <w:t>-6</w:t>
      </w:r>
      <w:r w:rsidRPr="00F52FEA">
        <w:rPr>
          <w:sz w:val="22"/>
          <w:szCs w:val="13"/>
          <w:lang w:val="en-US"/>
        </w:rPr>
        <w:t xml:space="preserve"> </w:t>
      </w:r>
      <w:r w:rsidRPr="006A553B">
        <w:rPr>
          <w:sz w:val="22"/>
          <w:szCs w:val="20"/>
          <w:lang w:val="en-US"/>
        </w:rPr>
        <w:t xml:space="preserve">M; n=1), measured by </w:t>
      </w:r>
      <w:proofErr w:type="spellStart"/>
      <w:r w:rsidRPr="006A553B">
        <w:rPr>
          <w:sz w:val="22"/>
          <w:szCs w:val="20"/>
          <w:lang w:val="en-US"/>
        </w:rPr>
        <w:t>Alamar</w:t>
      </w:r>
      <w:proofErr w:type="spellEnd"/>
      <w:r w:rsidRPr="006A553B">
        <w:rPr>
          <w:sz w:val="22"/>
          <w:szCs w:val="20"/>
          <w:lang w:val="en-US"/>
        </w:rPr>
        <w:t>-blue reduction. (C) Effect of BIM-065 and cabergoline on cell viability (10</w:t>
      </w:r>
      <w:r w:rsidRPr="00F52FEA">
        <w:rPr>
          <w:sz w:val="22"/>
          <w:szCs w:val="13"/>
          <w:vertAlign w:val="superscript"/>
          <w:lang w:val="en-US"/>
        </w:rPr>
        <w:t>-7</w:t>
      </w:r>
      <w:r w:rsidRPr="00F52FEA">
        <w:rPr>
          <w:sz w:val="22"/>
          <w:szCs w:val="13"/>
          <w:lang w:val="en-US"/>
        </w:rPr>
        <w:t xml:space="preserve"> </w:t>
      </w:r>
      <w:r w:rsidRPr="006A553B">
        <w:rPr>
          <w:sz w:val="22"/>
          <w:szCs w:val="20"/>
          <w:lang w:val="en-US"/>
        </w:rPr>
        <w:t xml:space="preserve">M; 24 – 72h treatment) in two different PRLomas, measured by </w:t>
      </w:r>
      <w:proofErr w:type="spellStart"/>
      <w:r w:rsidRPr="006A553B">
        <w:rPr>
          <w:sz w:val="22"/>
          <w:szCs w:val="20"/>
          <w:lang w:val="en-US"/>
        </w:rPr>
        <w:t>Alamar</w:t>
      </w:r>
      <w:proofErr w:type="spellEnd"/>
      <w:r w:rsidRPr="006A553B">
        <w:rPr>
          <w:sz w:val="22"/>
          <w:szCs w:val="20"/>
          <w:lang w:val="en-US"/>
        </w:rPr>
        <w:t>-blue reduction. (D) Measurement of PRL secretion (24h treatment) (n=1), determined by commercial ELISA kit. (E) mRNA expression levels of key genes in response to BIM-065 were measured by qPCR and adjusted by normalization factor (NF) (n=1). (F) Representative profile of [Ca</w:t>
      </w:r>
      <w:r w:rsidRPr="00F52FEA">
        <w:rPr>
          <w:sz w:val="22"/>
          <w:szCs w:val="13"/>
          <w:vertAlign w:val="superscript"/>
          <w:lang w:val="en-US"/>
        </w:rPr>
        <w:t>2+</w:t>
      </w:r>
      <w:proofErr w:type="gramStart"/>
      <w:r w:rsidRPr="006A553B">
        <w:rPr>
          <w:sz w:val="22"/>
          <w:szCs w:val="20"/>
          <w:lang w:val="en-US"/>
        </w:rPr>
        <w:t>]</w:t>
      </w:r>
      <w:proofErr w:type="spellStart"/>
      <w:r w:rsidRPr="00F52FEA">
        <w:rPr>
          <w:sz w:val="22"/>
          <w:szCs w:val="13"/>
          <w:vertAlign w:val="subscript"/>
          <w:lang w:val="en-US"/>
        </w:rPr>
        <w:t>i</w:t>
      </w:r>
      <w:proofErr w:type="spellEnd"/>
      <w:proofErr w:type="gramEnd"/>
      <w:r w:rsidRPr="006A553B">
        <w:rPr>
          <w:sz w:val="16"/>
          <w:szCs w:val="13"/>
          <w:lang w:val="en-US"/>
        </w:rPr>
        <w:t xml:space="preserve"> </w:t>
      </w:r>
      <w:r w:rsidRPr="006A553B">
        <w:rPr>
          <w:sz w:val="22"/>
          <w:szCs w:val="20"/>
          <w:lang w:val="en-US"/>
        </w:rPr>
        <w:t>kinetics assay in response to BIM-065 (n=1). Data are expressed as percent of vehicle-treated controls (set at 100%) within experiment. Values represent the mean ± SEM. In cases where less than three experiment were carried out, no significance tests were performed.</w:t>
      </w:r>
    </w:p>
    <w:p w:rsidR="006A553B" w:rsidRDefault="006A553B" w:rsidP="006A553B">
      <w:pPr>
        <w:pStyle w:val="Default"/>
      </w:pPr>
    </w:p>
    <w:p w:rsidR="006A553B" w:rsidRPr="006A553B" w:rsidRDefault="006A553B" w:rsidP="006A553B">
      <w:pPr>
        <w:jc w:val="both"/>
        <w:rPr>
          <w:sz w:val="32"/>
          <w:lang w:val="en-US"/>
        </w:rPr>
      </w:pPr>
      <w:r w:rsidRPr="006A553B">
        <w:rPr>
          <w:b/>
          <w:bCs/>
          <w:sz w:val="22"/>
          <w:szCs w:val="20"/>
          <w:lang w:val="en-US"/>
        </w:rPr>
        <w:t xml:space="preserve">Supplementary Figure 5: </w:t>
      </w:r>
      <w:r w:rsidRPr="006A553B">
        <w:rPr>
          <w:sz w:val="22"/>
          <w:szCs w:val="20"/>
          <w:lang w:val="en-US"/>
        </w:rPr>
        <w:t xml:space="preserve">Expression profile of tumor markers (PTTG1, CDKN1B and CDK2) in response to BIM-065 in different </w:t>
      </w:r>
      <w:r w:rsidR="00F52FEA">
        <w:rPr>
          <w:sz w:val="22"/>
          <w:szCs w:val="20"/>
          <w:lang w:val="en-US"/>
        </w:rPr>
        <w:t>PitNETs</w:t>
      </w:r>
      <w:r w:rsidRPr="006A553B">
        <w:rPr>
          <w:sz w:val="22"/>
          <w:szCs w:val="20"/>
          <w:lang w:val="en-US"/>
        </w:rPr>
        <w:t>, measured by qPCR and adjusted by normalization factor (NF). (A) ACTH-secreting PitNETs (n=4); (B) GH-secreting PitNETs (n=3); (C) Non-functioning pituitary adenomas (n=3) (D) PRL-secreting PitNETs (n=1). Data are expressed as percent of vehicle-treated controls (set at 100%) within experiment. Values represent the mean ± SEM. Asterisks (* p&lt;0.05) indicate statistically significant differences. In cases where less than three experiment were carried out, no significance tests were performed.</w:t>
      </w:r>
    </w:p>
    <w:p w:rsidR="006A553B" w:rsidRPr="006A553B" w:rsidRDefault="006A553B" w:rsidP="006A553B">
      <w:pPr>
        <w:jc w:val="both"/>
        <w:rPr>
          <w:b/>
          <w:sz w:val="22"/>
          <w:lang w:val="en-US"/>
        </w:rPr>
      </w:pPr>
    </w:p>
    <w:sectPr w:rsidR="006A553B" w:rsidRPr="006A553B" w:rsidSect="00D930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B"/>
    <w:rsid w:val="000C2597"/>
    <w:rsid w:val="000C4140"/>
    <w:rsid w:val="0019453F"/>
    <w:rsid w:val="001A092A"/>
    <w:rsid w:val="001F6C07"/>
    <w:rsid w:val="00280207"/>
    <w:rsid w:val="003C4822"/>
    <w:rsid w:val="0044555A"/>
    <w:rsid w:val="004B5D1C"/>
    <w:rsid w:val="00552964"/>
    <w:rsid w:val="00552D54"/>
    <w:rsid w:val="00554C6D"/>
    <w:rsid w:val="00584647"/>
    <w:rsid w:val="006A553B"/>
    <w:rsid w:val="0089630A"/>
    <w:rsid w:val="00901270"/>
    <w:rsid w:val="0099349B"/>
    <w:rsid w:val="009F1E90"/>
    <w:rsid w:val="009F556B"/>
    <w:rsid w:val="00C455BE"/>
    <w:rsid w:val="00CA6E5B"/>
    <w:rsid w:val="00D027F3"/>
    <w:rsid w:val="00D056C0"/>
    <w:rsid w:val="00D2200C"/>
    <w:rsid w:val="00D763B9"/>
    <w:rsid w:val="00D925B4"/>
    <w:rsid w:val="00D93030"/>
    <w:rsid w:val="00E46EE6"/>
    <w:rsid w:val="00E56F31"/>
    <w:rsid w:val="00E84AC1"/>
    <w:rsid w:val="00F52FEA"/>
    <w:rsid w:val="00F8376A"/>
    <w:rsid w:val="00F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53B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53B"/>
    <w:pPr>
      <w:autoSpaceDE w:val="0"/>
      <w:autoSpaceDN w:val="0"/>
      <w:adjustRightInd w:val="0"/>
    </w:pPr>
    <w:rPr>
      <w:rFonts w:ascii="Calibri" w:hAnsi="Calibri" w:cs="Calibri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Vázquez Borrego</dc:creator>
  <cp:keywords/>
  <dc:description/>
  <cp:lastModifiedBy>Ellen Grunewald</cp:lastModifiedBy>
  <cp:revision>2</cp:revision>
  <dcterms:created xsi:type="dcterms:W3CDTF">2019-05-07T20:05:00Z</dcterms:created>
  <dcterms:modified xsi:type="dcterms:W3CDTF">2019-05-07T20:05:00Z</dcterms:modified>
</cp:coreProperties>
</file>