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07" w:rsidRDefault="004F4B07" w:rsidP="004F4B07">
      <w:pPr>
        <w:pStyle w:val="berschrift2"/>
        <w:rPr>
          <w:rFonts w:ascii="Calibri Light" w:hAnsi="Calibri Light" w:cs="Calibri Light"/>
          <w:lang w:val="en-US" w:eastAsia="en-US"/>
        </w:rPr>
      </w:pPr>
      <w:r w:rsidRPr="004F4B07">
        <w:rPr>
          <w:rFonts w:ascii="Calibri Light" w:hAnsi="Calibri Light" w:cs="Calibri Light"/>
          <w:lang w:val="en-US" w:eastAsia="en-US"/>
        </w:rPr>
        <w:t>Supplementary Material</w:t>
      </w:r>
    </w:p>
    <w:p w:rsidR="004F4B07" w:rsidRPr="004F4B07" w:rsidRDefault="004F4B07" w:rsidP="004F4B07">
      <w:pPr>
        <w:rPr>
          <w:lang w:val="en-US" w:eastAsia="en-US"/>
        </w:rPr>
      </w:pPr>
    </w:p>
    <w:p w:rsidR="004F4B07" w:rsidRPr="004F4B07" w:rsidRDefault="004F4B07" w:rsidP="004F4B07">
      <w:pPr>
        <w:rPr>
          <w:rFonts w:cs="Arial"/>
          <w:i/>
          <w:lang w:val="en-US" w:eastAsia="en-US"/>
        </w:rPr>
      </w:pPr>
      <w:r w:rsidRPr="004F4B07">
        <w:rPr>
          <w:rStyle w:val="berschrift4Zchn"/>
          <w:rFonts w:ascii="Arial" w:hAnsi="Arial" w:cs="Arial"/>
          <w:i w:val="0"/>
          <w:color w:val="auto"/>
          <w:lang w:val="en-US"/>
        </w:rPr>
        <w:t>Results of manipulation check</w:t>
      </w:r>
    </w:p>
    <w:p w:rsidR="004F4B07" w:rsidRPr="00645DA0" w:rsidRDefault="004F4B07" w:rsidP="004F4B07">
      <w:pPr>
        <w:rPr>
          <w:rFonts w:cs="Arial"/>
          <w:color w:val="212121"/>
          <w:shd w:val="clear" w:color="auto" w:fill="FFFFFF"/>
          <w:lang w:val="en-US"/>
        </w:rPr>
      </w:pPr>
      <w:r w:rsidRPr="00645DA0">
        <w:rPr>
          <w:rFonts w:cs="Arial"/>
          <w:color w:val="212121"/>
          <w:shd w:val="clear" w:color="auto" w:fill="FFFFFF"/>
          <w:lang w:val="en-US"/>
        </w:rPr>
        <w:t>We calculated an independent t-test between the altruistic behavior toward an opponent with and without obesity among participated who recognized the manipulation and those who did not recognized it. Among participant who did not recognize the manipulation, we found no significant differences in altruistic behavior toward divergent weight groups (</w:t>
      </w:r>
      <w:proofErr w:type="gramStart"/>
      <w:r w:rsidRPr="00645DA0">
        <w:rPr>
          <w:rFonts w:cs="Arial"/>
          <w:color w:val="212121"/>
          <w:shd w:val="clear" w:color="auto" w:fill="FFFFFF"/>
          <w:lang w:val="en-US"/>
        </w:rPr>
        <w:t>t(</w:t>
      </w:r>
      <w:proofErr w:type="gramEnd"/>
      <w:r w:rsidRPr="00645DA0">
        <w:rPr>
          <w:rFonts w:cs="Arial"/>
          <w:color w:val="212121"/>
          <w:shd w:val="clear" w:color="auto" w:fill="FFFFFF"/>
          <w:lang w:val="en-US"/>
        </w:rPr>
        <w:t>61)=0.12, p=0.90)</w:t>
      </w:r>
      <w:r w:rsidR="00277610">
        <w:rPr>
          <w:rFonts w:cs="Arial"/>
          <w:color w:val="212121"/>
          <w:shd w:val="clear" w:color="auto" w:fill="FFFFFF"/>
          <w:lang w:val="en-US"/>
        </w:rPr>
        <w:t xml:space="preserve">. </w:t>
      </w:r>
      <w:r w:rsidRPr="00645DA0">
        <w:rPr>
          <w:rFonts w:cs="Arial"/>
          <w:color w:val="212121"/>
          <w:shd w:val="clear" w:color="auto" w:fill="FFFFFF"/>
          <w:lang w:val="en-US"/>
        </w:rPr>
        <w:t>Among participant who did recognize the manipulation, we found significant differences in altruistic behavior toward divergent (</w:t>
      </w:r>
      <w:proofErr w:type="gramStart"/>
      <w:r w:rsidRPr="00645DA0">
        <w:rPr>
          <w:rFonts w:cs="Arial"/>
          <w:color w:val="212121"/>
          <w:shd w:val="clear" w:color="auto" w:fill="FFFFFF"/>
          <w:lang w:val="en-US"/>
        </w:rPr>
        <w:t>t(</w:t>
      </w:r>
      <w:proofErr w:type="gramEnd"/>
      <w:r w:rsidRPr="00645DA0">
        <w:rPr>
          <w:rFonts w:cs="Arial"/>
          <w:color w:val="212121"/>
          <w:shd w:val="clear" w:color="auto" w:fill="FFFFFF"/>
          <w:lang w:val="en-US"/>
        </w:rPr>
        <w:t>105)=-1.94, p=0.0276). However, after Bonferroni corrections this result remained insignificant. The results are displayed in the supplement</w:t>
      </w:r>
      <w:r w:rsidR="00277610">
        <w:rPr>
          <w:rFonts w:cs="Arial"/>
          <w:color w:val="212121"/>
          <w:shd w:val="clear" w:color="auto" w:fill="FFFFFF"/>
          <w:lang w:val="en-US"/>
        </w:rPr>
        <w:t>ary</w:t>
      </w:r>
      <w:r w:rsidRPr="00645DA0">
        <w:rPr>
          <w:rFonts w:cs="Arial"/>
          <w:color w:val="212121"/>
          <w:shd w:val="clear" w:color="auto" w:fill="FFFFFF"/>
          <w:lang w:val="en-US"/>
        </w:rPr>
        <w:t xml:space="preserve"> figure below.</w:t>
      </w:r>
    </w:p>
    <w:p w:rsidR="004F4B07" w:rsidRPr="00645DA0" w:rsidRDefault="004F4B07" w:rsidP="004F4B07">
      <w:pPr>
        <w:rPr>
          <w:rFonts w:cs="Arial"/>
          <w:color w:val="212121"/>
          <w:shd w:val="clear" w:color="auto" w:fill="FFFFFF"/>
          <w:lang w:val="en-US"/>
        </w:rPr>
      </w:pPr>
    </w:p>
    <w:p w:rsidR="004F4B07" w:rsidRPr="00645DA0" w:rsidRDefault="004F4B07" w:rsidP="004F4B07">
      <w:pPr>
        <w:keepNext/>
        <w:rPr>
          <w:rFonts w:cs="Arial"/>
        </w:rPr>
      </w:pPr>
      <w:r w:rsidRPr="00645DA0">
        <w:rPr>
          <w:rFonts w:cs="Arial"/>
          <w:noProof/>
          <w:color w:val="212121"/>
          <w:shd w:val="clear" w:color="auto" w:fill="FFFFFF"/>
        </w:rPr>
        <w:drawing>
          <wp:inline distT="0" distB="0" distL="0" distR="0" wp14:anchorId="4813EA93" wp14:editId="3F1ADD8C">
            <wp:extent cx="2603500" cy="2763442"/>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pulation.jpg"/>
                    <pic:cNvPicPr/>
                  </pic:nvPicPr>
                  <pic:blipFill>
                    <a:blip r:embed="rId5">
                      <a:extLst>
                        <a:ext uri="{28A0092B-C50C-407E-A947-70E740481C1C}">
                          <a14:useLocalDpi xmlns:a14="http://schemas.microsoft.com/office/drawing/2010/main" val="0"/>
                        </a:ext>
                      </a:extLst>
                    </a:blip>
                    <a:stretch>
                      <a:fillRect/>
                    </a:stretch>
                  </pic:blipFill>
                  <pic:spPr>
                    <a:xfrm>
                      <a:off x="0" y="0"/>
                      <a:ext cx="2604896" cy="2764924"/>
                    </a:xfrm>
                    <a:prstGeom prst="rect">
                      <a:avLst/>
                    </a:prstGeom>
                  </pic:spPr>
                </pic:pic>
              </a:graphicData>
            </a:graphic>
          </wp:inline>
        </w:drawing>
      </w:r>
    </w:p>
    <w:p w:rsidR="004F4B07" w:rsidRPr="00645DA0" w:rsidRDefault="00277610" w:rsidP="004F4B07">
      <w:pPr>
        <w:pStyle w:val="Beschriftung"/>
        <w:rPr>
          <w:rFonts w:ascii="Arial" w:eastAsia="Times New Roman" w:hAnsi="Arial" w:cs="Arial"/>
          <w:b w:val="0"/>
          <w:color w:val="212121"/>
          <w:sz w:val="24"/>
          <w:szCs w:val="24"/>
          <w:shd w:val="clear" w:color="auto" w:fill="FFFFFF"/>
          <w:lang w:val="en-US" w:eastAsia="de-DE"/>
        </w:rPr>
      </w:pPr>
      <w:proofErr w:type="gramStart"/>
      <w:r>
        <w:rPr>
          <w:rFonts w:ascii="Arial" w:hAnsi="Arial" w:cs="Arial"/>
          <w:b w:val="0"/>
          <w:sz w:val="24"/>
          <w:szCs w:val="24"/>
          <w:lang w:val="en-US"/>
        </w:rPr>
        <w:t>Supplementary Figure</w:t>
      </w:r>
      <w:r w:rsidR="004F4B07" w:rsidRPr="00645DA0">
        <w:rPr>
          <w:rFonts w:ascii="Arial" w:hAnsi="Arial" w:cs="Arial"/>
          <w:b w:val="0"/>
          <w:sz w:val="24"/>
          <w:szCs w:val="24"/>
          <w:lang w:val="en-US"/>
        </w:rPr>
        <w:t>.</w:t>
      </w:r>
      <w:proofErr w:type="gramEnd"/>
      <w:r w:rsidR="004F4B07" w:rsidRPr="00645DA0">
        <w:rPr>
          <w:rFonts w:ascii="Arial" w:hAnsi="Arial" w:cs="Arial"/>
          <w:b w:val="0"/>
          <w:sz w:val="24"/>
          <w:szCs w:val="24"/>
          <w:lang w:val="en-US"/>
        </w:rPr>
        <w:t xml:space="preserve"> Altruistic behavior toward divergent weight groups among participant who did or did not recognize the experimental manipulation</w:t>
      </w:r>
    </w:p>
    <w:p w:rsidR="004F4B07" w:rsidRPr="00645DA0" w:rsidRDefault="00277610" w:rsidP="004F4B07">
      <w:pPr>
        <w:rPr>
          <w:rFonts w:cs="Arial"/>
          <w:lang w:val="en-US" w:eastAsia="en-US"/>
        </w:rPr>
      </w:pPr>
      <w:r>
        <w:rPr>
          <w:rFonts w:cs="Arial"/>
          <w:color w:val="212121"/>
          <w:shd w:val="clear" w:color="auto" w:fill="FFFFFF"/>
          <w:lang w:val="en-US"/>
        </w:rPr>
        <w:t>In addition, w</w:t>
      </w:r>
      <w:r w:rsidR="004F4B07" w:rsidRPr="00645DA0">
        <w:rPr>
          <w:rFonts w:cs="Arial"/>
          <w:color w:val="212121"/>
          <w:shd w:val="clear" w:color="auto" w:fill="FFFFFF"/>
          <w:lang w:val="en-US"/>
        </w:rPr>
        <w:t>e calculated two independent t-tests to investigate if altruistic behavior toward divergent weight groups differs between those participants who did recognize the manipulation and those participants who did not recognize it. We found no significant differences in altruistic behavior toward people with obesity (</w:t>
      </w:r>
      <w:proofErr w:type="gramStart"/>
      <w:r w:rsidR="004F4B07" w:rsidRPr="00645DA0">
        <w:rPr>
          <w:rFonts w:cs="Arial"/>
          <w:color w:val="212121"/>
          <w:shd w:val="clear" w:color="auto" w:fill="FFFFFF"/>
          <w:lang w:val="en-US"/>
        </w:rPr>
        <w:t>t(</w:t>
      </w:r>
      <w:proofErr w:type="gramEnd"/>
      <w:r w:rsidR="004F4B07" w:rsidRPr="00645DA0">
        <w:rPr>
          <w:rFonts w:cs="Arial"/>
          <w:color w:val="212121"/>
          <w:shd w:val="clear" w:color="auto" w:fill="FFFFFF"/>
          <w:lang w:val="en-US"/>
        </w:rPr>
        <w:t>166)=0.5262, p=0.5994) nor toward people without obesity (t(166)=-0.1601, p=0.8730) among participants wo did or did not recognize the manipulation.</w:t>
      </w:r>
      <w:bookmarkStart w:id="0" w:name="_GoBack"/>
      <w:bookmarkEnd w:id="0"/>
    </w:p>
    <w:p w:rsidR="00A93A6D" w:rsidRPr="004F4B07" w:rsidRDefault="00A93A6D">
      <w:pPr>
        <w:rPr>
          <w:lang w:val="en-US"/>
        </w:rPr>
      </w:pPr>
    </w:p>
    <w:sectPr w:rsidR="00A93A6D" w:rsidRPr="004F4B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07"/>
    <w:rsid w:val="00184EF1"/>
    <w:rsid w:val="00277610"/>
    <w:rsid w:val="004F4B07"/>
    <w:rsid w:val="00A93A6D"/>
    <w:rsid w:val="00C84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B07"/>
    <w:pPr>
      <w:spacing w:after="0" w:line="360" w:lineRule="auto"/>
      <w:jc w:val="both"/>
    </w:pPr>
    <w:rPr>
      <w:rFonts w:ascii="Arial" w:eastAsia="Times New Roman" w:hAnsi="Arial" w:cs="Times New Roman"/>
      <w:sz w:val="24"/>
      <w:szCs w:val="24"/>
      <w:lang w:eastAsia="de-DE"/>
    </w:rPr>
  </w:style>
  <w:style w:type="paragraph" w:styleId="berschrift2">
    <w:name w:val="heading 2"/>
    <w:basedOn w:val="Standard"/>
    <w:next w:val="Standard"/>
    <w:link w:val="berschrift2Zchn"/>
    <w:uiPriority w:val="9"/>
    <w:unhideWhenUsed/>
    <w:qFormat/>
    <w:rsid w:val="004F4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4F4B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4F4B07"/>
    <w:pPr>
      <w:spacing w:after="200"/>
    </w:pPr>
    <w:rPr>
      <w:rFonts w:ascii="Calibri" w:eastAsia="Calibri" w:hAnsi="Calibri"/>
      <w:b/>
      <w:bCs/>
      <w:color w:val="4472C4"/>
      <w:sz w:val="18"/>
      <w:szCs w:val="18"/>
      <w:lang w:eastAsia="en-US"/>
    </w:rPr>
  </w:style>
  <w:style w:type="paragraph" w:styleId="Sprechblasentext">
    <w:name w:val="Balloon Text"/>
    <w:basedOn w:val="Standard"/>
    <w:link w:val="SprechblasentextZchn"/>
    <w:uiPriority w:val="99"/>
    <w:semiHidden/>
    <w:unhideWhenUsed/>
    <w:rsid w:val="004F4B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4B07"/>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uiPriority w:val="9"/>
    <w:rsid w:val="004F4B07"/>
    <w:rPr>
      <w:rFonts w:asciiTheme="majorHAnsi" w:eastAsiaTheme="majorEastAsia" w:hAnsiTheme="majorHAnsi" w:cstheme="majorBidi"/>
      <w:b/>
      <w:bCs/>
      <w:color w:val="4F81BD" w:themeColor="accent1"/>
      <w:sz w:val="26"/>
      <w:szCs w:val="26"/>
      <w:lang w:eastAsia="de-DE"/>
    </w:rPr>
  </w:style>
  <w:style w:type="character" w:customStyle="1" w:styleId="berschrift4Zchn">
    <w:name w:val="Überschrift 4 Zchn"/>
    <w:basedOn w:val="Absatz-Standardschriftart"/>
    <w:link w:val="berschrift4"/>
    <w:uiPriority w:val="9"/>
    <w:rsid w:val="004F4B07"/>
    <w:rPr>
      <w:rFonts w:asciiTheme="majorHAnsi" w:eastAsiaTheme="majorEastAsia" w:hAnsiTheme="majorHAnsi" w:cstheme="majorBidi"/>
      <w:b/>
      <w:bCs/>
      <w:i/>
      <w:iCs/>
      <w:color w:val="4F81BD" w:themeColor="accent1"/>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B07"/>
    <w:pPr>
      <w:spacing w:after="0" w:line="360" w:lineRule="auto"/>
      <w:jc w:val="both"/>
    </w:pPr>
    <w:rPr>
      <w:rFonts w:ascii="Arial" w:eastAsia="Times New Roman" w:hAnsi="Arial" w:cs="Times New Roman"/>
      <w:sz w:val="24"/>
      <w:szCs w:val="24"/>
      <w:lang w:eastAsia="de-DE"/>
    </w:rPr>
  </w:style>
  <w:style w:type="paragraph" w:styleId="berschrift2">
    <w:name w:val="heading 2"/>
    <w:basedOn w:val="Standard"/>
    <w:next w:val="Standard"/>
    <w:link w:val="berschrift2Zchn"/>
    <w:uiPriority w:val="9"/>
    <w:unhideWhenUsed/>
    <w:qFormat/>
    <w:rsid w:val="004F4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4F4B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4F4B07"/>
    <w:pPr>
      <w:spacing w:after="200"/>
    </w:pPr>
    <w:rPr>
      <w:rFonts w:ascii="Calibri" w:eastAsia="Calibri" w:hAnsi="Calibri"/>
      <w:b/>
      <w:bCs/>
      <w:color w:val="4472C4"/>
      <w:sz w:val="18"/>
      <w:szCs w:val="18"/>
      <w:lang w:eastAsia="en-US"/>
    </w:rPr>
  </w:style>
  <w:style w:type="paragraph" w:styleId="Sprechblasentext">
    <w:name w:val="Balloon Text"/>
    <w:basedOn w:val="Standard"/>
    <w:link w:val="SprechblasentextZchn"/>
    <w:uiPriority w:val="99"/>
    <w:semiHidden/>
    <w:unhideWhenUsed/>
    <w:rsid w:val="004F4B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4B07"/>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uiPriority w:val="9"/>
    <w:rsid w:val="004F4B07"/>
    <w:rPr>
      <w:rFonts w:asciiTheme="majorHAnsi" w:eastAsiaTheme="majorEastAsia" w:hAnsiTheme="majorHAnsi" w:cstheme="majorBidi"/>
      <w:b/>
      <w:bCs/>
      <w:color w:val="4F81BD" w:themeColor="accent1"/>
      <w:sz w:val="26"/>
      <w:szCs w:val="26"/>
      <w:lang w:eastAsia="de-DE"/>
    </w:rPr>
  </w:style>
  <w:style w:type="character" w:customStyle="1" w:styleId="berschrift4Zchn">
    <w:name w:val="Überschrift 4 Zchn"/>
    <w:basedOn w:val="Absatz-Standardschriftart"/>
    <w:link w:val="berschrift4"/>
    <w:uiPriority w:val="9"/>
    <w:rsid w:val="004F4B07"/>
    <w:rPr>
      <w:rFonts w:asciiTheme="majorHAnsi" w:eastAsiaTheme="majorEastAsia" w:hAnsiTheme="majorHAnsi" w:cstheme="majorBidi"/>
      <w:b/>
      <w:bCs/>
      <w:i/>
      <w:iCs/>
      <w:color w:val="4F81BD" w:themeColor="accent1"/>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SRH-Wald-Klinikum Gera gGmbH</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Marie (SRH Hochschule für Gesundheit)</dc:creator>
  <cp:lastModifiedBy>Bernard, Marie (SRH Hochschule für Gesundheit)</cp:lastModifiedBy>
  <cp:revision>2</cp:revision>
  <dcterms:created xsi:type="dcterms:W3CDTF">2019-04-11T06:52:00Z</dcterms:created>
  <dcterms:modified xsi:type="dcterms:W3CDTF">2019-04-11T06:57:00Z</dcterms:modified>
</cp:coreProperties>
</file>