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34" w:rsidRDefault="00442E60" w:rsidP="00732F3F">
      <w:pPr>
        <w:pStyle w:val="KeinLeerraum"/>
        <w:spacing w:line="480" w:lineRule="auto"/>
        <w:jc w:val="left"/>
        <w:rPr>
          <w:rFonts w:cs="Calibri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5274310" cy="20237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FC" w:rsidRDefault="00A62334" w:rsidP="00732F3F">
      <w:pPr>
        <w:pStyle w:val="KeinLeerraum"/>
        <w:spacing w:line="480" w:lineRule="auto"/>
        <w:jc w:val="left"/>
        <w:rPr>
          <w:rFonts w:cs="Calibri"/>
        </w:rPr>
      </w:pPr>
      <w:r w:rsidRPr="00BD66FC">
        <w:rPr>
          <w:rFonts w:cs="Calibri" w:hint="eastAsia"/>
          <w:b/>
        </w:rPr>
        <w:t>F</w:t>
      </w:r>
      <w:r w:rsidRPr="00BD66FC">
        <w:rPr>
          <w:rFonts w:cs="Calibri"/>
          <w:b/>
        </w:rPr>
        <w:t xml:space="preserve">ig. S1. </w:t>
      </w:r>
      <w:r w:rsidR="005A16B7" w:rsidRPr="00BD66FC">
        <w:rPr>
          <w:rFonts w:cs="Calibri"/>
          <w:b/>
        </w:rPr>
        <w:t>Peripheral phenotypes of CD4</w:t>
      </w:r>
      <w:r w:rsidR="005A16B7" w:rsidRPr="00BD66FC">
        <w:rPr>
          <w:rFonts w:cs="Calibri"/>
          <w:b/>
          <w:vertAlign w:val="superscript"/>
        </w:rPr>
        <w:t>+</w:t>
      </w:r>
      <w:r w:rsidR="005A16B7" w:rsidRPr="00BD66FC">
        <w:rPr>
          <w:rFonts w:cs="Calibri"/>
          <w:b/>
        </w:rPr>
        <w:t xml:space="preserve"> T cells</w:t>
      </w:r>
      <w:r w:rsidR="005A16B7">
        <w:rPr>
          <w:rFonts w:cs="Calibri"/>
        </w:rPr>
        <w:t>. Blood samples were collected from healthy subjects (n=20) and UC patients (n=20). Peripheral blood mononuclear cells (PBMC) were prepared from the samples and analyzed by flow cytometry. A, the gated dot plots indicate the frequency of CD3</w:t>
      </w:r>
      <w:r w:rsidR="005A16B7" w:rsidRPr="005A16B7">
        <w:rPr>
          <w:rFonts w:cs="Calibri"/>
          <w:vertAlign w:val="superscript"/>
        </w:rPr>
        <w:t>+</w:t>
      </w:r>
      <w:r w:rsidR="005A16B7">
        <w:rPr>
          <w:rFonts w:cs="Calibri"/>
        </w:rPr>
        <w:t xml:space="preserve"> CD4</w:t>
      </w:r>
      <w:r w:rsidR="005A16B7" w:rsidRPr="005A16B7">
        <w:rPr>
          <w:rFonts w:cs="Calibri"/>
          <w:vertAlign w:val="superscript"/>
        </w:rPr>
        <w:t>+</w:t>
      </w:r>
      <w:r w:rsidR="005A16B7">
        <w:rPr>
          <w:rFonts w:cs="Calibri"/>
        </w:rPr>
        <w:t xml:space="preserve"> T cell fraction in PBMC. B, the gated histograms indicate the frequency of the fractions of CD4</w:t>
      </w:r>
      <w:r w:rsidR="005A16B7" w:rsidRPr="005A16B7">
        <w:rPr>
          <w:rFonts w:cs="Calibri"/>
          <w:vertAlign w:val="superscript"/>
        </w:rPr>
        <w:t>+</w:t>
      </w:r>
      <w:r w:rsidR="005A16B7">
        <w:rPr>
          <w:rFonts w:cs="Calibri"/>
        </w:rPr>
        <w:t xml:space="preserve"> T cells gated in panel A. </w:t>
      </w:r>
    </w:p>
    <w:p w:rsidR="00BD66FC" w:rsidRDefault="00BD66FC" w:rsidP="00732F3F">
      <w:pPr>
        <w:pStyle w:val="KeinLeerraum"/>
        <w:spacing w:line="480" w:lineRule="auto"/>
        <w:jc w:val="left"/>
        <w:rPr>
          <w:rFonts w:cs="Calibri"/>
        </w:rPr>
      </w:pPr>
    </w:p>
    <w:p w:rsidR="00A62334" w:rsidRDefault="0014079F" w:rsidP="00732F3F">
      <w:pPr>
        <w:pStyle w:val="KeinLeerraum"/>
        <w:spacing w:line="480" w:lineRule="auto"/>
        <w:jc w:val="left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274310" cy="18548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6B7">
        <w:rPr>
          <w:rFonts w:cs="Calibri"/>
        </w:rPr>
        <w:t xml:space="preserve"> </w:t>
      </w:r>
    </w:p>
    <w:p w:rsidR="0014079F" w:rsidRDefault="0014079F" w:rsidP="00732F3F">
      <w:pPr>
        <w:pStyle w:val="KeinLeerraum"/>
        <w:spacing w:line="480" w:lineRule="auto"/>
        <w:jc w:val="left"/>
        <w:rPr>
          <w:rFonts w:cs="Calibri"/>
        </w:rPr>
      </w:pPr>
      <w:r w:rsidRPr="00BB66BF">
        <w:rPr>
          <w:rFonts w:cs="Calibri"/>
          <w:b/>
        </w:rPr>
        <w:t xml:space="preserve">Figure S2. </w:t>
      </w:r>
      <w:r w:rsidR="00BB66BF" w:rsidRPr="00BB66BF">
        <w:rPr>
          <w:rFonts w:cs="Calibri"/>
          <w:b/>
        </w:rPr>
        <w:t>Expression of survivin in colon tissue</w:t>
      </w:r>
      <w:r w:rsidR="00BB66BF">
        <w:rPr>
          <w:rFonts w:cs="Calibri"/>
        </w:rPr>
        <w:t xml:space="preserve">. Colon biopsies were obtained from 6 UC patients and 6 CD patients. Total proteins and RNA were extracted from the samples and analyzed by RT-qPCR and Western blotting. A, the levels of survivin mRNA in the colon tissue. B, the levels of survivin protein in the colon tissue. Data of panel A are presented as mean ± SEM. </w:t>
      </w:r>
    </w:p>
    <w:p w:rsidR="00F85F25" w:rsidRDefault="00F85F25" w:rsidP="00732F3F">
      <w:pPr>
        <w:pStyle w:val="KeinLeerraum"/>
        <w:spacing w:line="480" w:lineRule="auto"/>
        <w:jc w:val="left"/>
        <w:rPr>
          <w:rFonts w:cs="Calibri"/>
        </w:rPr>
      </w:pPr>
    </w:p>
    <w:p w:rsidR="00F85F25" w:rsidRDefault="00065DE1" w:rsidP="00732F3F">
      <w:pPr>
        <w:pStyle w:val="KeinLeerraum"/>
        <w:spacing w:line="480" w:lineRule="auto"/>
        <w:jc w:val="left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274310" cy="14547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3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E1" w:rsidRDefault="00065DE1" w:rsidP="00732F3F">
      <w:pPr>
        <w:pStyle w:val="KeinLeerraum"/>
        <w:spacing w:line="480" w:lineRule="auto"/>
        <w:jc w:val="left"/>
        <w:rPr>
          <w:rFonts w:cs="Calibri"/>
        </w:rPr>
      </w:pPr>
      <w:r w:rsidRPr="00B4179D">
        <w:rPr>
          <w:rFonts w:cs="Calibri"/>
          <w:b/>
        </w:rPr>
        <w:t xml:space="preserve">Figure S3. </w:t>
      </w:r>
      <w:r w:rsidR="00B4179D" w:rsidRPr="00B4179D">
        <w:rPr>
          <w:rFonts w:cs="Calibri"/>
          <w:b/>
        </w:rPr>
        <w:t>Modulating survivin in CD4</w:t>
      </w:r>
      <w:r w:rsidR="00B4179D" w:rsidRPr="00B4179D">
        <w:rPr>
          <w:rFonts w:cs="Calibri"/>
          <w:b/>
          <w:vertAlign w:val="superscript"/>
        </w:rPr>
        <w:t>+</w:t>
      </w:r>
      <w:r w:rsidR="00B4179D" w:rsidRPr="00B4179D">
        <w:rPr>
          <w:rFonts w:cs="Calibri"/>
          <w:b/>
        </w:rPr>
        <w:t xml:space="preserve"> T cells</w:t>
      </w:r>
      <w:r w:rsidR="00B4179D">
        <w:rPr>
          <w:rFonts w:cs="Calibri"/>
        </w:rPr>
        <w:t>. CD4</w:t>
      </w:r>
      <w:r w:rsidR="00B4179D" w:rsidRPr="00B4179D">
        <w:rPr>
          <w:rFonts w:cs="Calibri"/>
          <w:vertAlign w:val="superscript"/>
        </w:rPr>
        <w:t>+</w:t>
      </w:r>
      <w:r w:rsidR="00B4179D">
        <w:rPr>
          <w:rFonts w:cs="Calibri"/>
        </w:rPr>
        <w:t xml:space="preserve"> T cells were isolated from PBMCs of healthy subjects and UC patients. Survivin-expressing plasmids or control plasmids were transfected into healthy CD4</w:t>
      </w:r>
      <w:r w:rsidR="00B4179D" w:rsidRPr="00B4179D">
        <w:rPr>
          <w:rFonts w:cs="Calibri"/>
          <w:vertAlign w:val="superscript"/>
        </w:rPr>
        <w:t>+</w:t>
      </w:r>
      <w:r w:rsidR="00B4179D">
        <w:rPr>
          <w:rFonts w:cs="Calibri"/>
        </w:rPr>
        <w:t xml:space="preserve"> T cells. UC CD4</w:t>
      </w:r>
      <w:r w:rsidR="00B4179D" w:rsidRPr="00B4179D">
        <w:rPr>
          <w:rFonts w:cs="Calibri"/>
          <w:vertAlign w:val="superscript"/>
        </w:rPr>
        <w:t>+</w:t>
      </w:r>
      <w:r w:rsidR="00B4179D">
        <w:rPr>
          <w:rFonts w:cs="Calibri"/>
        </w:rPr>
        <w:t xml:space="preserve"> T cells were treated with survivin RNAi or control RNAi. The immunoblots show the results of survivin overexpression in healthy CD4</w:t>
      </w:r>
      <w:r w:rsidR="00B4179D" w:rsidRPr="00B4179D">
        <w:rPr>
          <w:rFonts w:cs="Calibri"/>
          <w:vertAlign w:val="superscript"/>
        </w:rPr>
        <w:t>+</w:t>
      </w:r>
      <w:r w:rsidR="00B4179D">
        <w:rPr>
          <w:rFonts w:cs="Calibri"/>
        </w:rPr>
        <w:t xml:space="preserve"> T cells (A) and depletion of survivin in UC CD4</w:t>
      </w:r>
      <w:r w:rsidR="00B4179D" w:rsidRPr="00B4179D">
        <w:rPr>
          <w:rFonts w:cs="Calibri"/>
          <w:vertAlign w:val="superscript"/>
        </w:rPr>
        <w:t>+</w:t>
      </w:r>
      <w:r w:rsidR="00B4179D">
        <w:rPr>
          <w:rFonts w:cs="Calibri"/>
        </w:rPr>
        <w:t xml:space="preserve"> T cells (B).</w:t>
      </w:r>
    </w:p>
    <w:p w:rsidR="00B4179D" w:rsidRDefault="00B4179D" w:rsidP="00732F3F">
      <w:pPr>
        <w:pStyle w:val="KeinLeerraum"/>
        <w:spacing w:line="480" w:lineRule="auto"/>
        <w:jc w:val="left"/>
        <w:rPr>
          <w:rFonts w:cs="Calibri"/>
        </w:rPr>
      </w:pPr>
    </w:p>
    <w:p w:rsidR="00B4179D" w:rsidRPr="00A62334" w:rsidRDefault="00B4179D" w:rsidP="00732F3F">
      <w:pPr>
        <w:pStyle w:val="KeinLeerraum"/>
        <w:spacing w:line="480" w:lineRule="auto"/>
        <w:jc w:val="left"/>
        <w:rPr>
          <w:rFonts w:cs="Calibri"/>
        </w:rPr>
      </w:pPr>
    </w:p>
    <w:sectPr w:rsidR="00B4179D" w:rsidRPr="00A62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FA9" w:rsidRDefault="00560FA9" w:rsidP="00560FA9">
      <w:r>
        <w:separator/>
      </w:r>
    </w:p>
  </w:endnote>
  <w:endnote w:type="continuationSeparator" w:id="0">
    <w:p w:rsidR="00560FA9" w:rsidRDefault="00560FA9" w:rsidP="0056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FA9" w:rsidRDefault="00560FA9" w:rsidP="00560FA9">
      <w:r>
        <w:separator/>
      </w:r>
    </w:p>
  </w:footnote>
  <w:footnote w:type="continuationSeparator" w:id="0">
    <w:p w:rsidR="00560FA9" w:rsidRDefault="00560FA9" w:rsidP="0056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34"/>
    <w:rsid w:val="00065DE1"/>
    <w:rsid w:val="0014079F"/>
    <w:rsid w:val="00145865"/>
    <w:rsid w:val="0015701B"/>
    <w:rsid w:val="00193B6F"/>
    <w:rsid w:val="003630F3"/>
    <w:rsid w:val="00442E60"/>
    <w:rsid w:val="00481712"/>
    <w:rsid w:val="00560FA9"/>
    <w:rsid w:val="005A16B7"/>
    <w:rsid w:val="00655F68"/>
    <w:rsid w:val="006D7003"/>
    <w:rsid w:val="00732F3F"/>
    <w:rsid w:val="00A62334"/>
    <w:rsid w:val="00B4179D"/>
    <w:rsid w:val="00B54AB5"/>
    <w:rsid w:val="00BB66BF"/>
    <w:rsid w:val="00BD66FC"/>
    <w:rsid w:val="00BE1B5E"/>
    <w:rsid w:val="00F21E87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519DD98B-1054-46D6-A44C-312A765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TKaiti" w:hAnsi="Calibri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62334"/>
    <w:pPr>
      <w:widowControl w:val="0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560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60FA9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60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60FA9"/>
    <w:rPr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0FA9"/>
  </w:style>
  <w:style w:type="character" w:styleId="Hyperlink">
    <w:name w:val="Hyperlink"/>
    <w:basedOn w:val="Absatz-Standardschriftart"/>
    <w:uiPriority w:val="99"/>
    <w:unhideWhenUsed/>
    <w:rsid w:val="00560FA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E87"/>
    <w:rPr>
      <w:rFonts w:ascii="Microsoft YaHei UI" w:eastAsia="Microsoft YaHei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E87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9BD3-9662-4186-B7D6-4617B70C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Ruedi Jappert</cp:lastModifiedBy>
  <cp:revision>13</cp:revision>
  <dcterms:created xsi:type="dcterms:W3CDTF">2018-04-21T08:23:00Z</dcterms:created>
  <dcterms:modified xsi:type="dcterms:W3CDTF">2019-04-29T16:00:00Z</dcterms:modified>
</cp:coreProperties>
</file>