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CCAC" w14:textId="3D949021" w:rsidR="00971D1D" w:rsidRPr="00C341C4" w:rsidRDefault="003D520D" w:rsidP="00971D1D">
      <w:pPr>
        <w:rPr>
          <w:rFonts w:ascii="Times" w:hAnsi="Times" w:cs="Times"/>
          <w:b/>
          <w:lang w:val="en-GB"/>
        </w:rPr>
      </w:pPr>
      <w:r>
        <w:rPr>
          <w:rFonts w:ascii="Times" w:hAnsi="Times" w:cs="Times New Roman"/>
          <w:b/>
          <w:lang w:val="en-GB"/>
        </w:rPr>
        <w:t xml:space="preserve">Supplementary </w:t>
      </w:r>
      <w:bookmarkStart w:id="0" w:name="_GoBack"/>
      <w:bookmarkEnd w:id="0"/>
      <w:r w:rsidR="00971D1D" w:rsidRPr="00C341C4">
        <w:rPr>
          <w:rFonts w:ascii="Times" w:hAnsi="Times" w:cs="Times New Roman"/>
          <w:b/>
          <w:lang w:val="en-GB"/>
        </w:rPr>
        <w:t>Table 4. Examples of Usage of the Term ‘Overdiagnosis’ and Implicit Definitions</w:t>
      </w:r>
    </w:p>
    <w:p w14:paraId="0B10CAF0" w14:textId="77777777" w:rsidR="00971D1D" w:rsidRPr="00C341C4" w:rsidRDefault="00971D1D" w:rsidP="00971D1D">
      <w:pPr>
        <w:rPr>
          <w:rFonts w:ascii="Times" w:hAnsi="Times" w:cs="Times"/>
          <w:b/>
          <w:lang w:val="en-GB"/>
        </w:rPr>
      </w:pPr>
    </w:p>
    <w:tbl>
      <w:tblPr>
        <w:tblStyle w:val="TableGrid"/>
        <w:tblW w:w="14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843"/>
        <w:gridCol w:w="1508"/>
        <w:gridCol w:w="1754"/>
        <w:gridCol w:w="8482"/>
      </w:tblGrid>
      <w:tr w:rsidR="00971D1D" w:rsidRPr="00C341C4" w14:paraId="75F8FE3B" w14:textId="77777777" w:rsidTr="002B5106">
        <w:tc>
          <w:tcPr>
            <w:tcW w:w="1565" w:type="dxa"/>
            <w:tcBorders>
              <w:top w:val="single" w:sz="12" w:space="0" w:color="auto"/>
              <w:bottom w:val="single" w:sz="12" w:space="0" w:color="auto"/>
            </w:tcBorders>
          </w:tcPr>
          <w:p w14:paraId="1E46149C" w14:textId="77777777" w:rsidR="00971D1D" w:rsidRPr="00C341C4" w:rsidRDefault="00971D1D" w:rsidP="002B5106">
            <w:pPr>
              <w:rPr>
                <w:rFonts w:ascii="Times" w:hAnsi="Times"/>
                <w:b/>
              </w:rPr>
            </w:pPr>
            <w:r w:rsidRPr="00C341C4">
              <w:rPr>
                <w:rFonts w:ascii="Times" w:hAnsi="Times"/>
                <w:b/>
              </w:rPr>
              <w:t>First author</w:t>
            </w:r>
          </w:p>
        </w:tc>
        <w:tc>
          <w:tcPr>
            <w:tcW w:w="843" w:type="dxa"/>
            <w:tcBorders>
              <w:top w:val="single" w:sz="12" w:space="0" w:color="auto"/>
              <w:bottom w:val="single" w:sz="12" w:space="0" w:color="auto"/>
            </w:tcBorders>
          </w:tcPr>
          <w:p w14:paraId="019159BA" w14:textId="77777777" w:rsidR="00971D1D" w:rsidRPr="00C341C4" w:rsidRDefault="00971D1D" w:rsidP="002B5106">
            <w:pPr>
              <w:rPr>
                <w:rFonts w:ascii="Times" w:hAnsi="Times"/>
                <w:b/>
              </w:rPr>
            </w:pPr>
            <w:r w:rsidRPr="00C341C4">
              <w:rPr>
                <w:rFonts w:ascii="Times" w:hAnsi="Times"/>
                <w:b/>
              </w:rPr>
              <w:t>Year</w:t>
            </w:r>
          </w:p>
        </w:tc>
        <w:tc>
          <w:tcPr>
            <w:tcW w:w="1508" w:type="dxa"/>
            <w:tcBorders>
              <w:top w:val="single" w:sz="12" w:space="0" w:color="auto"/>
              <w:bottom w:val="single" w:sz="12" w:space="0" w:color="auto"/>
            </w:tcBorders>
          </w:tcPr>
          <w:p w14:paraId="402BD8C3" w14:textId="77777777" w:rsidR="00971D1D" w:rsidRPr="00C341C4" w:rsidRDefault="00971D1D" w:rsidP="002B5106">
            <w:pPr>
              <w:rPr>
                <w:rFonts w:ascii="Times" w:hAnsi="Times"/>
                <w:b/>
              </w:rPr>
            </w:pPr>
            <w:r w:rsidRPr="00C341C4">
              <w:rPr>
                <w:rFonts w:ascii="Times" w:hAnsi="Times"/>
                <w:b/>
              </w:rPr>
              <w:t>Article type</w:t>
            </w:r>
          </w:p>
        </w:tc>
        <w:tc>
          <w:tcPr>
            <w:tcW w:w="1754" w:type="dxa"/>
            <w:tcBorders>
              <w:top w:val="single" w:sz="12" w:space="0" w:color="auto"/>
              <w:bottom w:val="single" w:sz="12" w:space="0" w:color="auto"/>
            </w:tcBorders>
          </w:tcPr>
          <w:p w14:paraId="6D27806A" w14:textId="77777777" w:rsidR="00971D1D" w:rsidRPr="00C341C4" w:rsidRDefault="00971D1D" w:rsidP="002B5106">
            <w:pPr>
              <w:rPr>
                <w:rFonts w:ascii="Times" w:hAnsi="Times"/>
                <w:b/>
              </w:rPr>
            </w:pPr>
            <w:r w:rsidRPr="00C341C4">
              <w:rPr>
                <w:rFonts w:ascii="Times" w:hAnsi="Times"/>
                <w:b/>
              </w:rPr>
              <w:t>Focus</w:t>
            </w:r>
          </w:p>
        </w:tc>
        <w:tc>
          <w:tcPr>
            <w:tcW w:w="8482" w:type="dxa"/>
            <w:tcBorders>
              <w:top w:val="single" w:sz="12" w:space="0" w:color="auto"/>
              <w:bottom w:val="single" w:sz="12" w:space="0" w:color="auto"/>
            </w:tcBorders>
          </w:tcPr>
          <w:p w14:paraId="1F764411" w14:textId="77777777" w:rsidR="00971D1D" w:rsidRPr="00C341C4" w:rsidRDefault="00971D1D" w:rsidP="002B5106">
            <w:pPr>
              <w:rPr>
                <w:rFonts w:ascii="Times" w:hAnsi="Times"/>
                <w:b/>
              </w:rPr>
            </w:pPr>
            <w:r w:rsidRPr="00C341C4">
              <w:rPr>
                <w:rFonts w:ascii="Times" w:hAnsi="Times"/>
                <w:b/>
              </w:rPr>
              <w:t>Implicit Usage</w:t>
            </w:r>
          </w:p>
          <w:p w14:paraId="171E06D6" w14:textId="77777777" w:rsidR="00971D1D" w:rsidRPr="00C341C4" w:rsidRDefault="00971D1D" w:rsidP="002B5106">
            <w:pPr>
              <w:rPr>
                <w:rFonts w:ascii="Times" w:hAnsi="Times"/>
                <w:b/>
              </w:rPr>
            </w:pPr>
          </w:p>
        </w:tc>
      </w:tr>
      <w:tr w:rsidR="00971D1D" w:rsidRPr="00C341C4" w14:paraId="1A135C6C" w14:textId="77777777" w:rsidTr="002B5106">
        <w:tc>
          <w:tcPr>
            <w:tcW w:w="14152" w:type="dxa"/>
            <w:gridSpan w:val="5"/>
            <w:tcBorders>
              <w:top w:val="single" w:sz="12" w:space="0" w:color="auto"/>
              <w:bottom w:val="single" w:sz="18" w:space="0" w:color="auto"/>
            </w:tcBorders>
          </w:tcPr>
          <w:p w14:paraId="6C3E0A01" w14:textId="77777777" w:rsidR="00971D1D" w:rsidRPr="00C341C4" w:rsidRDefault="00971D1D" w:rsidP="002B5106">
            <w:pPr>
              <w:rPr>
                <w:rFonts w:ascii="Times" w:hAnsi="Times"/>
                <w:b/>
              </w:rPr>
            </w:pPr>
          </w:p>
          <w:p w14:paraId="2312A9D9" w14:textId="77777777" w:rsidR="00971D1D" w:rsidRPr="00C341C4" w:rsidRDefault="00971D1D" w:rsidP="002B5106">
            <w:pPr>
              <w:rPr>
                <w:rFonts w:ascii="Times" w:hAnsi="Times"/>
                <w:b/>
              </w:rPr>
            </w:pPr>
            <w:r w:rsidRPr="00C341C4">
              <w:rPr>
                <w:rFonts w:ascii="Times" w:hAnsi="Times"/>
                <w:b/>
              </w:rPr>
              <w:t>Overdefinition</w:t>
            </w:r>
          </w:p>
          <w:p w14:paraId="1E0AA973" w14:textId="77777777" w:rsidR="00971D1D" w:rsidRPr="00C341C4" w:rsidRDefault="00971D1D" w:rsidP="002B5106">
            <w:pPr>
              <w:rPr>
                <w:rFonts w:ascii="Times" w:hAnsi="Times"/>
                <w:b/>
              </w:rPr>
            </w:pPr>
          </w:p>
        </w:tc>
      </w:tr>
      <w:tr w:rsidR="00971D1D" w:rsidRPr="00C341C4" w14:paraId="00F47519" w14:textId="77777777" w:rsidTr="002B5106">
        <w:tc>
          <w:tcPr>
            <w:tcW w:w="1565" w:type="dxa"/>
            <w:tcBorders>
              <w:top w:val="single" w:sz="18" w:space="0" w:color="auto"/>
            </w:tcBorders>
            <w:vAlign w:val="center"/>
          </w:tcPr>
          <w:p w14:paraId="73CD6530" w14:textId="77777777" w:rsidR="00971D1D" w:rsidRPr="00C341C4" w:rsidRDefault="00971D1D" w:rsidP="002B5106">
            <w:pPr>
              <w:rPr>
                <w:rFonts w:ascii="Times" w:hAnsi="Times"/>
                <w:color w:val="000000"/>
              </w:rPr>
            </w:pPr>
            <w:r w:rsidRPr="00C341C4">
              <w:rPr>
                <w:rFonts w:ascii="Times" w:hAnsi="Times"/>
              </w:rPr>
              <w:t>Rigler [30]</w:t>
            </w:r>
          </w:p>
        </w:tc>
        <w:tc>
          <w:tcPr>
            <w:tcW w:w="843" w:type="dxa"/>
            <w:tcBorders>
              <w:top w:val="single" w:sz="18" w:space="0" w:color="auto"/>
            </w:tcBorders>
            <w:vAlign w:val="center"/>
          </w:tcPr>
          <w:p w14:paraId="29AFC6FE" w14:textId="77777777" w:rsidR="00971D1D" w:rsidRPr="00C341C4" w:rsidRDefault="00971D1D" w:rsidP="002B5106">
            <w:pPr>
              <w:rPr>
                <w:rFonts w:ascii="Times" w:hAnsi="Times"/>
                <w:color w:val="000000"/>
              </w:rPr>
            </w:pPr>
            <w:r w:rsidRPr="00C341C4">
              <w:rPr>
                <w:rFonts w:ascii="Times" w:hAnsi="Times"/>
              </w:rPr>
              <w:t>2016</w:t>
            </w:r>
          </w:p>
        </w:tc>
        <w:tc>
          <w:tcPr>
            <w:tcW w:w="1508" w:type="dxa"/>
            <w:tcBorders>
              <w:top w:val="single" w:sz="18" w:space="0" w:color="auto"/>
            </w:tcBorders>
            <w:vAlign w:val="center"/>
          </w:tcPr>
          <w:p w14:paraId="5771CF1F" w14:textId="77777777" w:rsidR="00971D1D" w:rsidRPr="00C341C4" w:rsidRDefault="00971D1D" w:rsidP="002B5106">
            <w:pPr>
              <w:rPr>
                <w:rFonts w:ascii="Times" w:hAnsi="Times"/>
              </w:rPr>
            </w:pPr>
            <w:r w:rsidRPr="00C341C4">
              <w:rPr>
                <w:rFonts w:ascii="Times" w:hAnsi="Times"/>
              </w:rPr>
              <w:t>Primary Research</w:t>
            </w:r>
          </w:p>
        </w:tc>
        <w:tc>
          <w:tcPr>
            <w:tcW w:w="1754" w:type="dxa"/>
            <w:tcBorders>
              <w:top w:val="single" w:sz="18" w:space="0" w:color="auto"/>
            </w:tcBorders>
            <w:vAlign w:val="center"/>
          </w:tcPr>
          <w:p w14:paraId="4423B1BA" w14:textId="77777777" w:rsidR="00971D1D" w:rsidRPr="00C341C4" w:rsidRDefault="00971D1D" w:rsidP="002B5106">
            <w:pPr>
              <w:rPr>
                <w:rFonts w:ascii="Times" w:hAnsi="Times"/>
                <w:color w:val="000000"/>
              </w:rPr>
            </w:pPr>
            <w:r w:rsidRPr="00C341C4">
              <w:rPr>
                <w:rFonts w:ascii="Times" w:hAnsi="Times"/>
              </w:rPr>
              <w:t>Main focus</w:t>
            </w:r>
          </w:p>
        </w:tc>
        <w:tc>
          <w:tcPr>
            <w:tcW w:w="8482" w:type="dxa"/>
            <w:tcBorders>
              <w:top w:val="single" w:sz="18" w:space="0" w:color="auto"/>
            </w:tcBorders>
            <w:vAlign w:val="center"/>
          </w:tcPr>
          <w:p w14:paraId="286601C4" w14:textId="77777777" w:rsidR="00971D1D" w:rsidRPr="00C341C4" w:rsidRDefault="00971D1D" w:rsidP="002B5106">
            <w:pPr>
              <w:ind w:right="661"/>
              <w:rPr>
                <w:rFonts w:ascii="Times" w:hAnsi="Times"/>
                <w:color w:val="000000"/>
              </w:rPr>
            </w:pPr>
            <w:r w:rsidRPr="00C341C4">
              <w:rPr>
                <w:rFonts w:ascii="Times" w:hAnsi="Times"/>
                <w:color w:val="000000"/>
              </w:rPr>
              <w:t>The authors described that the new Diagnostic and Statistical Manual (DSM-5) requires fewer symptoms to diagnose adult attention deficit hyperactivity disorder compared to DSM-IV, compared prevalence in a sample of university students using DSM-5 versus DSM-IV, noted that requiring fewer symptoms increases prevalence by 65%, and suggested that this should be considered in the context of overdiagnosis.</w:t>
            </w:r>
          </w:p>
          <w:p w14:paraId="6C5E83D5" w14:textId="77777777" w:rsidR="00971D1D" w:rsidRPr="00C341C4" w:rsidRDefault="00971D1D" w:rsidP="002B5106">
            <w:pPr>
              <w:rPr>
                <w:rFonts w:ascii="Times" w:hAnsi="Times"/>
                <w:color w:val="000000"/>
              </w:rPr>
            </w:pPr>
          </w:p>
        </w:tc>
      </w:tr>
      <w:tr w:rsidR="00971D1D" w:rsidRPr="00C341C4" w14:paraId="35AA9201" w14:textId="77777777" w:rsidTr="002B5106">
        <w:tc>
          <w:tcPr>
            <w:tcW w:w="1565" w:type="dxa"/>
            <w:tcBorders>
              <w:bottom w:val="single" w:sz="18" w:space="0" w:color="auto"/>
            </w:tcBorders>
            <w:vAlign w:val="center"/>
          </w:tcPr>
          <w:p w14:paraId="3D3CF728" w14:textId="77777777" w:rsidR="00971D1D" w:rsidRPr="00C341C4" w:rsidRDefault="00971D1D" w:rsidP="002B5106">
            <w:pPr>
              <w:rPr>
                <w:rFonts w:ascii="Times" w:hAnsi="Times"/>
                <w:color w:val="000000"/>
              </w:rPr>
            </w:pPr>
            <w:r w:rsidRPr="00C341C4">
              <w:rPr>
                <w:rFonts w:ascii="Times" w:hAnsi="Times"/>
                <w:color w:val="000000"/>
              </w:rPr>
              <w:t>Doerr-Zegers [31]</w:t>
            </w:r>
          </w:p>
          <w:p w14:paraId="66E2806A" w14:textId="77777777" w:rsidR="00971D1D" w:rsidRPr="00C341C4" w:rsidRDefault="00971D1D" w:rsidP="002B5106">
            <w:pPr>
              <w:rPr>
                <w:rFonts w:ascii="Times" w:hAnsi="Times"/>
              </w:rPr>
            </w:pPr>
          </w:p>
        </w:tc>
        <w:tc>
          <w:tcPr>
            <w:tcW w:w="843" w:type="dxa"/>
            <w:tcBorders>
              <w:bottom w:val="single" w:sz="18" w:space="0" w:color="auto"/>
            </w:tcBorders>
            <w:vAlign w:val="center"/>
          </w:tcPr>
          <w:p w14:paraId="1A65415F" w14:textId="77777777" w:rsidR="00971D1D" w:rsidRPr="00C341C4" w:rsidRDefault="00971D1D" w:rsidP="002B5106">
            <w:pPr>
              <w:rPr>
                <w:rFonts w:ascii="Times" w:hAnsi="Times"/>
              </w:rPr>
            </w:pPr>
            <w:r w:rsidRPr="00C341C4">
              <w:rPr>
                <w:rFonts w:ascii="Times" w:hAnsi="Times"/>
                <w:color w:val="000000"/>
              </w:rPr>
              <w:t>2017</w:t>
            </w:r>
          </w:p>
        </w:tc>
        <w:tc>
          <w:tcPr>
            <w:tcW w:w="1508" w:type="dxa"/>
            <w:tcBorders>
              <w:bottom w:val="single" w:sz="18" w:space="0" w:color="auto"/>
            </w:tcBorders>
            <w:vAlign w:val="center"/>
          </w:tcPr>
          <w:p w14:paraId="39898B57" w14:textId="77777777" w:rsidR="00971D1D" w:rsidRPr="00C341C4" w:rsidRDefault="00971D1D" w:rsidP="002B5106">
            <w:pPr>
              <w:rPr>
                <w:rFonts w:ascii="Times" w:hAnsi="Times"/>
                <w:color w:val="000000"/>
              </w:rPr>
            </w:pPr>
            <w:r w:rsidRPr="00C341C4">
              <w:rPr>
                <w:rFonts w:ascii="Times" w:hAnsi="Times"/>
                <w:color w:val="000000"/>
              </w:rPr>
              <w:t>Narrative Review</w:t>
            </w:r>
          </w:p>
        </w:tc>
        <w:tc>
          <w:tcPr>
            <w:tcW w:w="1754" w:type="dxa"/>
            <w:tcBorders>
              <w:bottom w:val="single" w:sz="18" w:space="0" w:color="auto"/>
            </w:tcBorders>
            <w:vAlign w:val="center"/>
          </w:tcPr>
          <w:p w14:paraId="6CB35A6D" w14:textId="77777777" w:rsidR="00971D1D" w:rsidRPr="00C341C4" w:rsidRDefault="00971D1D" w:rsidP="002B5106">
            <w:pPr>
              <w:rPr>
                <w:rFonts w:ascii="Times" w:hAnsi="Times"/>
              </w:rPr>
            </w:pPr>
            <w:r w:rsidRPr="00C341C4">
              <w:rPr>
                <w:rFonts w:ascii="Times" w:hAnsi="Times"/>
                <w:color w:val="000000"/>
              </w:rPr>
              <w:t>Mentioned – no focus</w:t>
            </w:r>
          </w:p>
        </w:tc>
        <w:tc>
          <w:tcPr>
            <w:tcW w:w="8482" w:type="dxa"/>
            <w:tcBorders>
              <w:bottom w:val="single" w:sz="18" w:space="0" w:color="auto"/>
            </w:tcBorders>
            <w:vAlign w:val="center"/>
          </w:tcPr>
          <w:p w14:paraId="37A0EEED" w14:textId="77777777" w:rsidR="00971D1D" w:rsidRPr="00C341C4" w:rsidRDefault="00971D1D" w:rsidP="002B5106">
            <w:pPr>
              <w:ind w:right="661"/>
              <w:rPr>
                <w:rFonts w:ascii="Times" w:hAnsi="Times"/>
                <w:color w:val="000000"/>
              </w:rPr>
            </w:pPr>
            <w:r w:rsidRPr="00C341C4">
              <w:rPr>
                <w:rFonts w:ascii="Times" w:hAnsi="Times"/>
                <w:color w:val="000000"/>
              </w:rPr>
              <w:t>The authors argued that the diagnostic criteria for major depressive disorder are overly broad and non-specific, which can lead to overdiagnosis and negative consequences.</w:t>
            </w:r>
          </w:p>
          <w:p w14:paraId="33FAC028" w14:textId="77777777" w:rsidR="00971D1D" w:rsidRPr="00C341C4" w:rsidRDefault="00971D1D" w:rsidP="002B5106">
            <w:pPr>
              <w:rPr>
                <w:rFonts w:ascii="Times" w:hAnsi="Times"/>
                <w:color w:val="000000"/>
              </w:rPr>
            </w:pPr>
          </w:p>
        </w:tc>
      </w:tr>
      <w:tr w:rsidR="00971D1D" w:rsidRPr="00C341C4" w14:paraId="03E16AE5" w14:textId="77777777" w:rsidTr="002B5106">
        <w:tc>
          <w:tcPr>
            <w:tcW w:w="14152" w:type="dxa"/>
            <w:gridSpan w:val="5"/>
            <w:tcBorders>
              <w:top w:val="single" w:sz="18" w:space="0" w:color="auto"/>
              <w:bottom w:val="single" w:sz="18" w:space="0" w:color="auto"/>
            </w:tcBorders>
          </w:tcPr>
          <w:p w14:paraId="6BAFF12D" w14:textId="77777777" w:rsidR="00971D1D" w:rsidRPr="00C341C4" w:rsidRDefault="00971D1D" w:rsidP="002B5106">
            <w:pPr>
              <w:rPr>
                <w:rFonts w:ascii="Times" w:hAnsi="Times"/>
                <w:b/>
              </w:rPr>
            </w:pPr>
          </w:p>
          <w:p w14:paraId="57C429C2" w14:textId="77777777" w:rsidR="00971D1D" w:rsidRPr="00C341C4" w:rsidRDefault="00971D1D" w:rsidP="002B5106">
            <w:pPr>
              <w:rPr>
                <w:rFonts w:ascii="Times" w:hAnsi="Times"/>
                <w:b/>
              </w:rPr>
            </w:pPr>
            <w:r w:rsidRPr="00C341C4">
              <w:rPr>
                <w:rFonts w:ascii="Times" w:hAnsi="Times"/>
                <w:b/>
              </w:rPr>
              <w:t>Overdetection</w:t>
            </w:r>
          </w:p>
          <w:p w14:paraId="1B82CC39" w14:textId="77777777" w:rsidR="00971D1D" w:rsidRPr="00C341C4" w:rsidRDefault="00971D1D" w:rsidP="002B5106">
            <w:pPr>
              <w:rPr>
                <w:rFonts w:ascii="Times" w:hAnsi="Times"/>
                <w:b/>
              </w:rPr>
            </w:pPr>
          </w:p>
        </w:tc>
      </w:tr>
      <w:tr w:rsidR="00971D1D" w:rsidRPr="00C341C4" w14:paraId="4A91C932" w14:textId="77777777" w:rsidTr="002B5106">
        <w:tc>
          <w:tcPr>
            <w:tcW w:w="1565" w:type="dxa"/>
            <w:tcBorders>
              <w:bottom w:val="single" w:sz="18" w:space="0" w:color="auto"/>
            </w:tcBorders>
            <w:vAlign w:val="center"/>
          </w:tcPr>
          <w:p w14:paraId="79CE91E7" w14:textId="77777777" w:rsidR="00971D1D" w:rsidRPr="00C341C4" w:rsidRDefault="00971D1D" w:rsidP="002B5106">
            <w:pPr>
              <w:rPr>
                <w:rFonts w:ascii="Times" w:hAnsi="Times"/>
                <w:color w:val="000000"/>
              </w:rPr>
            </w:pPr>
            <w:r w:rsidRPr="00C341C4">
              <w:rPr>
                <w:rFonts w:ascii="Times" w:hAnsi="Times"/>
                <w:color w:val="000000"/>
              </w:rPr>
              <w:t>Nucifora [32]</w:t>
            </w:r>
          </w:p>
          <w:p w14:paraId="04C04C66" w14:textId="77777777" w:rsidR="00971D1D" w:rsidRPr="00C341C4" w:rsidRDefault="00971D1D" w:rsidP="002B5106">
            <w:pPr>
              <w:rPr>
                <w:rFonts w:ascii="Times" w:hAnsi="Times"/>
              </w:rPr>
            </w:pPr>
          </w:p>
        </w:tc>
        <w:tc>
          <w:tcPr>
            <w:tcW w:w="843" w:type="dxa"/>
            <w:tcBorders>
              <w:bottom w:val="single" w:sz="18" w:space="0" w:color="auto"/>
            </w:tcBorders>
            <w:vAlign w:val="center"/>
          </w:tcPr>
          <w:p w14:paraId="603F93BC" w14:textId="77777777" w:rsidR="00971D1D" w:rsidRPr="00C341C4" w:rsidRDefault="00971D1D" w:rsidP="002B5106">
            <w:pPr>
              <w:rPr>
                <w:rFonts w:ascii="Times" w:hAnsi="Times"/>
              </w:rPr>
            </w:pPr>
            <w:r w:rsidRPr="00C341C4">
              <w:rPr>
                <w:rFonts w:ascii="Times" w:hAnsi="Times"/>
              </w:rPr>
              <w:t>2015</w:t>
            </w:r>
          </w:p>
        </w:tc>
        <w:tc>
          <w:tcPr>
            <w:tcW w:w="1508" w:type="dxa"/>
            <w:tcBorders>
              <w:bottom w:val="single" w:sz="18" w:space="0" w:color="auto"/>
            </w:tcBorders>
            <w:vAlign w:val="center"/>
          </w:tcPr>
          <w:p w14:paraId="0213735C" w14:textId="77777777" w:rsidR="00971D1D" w:rsidRPr="00C341C4" w:rsidRDefault="00971D1D" w:rsidP="002B5106">
            <w:pPr>
              <w:rPr>
                <w:rFonts w:ascii="Times" w:hAnsi="Times"/>
              </w:rPr>
            </w:pPr>
            <w:r w:rsidRPr="00C341C4">
              <w:rPr>
                <w:rFonts w:ascii="Times" w:hAnsi="Times"/>
              </w:rPr>
              <w:t>Commentary or letter</w:t>
            </w:r>
          </w:p>
        </w:tc>
        <w:tc>
          <w:tcPr>
            <w:tcW w:w="1754" w:type="dxa"/>
            <w:tcBorders>
              <w:bottom w:val="single" w:sz="18" w:space="0" w:color="auto"/>
            </w:tcBorders>
            <w:vAlign w:val="center"/>
          </w:tcPr>
          <w:p w14:paraId="3F3D3EA7" w14:textId="77777777" w:rsidR="00971D1D" w:rsidRPr="00C341C4" w:rsidRDefault="00971D1D" w:rsidP="002B5106">
            <w:pPr>
              <w:rPr>
                <w:rFonts w:ascii="Times" w:hAnsi="Times"/>
              </w:rPr>
            </w:pPr>
            <w:r w:rsidRPr="00C341C4">
              <w:rPr>
                <w:rFonts w:ascii="Times" w:hAnsi="Times"/>
              </w:rPr>
              <w:t>Main focus</w:t>
            </w:r>
          </w:p>
        </w:tc>
        <w:tc>
          <w:tcPr>
            <w:tcW w:w="8482" w:type="dxa"/>
            <w:tcBorders>
              <w:bottom w:val="single" w:sz="18" w:space="0" w:color="auto"/>
            </w:tcBorders>
            <w:vAlign w:val="center"/>
          </w:tcPr>
          <w:p w14:paraId="2B996949" w14:textId="77777777" w:rsidR="00971D1D" w:rsidRPr="00C341C4" w:rsidRDefault="00971D1D" w:rsidP="002B5106">
            <w:pPr>
              <w:ind w:right="661"/>
              <w:rPr>
                <w:rFonts w:ascii="Times" w:hAnsi="Times"/>
                <w:color w:val="000000"/>
              </w:rPr>
            </w:pPr>
            <w:r w:rsidRPr="00C341C4">
              <w:rPr>
                <w:rFonts w:ascii="Times" w:hAnsi="Times"/>
                <w:color w:val="000000"/>
              </w:rPr>
              <w:t>The author discussed neuroimaging for the detection and diagnosis of psychiatric disorders in the absence of symptoms and the significant risk of overdiagnosis posed by this.</w:t>
            </w:r>
          </w:p>
          <w:p w14:paraId="3768CD1E" w14:textId="77777777" w:rsidR="00971D1D" w:rsidRPr="00C341C4" w:rsidRDefault="00971D1D" w:rsidP="002B5106">
            <w:pPr>
              <w:ind w:right="661"/>
              <w:rPr>
                <w:rFonts w:ascii="Times" w:hAnsi="Times"/>
                <w:color w:val="000000"/>
              </w:rPr>
            </w:pPr>
          </w:p>
        </w:tc>
      </w:tr>
      <w:tr w:rsidR="00971D1D" w:rsidRPr="00C341C4" w14:paraId="0743ACF0" w14:textId="77777777" w:rsidTr="002B5106">
        <w:tc>
          <w:tcPr>
            <w:tcW w:w="14152" w:type="dxa"/>
            <w:gridSpan w:val="5"/>
            <w:tcBorders>
              <w:top w:val="single" w:sz="18" w:space="0" w:color="auto"/>
              <w:bottom w:val="single" w:sz="18" w:space="0" w:color="auto"/>
            </w:tcBorders>
          </w:tcPr>
          <w:p w14:paraId="55E06013" w14:textId="77777777" w:rsidR="00971D1D" w:rsidRPr="00C341C4" w:rsidRDefault="00971D1D" w:rsidP="002B5106">
            <w:pPr>
              <w:rPr>
                <w:rFonts w:ascii="Times" w:hAnsi="Times"/>
              </w:rPr>
            </w:pPr>
          </w:p>
          <w:p w14:paraId="1BD29BBC" w14:textId="77777777" w:rsidR="00971D1D" w:rsidRPr="00C341C4" w:rsidRDefault="00971D1D" w:rsidP="002B5106">
            <w:pPr>
              <w:rPr>
                <w:rFonts w:ascii="Times" w:hAnsi="Times"/>
                <w:b/>
                <w:color w:val="000000"/>
              </w:rPr>
            </w:pPr>
            <w:r w:rsidRPr="00C341C4">
              <w:rPr>
                <w:rFonts w:ascii="Times" w:hAnsi="Times"/>
                <w:b/>
              </w:rPr>
              <w:t>Misdiagnosis – wrong disorder diagnosed</w:t>
            </w:r>
            <w:r w:rsidRPr="00C341C4">
              <w:rPr>
                <w:rFonts w:ascii="Times" w:hAnsi="Times"/>
                <w:b/>
                <w:color w:val="000000"/>
              </w:rPr>
              <w:t xml:space="preserve"> </w:t>
            </w:r>
          </w:p>
          <w:p w14:paraId="79AD452C" w14:textId="77777777" w:rsidR="00971D1D" w:rsidRPr="00C341C4" w:rsidRDefault="00971D1D" w:rsidP="002B5106">
            <w:pPr>
              <w:rPr>
                <w:rFonts w:ascii="Times" w:hAnsi="Times"/>
              </w:rPr>
            </w:pPr>
          </w:p>
        </w:tc>
      </w:tr>
      <w:tr w:rsidR="00971D1D" w:rsidRPr="00C341C4" w14:paraId="453D3A6D" w14:textId="77777777" w:rsidTr="002B5106">
        <w:tc>
          <w:tcPr>
            <w:tcW w:w="1565" w:type="dxa"/>
            <w:tcBorders>
              <w:top w:val="single" w:sz="18" w:space="0" w:color="auto"/>
            </w:tcBorders>
            <w:vAlign w:val="center"/>
          </w:tcPr>
          <w:p w14:paraId="4A4E21B8" w14:textId="77777777" w:rsidR="00971D1D" w:rsidRPr="00C341C4" w:rsidRDefault="00971D1D" w:rsidP="002B5106">
            <w:pPr>
              <w:rPr>
                <w:rFonts w:ascii="Times" w:hAnsi="Times"/>
                <w:color w:val="000000"/>
              </w:rPr>
            </w:pPr>
            <w:r w:rsidRPr="00C341C4">
              <w:rPr>
                <w:rFonts w:ascii="Times" w:hAnsi="Times"/>
                <w:color w:val="000000"/>
              </w:rPr>
              <w:t>Richman [33]</w:t>
            </w:r>
          </w:p>
          <w:p w14:paraId="327061F7" w14:textId="77777777" w:rsidR="00971D1D" w:rsidRPr="00C341C4" w:rsidRDefault="00971D1D" w:rsidP="002B5106">
            <w:pPr>
              <w:rPr>
                <w:rFonts w:ascii="Times" w:hAnsi="Times"/>
              </w:rPr>
            </w:pPr>
          </w:p>
        </w:tc>
        <w:tc>
          <w:tcPr>
            <w:tcW w:w="843" w:type="dxa"/>
            <w:tcBorders>
              <w:top w:val="single" w:sz="18" w:space="0" w:color="auto"/>
            </w:tcBorders>
            <w:vAlign w:val="center"/>
          </w:tcPr>
          <w:p w14:paraId="1C6B1D92" w14:textId="77777777" w:rsidR="00971D1D" w:rsidRPr="00C341C4" w:rsidRDefault="00971D1D" w:rsidP="002B5106">
            <w:pPr>
              <w:rPr>
                <w:rFonts w:ascii="Times" w:hAnsi="Times"/>
              </w:rPr>
            </w:pPr>
            <w:r w:rsidRPr="00C341C4">
              <w:rPr>
                <w:rFonts w:ascii="Times" w:hAnsi="Times"/>
              </w:rPr>
              <w:t>2004</w:t>
            </w:r>
          </w:p>
        </w:tc>
        <w:tc>
          <w:tcPr>
            <w:tcW w:w="1508" w:type="dxa"/>
            <w:tcBorders>
              <w:top w:val="single" w:sz="18" w:space="0" w:color="auto"/>
            </w:tcBorders>
            <w:vAlign w:val="center"/>
          </w:tcPr>
          <w:p w14:paraId="545A1F89" w14:textId="77777777" w:rsidR="00971D1D" w:rsidRPr="00C341C4" w:rsidRDefault="00971D1D" w:rsidP="002B5106">
            <w:pPr>
              <w:rPr>
                <w:rFonts w:ascii="Times" w:hAnsi="Times"/>
              </w:rPr>
            </w:pPr>
            <w:r w:rsidRPr="00C341C4">
              <w:rPr>
                <w:rFonts w:ascii="Times" w:hAnsi="Times"/>
              </w:rPr>
              <w:t>Primary Research</w:t>
            </w:r>
          </w:p>
        </w:tc>
        <w:tc>
          <w:tcPr>
            <w:tcW w:w="1754" w:type="dxa"/>
            <w:tcBorders>
              <w:top w:val="single" w:sz="18" w:space="0" w:color="auto"/>
            </w:tcBorders>
            <w:vAlign w:val="center"/>
          </w:tcPr>
          <w:p w14:paraId="2078BF23" w14:textId="77777777" w:rsidR="00971D1D" w:rsidRPr="00C341C4" w:rsidRDefault="00971D1D" w:rsidP="002B5106">
            <w:pPr>
              <w:rPr>
                <w:rFonts w:ascii="Times" w:hAnsi="Times"/>
              </w:rPr>
            </w:pPr>
            <w:r w:rsidRPr="00C341C4">
              <w:rPr>
                <w:rFonts w:ascii="Times" w:hAnsi="Times"/>
              </w:rPr>
              <w:t>Main focus</w:t>
            </w:r>
          </w:p>
        </w:tc>
        <w:tc>
          <w:tcPr>
            <w:tcW w:w="8482" w:type="dxa"/>
            <w:tcBorders>
              <w:top w:val="single" w:sz="18" w:space="0" w:color="auto"/>
            </w:tcBorders>
            <w:vAlign w:val="center"/>
          </w:tcPr>
          <w:p w14:paraId="53495890" w14:textId="77777777" w:rsidR="00971D1D" w:rsidRPr="00C341C4" w:rsidRDefault="00971D1D" w:rsidP="002B5106">
            <w:pPr>
              <w:ind w:right="661"/>
              <w:rPr>
                <w:rFonts w:ascii="Times" w:hAnsi="Times"/>
                <w:color w:val="000000"/>
              </w:rPr>
            </w:pPr>
            <w:r w:rsidRPr="00C341C4">
              <w:rPr>
                <w:rFonts w:ascii="Times" w:hAnsi="Times"/>
                <w:color w:val="000000"/>
              </w:rPr>
              <w:t xml:space="preserve">The authors evaluated 32 children with cleft lip and palate who had been diagnosed and received medication for attention deficit hyperactivity disorder and reported that attention deficit hyperactivity disorder was overdiagnosed </w:t>
            </w:r>
            <w:r w:rsidRPr="00C341C4">
              <w:rPr>
                <w:rFonts w:ascii="Times" w:hAnsi="Times"/>
                <w:color w:val="000000"/>
              </w:rPr>
              <w:lastRenderedPageBreak/>
              <w:t>because only 10 met criteria and the rest met criteria for other disorders, primarily learning disabilities.</w:t>
            </w:r>
          </w:p>
          <w:p w14:paraId="3FD764A7" w14:textId="77777777" w:rsidR="00971D1D" w:rsidRPr="00C341C4" w:rsidRDefault="00971D1D" w:rsidP="002B5106">
            <w:pPr>
              <w:ind w:right="661"/>
              <w:rPr>
                <w:rFonts w:ascii="Times" w:hAnsi="Times"/>
                <w:color w:val="000000"/>
              </w:rPr>
            </w:pPr>
          </w:p>
        </w:tc>
      </w:tr>
      <w:tr w:rsidR="00971D1D" w:rsidRPr="00C341C4" w14:paraId="21B36436" w14:textId="77777777" w:rsidTr="002B5106">
        <w:tc>
          <w:tcPr>
            <w:tcW w:w="1565" w:type="dxa"/>
            <w:vAlign w:val="center"/>
          </w:tcPr>
          <w:p w14:paraId="58F746AE" w14:textId="77777777" w:rsidR="00971D1D" w:rsidRPr="00C341C4" w:rsidRDefault="00971D1D" w:rsidP="002B5106">
            <w:pPr>
              <w:rPr>
                <w:rFonts w:ascii="Times" w:hAnsi="Times"/>
                <w:color w:val="000000"/>
              </w:rPr>
            </w:pPr>
            <w:r w:rsidRPr="00C341C4">
              <w:rPr>
                <w:rFonts w:ascii="Times" w:hAnsi="Times"/>
                <w:color w:val="000000"/>
              </w:rPr>
              <w:lastRenderedPageBreak/>
              <w:t>Zimmerman [34]</w:t>
            </w:r>
          </w:p>
          <w:p w14:paraId="215F6E4F" w14:textId="77777777" w:rsidR="00971D1D" w:rsidRPr="00C341C4" w:rsidRDefault="00971D1D" w:rsidP="002B5106">
            <w:pPr>
              <w:rPr>
                <w:rFonts w:ascii="Times" w:hAnsi="Times"/>
              </w:rPr>
            </w:pPr>
          </w:p>
        </w:tc>
        <w:tc>
          <w:tcPr>
            <w:tcW w:w="843" w:type="dxa"/>
            <w:vAlign w:val="center"/>
          </w:tcPr>
          <w:p w14:paraId="65179228" w14:textId="77777777" w:rsidR="00971D1D" w:rsidRPr="00C341C4" w:rsidRDefault="00971D1D" w:rsidP="002B5106">
            <w:pPr>
              <w:rPr>
                <w:rFonts w:ascii="Times" w:hAnsi="Times"/>
                <w:color w:val="000000"/>
              </w:rPr>
            </w:pPr>
            <w:r w:rsidRPr="00C341C4">
              <w:rPr>
                <w:rFonts w:ascii="Times" w:hAnsi="Times"/>
                <w:color w:val="000000"/>
              </w:rPr>
              <w:t>2010</w:t>
            </w:r>
          </w:p>
        </w:tc>
        <w:tc>
          <w:tcPr>
            <w:tcW w:w="1508" w:type="dxa"/>
            <w:vAlign w:val="center"/>
          </w:tcPr>
          <w:p w14:paraId="544EF0FB" w14:textId="77777777" w:rsidR="00971D1D" w:rsidRPr="00C341C4" w:rsidRDefault="00971D1D" w:rsidP="002B5106">
            <w:pPr>
              <w:rPr>
                <w:rFonts w:ascii="Times" w:hAnsi="Times"/>
              </w:rPr>
            </w:pPr>
            <w:r w:rsidRPr="00C341C4">
              <w:rPr>
                <w:rFonts w:ascii="Times" w:hAnsi="Times"/>
              </w:rPr>
              <w:t>Primary Research</w:t>
            </w:r>
          </w:p>
        </w:tc>
        <w:tc>
          <w:tcPr>
            <w:tcW w:w="1754" w:type="dxa"/>
            <w:vAlign w:val="center"/>
          </w:tcPr>
          <w:p w14:paraId="737FAEF6" w14:textId="77777777" w:rsidR="00971D1D" w:rsidRPr="00C341C4" w:rsidRDefault="00971D1D" w:rsidP="002B5106">
            <w:pPr>
              <w:rPr>
                <w:rFonts w:ascii="Times" w:hAnsi="Times"/>
              </w:rPr>
            </w:pPr>
            <w:r w:rsidRPr="00C341C4">
              <w:rPr>
                <w:rFonts w:ascii="Times" w:hAnsi="Times"/>
              </w:rPr>
              <w:t>Main focus</w:t>
            </w:r>
          </w:p>
        </w:tc>
        <w:tc>
          <w:tcPr>
            <w:tcW w:w="8482" w:type="dxa"/>
            <w:vAlign w:val="center"/>
          </w:tcPr>
          <w:p w14:paraId="04681526" w14:textId="77777777" w:rsidR="00971D1D" w:rsidRPr="00C341C4" w:rsidRDefault="00971D1D" w:rsidP="002B5106">
            <w:pPr>
              <w:ind w:right="661"/>
              <w:rPr>
                <w:rFonts w:ascii="Times" w:hAnsi="Times"/>
                <w:color w:val="000000"/>
              </w:rPr>
            </w:pPr>
            <w:r w:rsidRPr="00C341C4">
              <w:rPr>
                <w:rFonts w:ascii="Times" w:hAnsi="Times"/>
                <w:color w:val="000000"/>
              </w:rPr>
              <w:t>The authors considered psychiatric outpatients to be overdiagnosed with bipolar disorder if they had previously received a bipolar disorder diagnosis but a current structured interview assigned a different diagnosis.</w:t>
            </w:r>
          </w:p>
          <w:p w14:paraId="27FFF6FF" w14:textId="77777777" w:rsidR="00971D1D" w:rsidRPr="00C341C4" w:rsidRDefault="00971D1D" w:rsidP="002B5106">
            <w:pPr>
              <w:ind w:right="661"/>
              <w:rPr>
                <w:rFonts w:ascii="Times" w:hAnsi="Times"/>
                <w:color w:val="000000"/>
              </w:rPr>
            </w:pPr>
          </w:p>
        </w:tc>
      </w:tr>
      <w:tr w:rsidR="00971D1D" w:rsidRPr="00C341C4" w14:paraId="457154BF" w14:textId="77777777" w:rsidTr="002B5106">
        <w:tc>
          <w:tcPr>
            <w:tcW w:w="14152" w:type="dxa"/>
            <w:gridSpan w:val="5"/>
            <w:tcBorders>
              <w:top w:val="single" w:sz="18" w:space="0" w:color="auto"/>
              <w:bottom w:val="single" w:sz="18" w:space="0" w:color="auto"/>
            </w:tcBorders>
          </w:tcPr>
          <w:p w14:paraId="7A1841B5" w14:textId="77777777" w:rsidR="00971D1D" w:rsidRPr="00C341C4" w:rsidRDefault="00971D1D" w:rsidP="002B5106">
            <w:pPr>
              <w:rPr>
                <w:rFonts w:ascii="Times" w:hAnsi="Times"/>
              </w:rPr>
            </w:pPr>
          </w:p>
          <w:p w14:paraId="0F9DB1A5" w14:textId="77777777" w:rsidR="00971D1D" w:rsidRPr="00C341C4" w:rsidRDefault="00971D1D" w:rsidP="002B5106">
            <w:pPr>
              <w:rPr>
                <w:rFonts w:ascii="Times" w:hAnsi="Times"/>
                <w:b/>
              </w:rPr>
            </w:pPr>
            <w:r w:rsidRPr="00C341C4">
              <w:rPr>
                <w:rFonts w:ascii="Times" w:hAnsi="Times"/>
                <w:b/>
              </w:rPr>
              <w:t>Misdiagnosis –diagnostic criteria not met</w:t>
            </w:r>
          </w:p>
          <w:p w14:paraId="2FB4C835" w14:textId="77777777" w:rsidR="00971D1D" w:rsidRPr="00C341C4" w:rsidRDefault="00971D1D" w:rsidP="002B5106">
            <w:pPr>
              <w:rPr>
                <w:rFonts w:ascii="Times" w:hAnsi="Times"/>
              </w:rPr>
            </w:pPr>
          </w:p>
        </w:tc>
      </w:tr>
      <w:tr w:rsidR="00971D1D" w:rsidRPr="00C341C4" w14:paraId="3A81B1C4" w14:textId="77777777" w:rsidTr="002B5106">
        <w:tc>
          <w:tcPr>
            <w:tcW w:w="1565" w:type="dxa"/>
            <w:tcBorders>
              <w:top w:val="single" w:sz="18" w:space="0" w:color="auto"/>
            </w:tcBorders>
            <w:vAlign w:val="center"/>
          </w:tcPr>
          <w:p w14:paraId="27CD05C5" w14:textId="77777777" w:rsidR="00971D1D" w:rsidRPr="00C341C4" w:rsidRDefault="00971D1D" w:rsidP="002B5106">
            <w:pPr>
              <w:rPr>
                <w:rFonts w:ascii="Times" w:hAnsi="Times"/>
                <w:color w:val="000000"/>
              </w:rPr>
            </w:pPr>
            <w:r w:rsidRPr="00C341C4">
              <w:rPr>
                <w:rFonts w:ascii="Times" w:hAnsi="Times"/>
                <w:color w:val="000000"/>
              </w:rPr>
              <w:t>Aragonès [35]</w:t>
            </w:r>
          </w:p>
          <w:p w14:paraId="7F631CFF" w14:textId="77777777" w:rsidR="00971D1D" w:rsidRPr="00C341C4" w:rsidRDefault="00971D1D" w:rsidP="002B5106">
            <w:pPr>
              <w:rPr>
                <w:rFonts w:ascii="Times" w:hAnsi="Times"/>
                <w:color w:val="000000"/>
              </w:rPr>
            </w:pPr>
          </w:p>
        </w:tc>
        <w:tc>
          <w:tcPr>
            <w:tcW w:w="843" w:type="dxa"/>
            <w:tcBorders>
              <w:top w:val="single" w:sz="18" w:space="0" w:color="auto"/>
            </w:tcBorders>
            <w:vAlign w:val="center"/>
          </w:tcPr>
          <w:p w14:paraId="185C58F4" w14:textId="77777777" w:rsidR="00971D1D" w:rsidRPr="00C341C4" w:rsidRDefault="00971D1D" w:rsidP="002B5106">
            <w:pPr>
              <w:rPr>
                <w:rFonts w:ascii="Times" w:hAnsi="Times"/>
              </w:rPr>
            </w:pPr>
            <w:r w:rsidRPr="00C341C4">
              <w:rPr>
                <w:rFonts w:ascii="Times" w:hAnsi="Times"/>
                <w:color w:val="000000"/>
              </w:rPr>
              <w:t>2006</w:t>
            </w:r>
          </w:p>
        </w:tc>
        <w:tc>
          <w:tcPr>
            <w:tcW w:w="1508" w:type="dxa"/>
            <w:tcBorders>
              <w:top w:val="single" w:sz="18" w:space="0" w:color="auto"/>
            </w:tcBorders>
            <w:vAlign w:val="center"/>
          </w:tcPr>
          <w:p w14:paraId="29CD34ED" w14:textId="77777777" w:rsidR="00971D1D" w:rsidRPr="00C341C4" w:rsidRDefault="00971D1D" w:rsidP="002B5106">
            <w:pPr>
              <w:rPr>
                <w:rFonts w:ascii="Times" w:hAnsi="Times"/>
              </w:rPr>
            </w:pPr>
            <w:r w:rsidRPr="00C341C4">
              <w:rPr>
                <w:rFonts w:ascii="Times" w:hAnsi="Times"/>
              </w:rPr>
              <w:t>Primary Research</w:t>
            </w:r>
          </w:p>
        </w:tc>
        <w:tc>
          <w:tcPr>
            <w:tcW w:w="1754" w:type="dxa"/>
            <w:tcBorders>
              <w:top w:val="single" w:sz="18" w:space="0" w:color="auto"/>
            </w:tcBorders>
            <w:vAlign w:val="center"/>
          </w:tcPr>
          <w:p w14:paraId="407428FC" w14:textId="77777777" w:rsidR="00971D1D" w:rsidRPr="00C341C4" w:rsidRDefault="00971D1D" w:rsidP="002B5106">
            <w:pPr>
              <w:rPr>
                <w:rFonts w:ascii="Times" w:hAnsi="Times"/>
              </w:rPr>
            </w:pPr>
            <w:r w:rsidRPr="00C341C4">
              <w:rPr>
                <w:rFonts w:ascii="Times" w:hAnsi="Times"/>
              </w:rPr>
              <w:t>Main focus</w:t>
            </w:r>
          </w:p>
        </w:tc>
        <w:tc>
          <w:tcPr>
            <w:tcW w:w="8482" w:type="dxa"/>
            <w:tcBorders>
              <w:top w:val="single" w:sz="18" w:space="0" w:color="auto"/>
            </w:tcBorders>
            <w:vAlign w:val="center"/>
          </w:tcPr>
          <w:p w14:paraId="435530ED" w14:textId="77777777" w:rsidR="00971D1D" w:rsidRPr="00C341C4" w:rsidRDefault="00971D1D" w:rsidP="002B5106">
            <w:pPr>
              <w:ind w:right="661"/>
              <w:rPr>
                <w:rFonts w:ascii="Times" w:hAnsi="Times"/>
                <w:color w:val="000000"/>
              </w:rPr>
            </w:pPr>
            <w:r w:rsidRPr="00C341C4">
              <w:rPr>
                <w:rFonts w:ascii="Times" w:hAnsi="Times"/>
                <w:color w:val="000000"/>
              </w:rPr>
              <w:t>The authors compared diagnoses of depression in Spanish primary care settings to diagnoses based on a validated semi-structured clinical interview and concluded that depression was being overdiagnosed because a high percentage of those diagnosed by physicians did not meet diagnostic criteria.</w:t>
            </w:r>
          </w:p>
          <w:p w14:paraId="3642C4B9" w14:textId="77777777" w:rsidR="00971D1D" w:rsidRPr="00C341C4" w:rsidRDefault="00971D1D" w:rsidP="002B5106">
            <w:pPr>
              <w:ind w:right="661"/>
              <w:rPr>
                <w:rFonts w:ascii="Times" w:hAnsi="Times"/>
                <w:color w:val="000000"/>
              </w:rPr>
            </w:pPr>
          </w:p>
        </w:tc>
      </w:tr>
      <w:tr w:rsidR="00971D1D" w:rsidRPr="00C341C4" w14:paraId="59B82463" w14:textId="77777777" w:rsidTr="002B5106">
        <w:tc>
          <w:tcPr>
            <w:tcW w:w="1565" w:type="dxa"/>
            <w:tcBorders>
              <w:bottom w:val="single" w:sz="18" w:space="0" w:color="auto"/>
            </w:tcBorders>
            <w:vAlign w:val="center"/>
          </w:tcPr>
          <w:p w14:paraId="1C8D8DC3" w14:textId="77777777" w:rsidR="00971D1D" w:rsidRPr="00C341C4" w:rsidRDefault="00971D1D" w:rsidP="002B5106">
            <w:pPr>
              <w:rPr>
                <w:rFonts w:ascii="Times" w:hAnsi="Times"/>
                <w:color w:val="000000"/>
              </w:rPr>
            </w:pPr>
            <w:r w:rsidRPr="00C341C4">
              <w:rPr>
                <w:rFonts w:ascii="Times" w:hAnsi="Times"/>
                <w:color w:val="000000"/>
              </w:rPr>
              <w:t>Mojtabai [36]</w:t>
            </w:r>
          </w:p>
          <w:p w14:paraId="7D843858" w14:textId="77777777" w:rsidR="00971D1D" w:rsidRPr="00C341C4" w:rsidRDefault="00971D1D" w:rsidP="002B5106">
            <w:pPr>
              <w:rPr>
                <w:rFonts w:ascii="Times" w:hAnsi="Times"/>
                <w:color w:val="000000"/>
              </w:rPr>
            </w:pPr>
          </w:p>
        </w:tc>
        <w:tc>
          <w:tcPr>
            <w:tcW w:w="843" w:type="dxa"/>
            <w:tcBorders>
              <w:bottom w:val="single" w:sz="18" w:space="0" w:color="auto"/>
            </w:tcBorders>
            <w:vAlign w:val="center"/>
          </w:tcPr>
          <w:p w14:paraId="5472853F" w14:textId="77777777" w:rsidR="00971D1D" w:rsidRPr="00C341C4" w:rsidRDefault="00971D1D" w:rsidP="002B5106">
            <w:pPr>
              <w:rPr>
                <w:rFonts w:ascii="Times" w:hAnsi="Times"/>
                <w:color w:val="000000"/>
              </w:rPr>
            </w:pPr>
            <w:r w:rsidRPr="00C341C4">
              <w:rPr>
                <w:rFonts w:ascii="Times" w:hAnsi="Times"/>
                <w:color w:val="000000"/>
              </w:rPr>
              <w:t>2013</w:t>
            </w:r>
          </w:p>
        </w:tc>
        <w:tc>
          <w:tcPr>
            <w:tcW w:w="1508" w:type="dxa"/>
            <w:tcBorders>
              <w:bottom w:val="single" w:sz="18" w:space="0" w:color="auto"/>
            </w:tcBorders>
            <w:vAlign w:val="center"/>
          </w:tcPr>
          <w:p w14:paraId="486EB6B3" w14:textId="77777777" w:rsidR="00971D1D" w:rsidRPr="00C341C4" w:rsidRDefault="00971D1D" w:rsidP="002B5106">
            <w:pPr>
              <w:rPr>
                <w:rFonts w:ascii="Times" w:hAnsi="Times"/>
              </w:rPr>
            </w:pPr>
            <w:r w:rsidRPr="00C341C4">
              <w:rPr>
                <w:rFonts w:ascii="Times" w:hAnsi="Times"/>
              </w:rPr>
              <w:t>Primary Research</w:t>
            </w:r>
          </w:p>
        </w:tc>
        <w:tc>
          <w:tcPr>
            <w:tcW w:w="1754" w:type="dxa"/>
            <w:tcBorders>
              <w:bottom w:val="single" w:sz="18" w:space="0" w:color="auto"/>
            </w:tcBorders>
            <w:vAlign w:val="center"/>
          </w:tcPr>
          <w:p w14:paraId="5A63D1AF" w14:textId="77777777" w:rsidR="00971D1D" w:rsidRPr="00C341C4" w:rsidRDefault="00971D1D" w:rsidP="002B5106">
            <w:pPr>
              <w:rPr>
                <w:rFonts w:ascii="Times" w:hAnsi="Times"/>
                <w:color w:val="000000"/>
              </w:rPr>
            </w:pPr>
            <w:r w:rsidRPr="00C341C4">
              <w:rPr>
                <w:rFonts w:ascii="Times" w:hAnsi="Times"/>
              </w:rPr>
              <w:t>Main focus</w:t>
            </w:r>
          </w:p>
        </w:tc>
        <w:tc>
          <w:tcPr>
            <w:tcW w:w="8482" w:type="dxa"/>
            <w:tcBorders>
              <w:bottom w:val="single" w:sz="18" w:space="0" w:color="auto"/>
            </w:tcBorders>
            <w:vAlign w:val="center"/>
          </w:tcPr>
          <w:p w14:paraId="42700C8D" w14:textId="77777777" w:rsidR="00971D1D" w:rsidRPr="00C341C4" w:rsidRDefault="00971D1D" w:rsidP="002B5106">
            <w:pPr>
              <w:ind w:right="661"/>
              <w:rPr>
                <w:rFonts w:ascii="Times" w:hAnsi="Times"/>
                <w:color w:val="000000"/>
              </w:rPr>
            </w:pPr>
            <w:r w:rsidRPr="00C341C4">
              <w:rPr>
                <w:rFonts w:ascii="Times" w:hAnsi="Times"/>
                <w:color w:val="000000"/>
              </w:rPr>
              <w:t>The author compared the number of people with clinician diagnoses and treatment for depression in a large community sample with the number who met 12-month criteria based on a structured diagnostic interview and concluded that overdiagnosis and overtreatment were common.</w:t>
            </w:r>
          </w:p>
          <w:p w14:paraId="5F9E5F3A" w14:textId="77777777" w:rsidR="00971D1D" w:rsidRPr="00C341C4" w:rsidRDefault="00971D1D" w:rsidP="002B5106">
            <w:pPr>
              <w:ind w:right="661"/>
              <w:rPr>
                <w:rFonts w:ascii="Times" w:hAnsi="Times"/>
                <w:color w:val="000000"/>
              </w:rPr>
            </w:pPr>
          </w:p>
        </w:tc>
      </w:tr>
      <w:tr w:rsidR="00971D1D" w:rsidRPr="00C341C4" w14:paraId="3B4CCB9F" w14:textId="77777777" w:rsidTr="002B5106">
        <w:tc>
          <w:tcPr>
            <w:tcW w:w="14152" w:type="dxa"/>
            <w:gridSpan w:val="5"/>
            <w:tcBorders>
              <w:top w:val="single" w:sz="18" w:space="0" w:color="auto"/>
              <w:bottom w:val="single" w:sz="18" w:space="0" w:color="auto"/>
            </w:tcBorders>
          </w:tcPr>
          <w:p w14:paraId="0858CE86" w14:textId="77777777" w:rsidR="00971D1D" w:rsidRPr="00C341C4" w:rsidRDefault="00971D1D" w:rsidP="002B5106">
            <w:pPr>
              <w:rPr>
                <w:rFonts w:ascii="Times" w:hAnsi="Times"/>
                <w:color w:val="000000"/>
              </w:rPr>
            </w:pPr>
          </w:p>
          <w:p w14:paraId="51F79503" w14:textId="77777777" w:rsidR="00971D1D" w:rsidRPr="00C341C4" w:rsidRDefault="00971D1D" w:rsidP="002B5106">
            <w:pPr>
              <w:rPr>
                <w:rFonts w:ascii="Times" w:hAnsi="Times"/>
                <w:b/>
                <w:color w:val="000000"/>
              </w:rPr>
            </w:pPr>
            <w:r w:rsidRPr="00C341C4">
              <w:rPr>
                <w:rFonts w:ascii="Times" w:hAnsi="Times"/>
                <w:b/>
                <w:color w:val="000000"/>
              </w:rPr>
              <w:t xml:space="preserve">False positive test results </w:t>
            </w:r>
          </w:p>
          <w:p w14:paraId="221C85FC" w14:textId="77777777" w:rsidR="00971D1D" w:rsidRPr="00C341C4" w:rsidRDefault="00971D1D" w:rsidP="002B5106">
            <w:pPr>
              <w:rPr>
                <w:rFonts w:ascii="Times" w:hAnsi="Times"/>
                <w:color w:val="000000"/>
              </w:rPr>
            </w:pPr>
          </w:p>
        </w:tc>
      </w:tr>
      <w:tr w:rsidR="00971D1D" w:rsidRPr="00C341C4" w14:paraId="579AB67E" w14:textId="77777777" w:rsidTr="002B5106">
        <w:tc>
          <w:tcPr>
            <w:tcW w:w="1565" w:type="dxa"/>
            <w:tcBorders>
              <w:top w:val="single" w:sz="18" w:space="0" w:color="auto"/>
            </w:tcBorders>
            <w:vAlign w:val="center"/>
          </w:tcPr>
          <w:p w14:paraId="0C2C59A6" w14:textId="77777777" w:rsidR="00971D1D" w:rsidRPr="00C341C4" w:rsidRDefault="00971D1D" w:rsidP="002B5106">
            <w:pPr>
              <w:rPr>
                <w:rFonts w:ascii="Times" w:hAnsi="Times"/>
                <w:color w:val="000000"/>
              </w:rPr>
            </w:pPr>
            <w:r w:rsidRPr="00C341C4">
              <w:rPr>
                <w:rFonts w:ascii="Times" w:hAnsi="Times"/>
                <w:color w:val="000000"/>
              </w:rPr>
              <w:t>Flynn [37]</w:t>
            </w:r>
          </w:p>
          <w:p w14:paraId="1C77E257" w14:textId="77777777" w:rsidR="00971D1D" w:rsidRPr="00C341C4" w:rsidRDefault="00971D1D" w:rsidP="002B5106">
            <w:pPr>
              <w:rPr>
                <w:rFonts w:ascii="Times" w:hAnsi="Times"/>
                <w:color w:val="000000"/>
              </w:rPr>
            </w:pPr>
          </w:p>
        </w:tc>
        <w:tc>
          <w:tcPr>
            <w:tcW w:w="843" w:type="dxa"/>
            <w:tcBorders>
              <w:top w:val="single" w:sz="18" w:space="0" w:color="auto"/>
            </w:tcBorders>
            <w:vAlign w:val="center"/>
          </w:tcPr>
          <w:p w14:paraId="3E32DD73" w14:textId="77777777" w:rsidR="00971D1D" w:rsidRPr="00C341C4" w:rsidRDefault="00971D1D" w:rsidP="002B5106">
            <w:pPr>
              <w:rPr>
                <w:rFonts w:ascii="Times" w:hAnsi="Times"/>
                <w:color w:val="000000"/>
              </w:rPr>
            </w:pPr>
            <w:r w:rsidRPr="00C341C4">
              <w:rPr>
                <w:rFonts w:ascii="Times" w:hAnsi="Times"/>
                <w:color w:val="000000"/>
              </w:rPr>
              <w:t>1995</w:t>
            </w:r>
          </w:p>
        </w:tc>
        <w:tc>
          <w:tcPr>
            <w:tcW w:w="1508" w:type="dxa"/>
            <w:tcBorders>
              <w:top w:val="single" w:sz="18" w:space="0" w:color="auto"/>
            </w:tcBorders>
            <w:vAlign w:val="center"/>
          </w:tcPr>
          <w:p w14:paraId="4066674F" w14:textId="77777777" w:rsidR="00971D1D" w:rsidRPr="00C341C4" w:rsidRDefault="00971D1D" w:rsidP="002B5106">
            <w:pPr>
              <w:rPr>
                <w:rFonts w:ascii="Times" w:hAnsi="Times"/>
                <w:color w:val="000000"/>
              </w:rPr>
            </w:pPr>
            <w:r w:rsidRPr="00C341C4">
              <w:rPr>
                <w:rFonts w:ascii="Times" w:hAnsi="Times"/>
                <w:color w:val="000000"/>
              </w:rPr>
              <w:t>Narrative Review</w:t>
            </w:r>
          </w:p>
        </w:tc>
        <w:tc>
          <w:tcPr>
            <w:tcW w:w="1754" w:type="dxa"/>
            <w:tcBorders>
              <w:top w:val="single" w:sz="18" w:space="0" w:color="auto"/>
            </w:tcBorders>
            <w:vAlign w:val="center"/>
          </w:tcPr>
          <w:p w14:paraId="33961612" w14:textId="77777777" w:rsidR="00971D1D" w:rsidRPr="00C341C4" w:rsidRDefault="00971D1D" w:rsidP="002B5106">
            <w:pPr>
              <w:rPr>
                <w:rFonts w:ascii="Times" w:hAnsi="Times"/>
              </w:rPr>
            </w:pPr>
            <w:r w:rsidRPr="00C341C4">
              <w:rPr>
                <w:rFonts w:ascii="Times" w:hAnsi="Times"/>
                <w:color w:val="000000"/>
              </w:rPr>
              <w:t>Addressed – not main focus</w:t>
            </w:r>
          </w:p>
        </w:tc>
        <w:tc>
          <w:tcPr>
            <w:tcW w:w="8482" w:type="dxa"/>
            <w:tcBorders>
              <w:top w:val="single" w:sz="18" w:space="0" w:color="auto"/>
            </w:tcBorders>
            <w:vAlign w:val="center"/>
          </w:tcPr>
          <w:p w14:paraId="1FD9783F" w14:textId="77777777" w:rsidR="00971D1D" w:rsidRPr="00C341C4" w:rsidRDefault="00971D1D" w:rsidP="002B5106">
            <w:pPr>
              <w:ind w:right="661"/>
              <w:rPr>
                <w:rFonts w:ascii="Times" w:hAnsi="Times"/>
                <w:color w:val="000000"/>
              </w:rPr>
            </w:pPr>
            <w:r w:rsidRPr="00C341C4">
              <w:rPr>
                <w:rFonts w:ascii="Times" w:hAnsi="Times"/>
                <w:color w:val="000000"/>
              </w:rPr>
              <w:t>The authors reported that the Millon Clinical Multiaxial Inventory is thought to overdiagnose psychiatric disorders because it generates false-positive diagnoses, but cautioned that this would be expected procedurally when the tool is used for screening, when it is administered to large groups of people, or when it is used to establish base rate prevalence.</w:t>
            </w:r>
          </w:p>
          <w:p w14:paraId="74E6DC34" w14:textId="77777777" w:rsidR="00971D1D" w:rsidRPr="00C341C4" w:rsidRDefault="00971D1D" w:rsidP="002B5106">
            <w:pPr>
              <w:ind w:right="661"/>
              <w:rPr>
                <w:rFonts w:ascii="Times" w:hAnsi="Times"/>
                <w:color w:val="000000"/>
              </w:rPr>
            </w:pPr>
          </w:p>
        </w:tc>
      </w:tr>
      <w:tr w:rsidR="00971D1D" w:rsidRPr="00C341C4" w14:paraId="2EF5806E" w14:textId="77777777" w:rsidTr="002B5106">
        <w:tc>
          <w:tcPr>
            <w:tcW w:w="1565" w:type="dxa"/>
            <w:tcBorders>
              <w:bottom w:val="single" w:sz="18" w:space="0" w:color="auto"/>
            </w:tcBorders>
            <w:vAlign w:val="center"/>
          </w:tcPr>
          <w:p w14:paraId="6557E680" w14:textId="77777777" w:rsidR="00971D1D" w:rsidRPr="00C341C4" w:rsidRDefault="00971D1D" w:rsidP="002B5106">
            <w:pPr>
              <w:rPr>
                <w:rFonts w:ascii="Times" w:hAnsi="Times"/>
                <w:color w:val="000000"/>
              </w:rPr>
            </w:pPr>
            <w:r w:rsidRPr="00C341C4">
              <w:rPr>
                <w:rFonts w:ascii="Times" w:hAnsi="Times"/>
                <w:color w:val="000000"/>
              </w:rPr>
              <w:t>Scott [38]</w:t>
            </w:r>
          </w:p>
          <w:p w14:paraId="78329776" w14:textId="77777777" w:rsidR="00971D1D" w:rsidRPr="00C341C4" w:rsidRDefault="00971D1D" w:rsidP="002B5106">
            <w:pPr>
              <w:rPr>
                <w:rFonts w:ascii="Times" w:hAnsi="Times"/>
                <w:color w:val="000000"/>
              </w:rPr>
            </w:pPr>
          </w:p>
        </w:tc>
        <w:tc>
          <w:tcPr>
            <w:tcW w:w="843" w:type="dxa"/>
            <w:tcBorders>
              <w:bottom w:val="single" w:sz="18" w:space="0" w:color="auto"/>
            </w:tcBorders>
            <w:vAlign w:val="center"/>
          </w:tcPr>
          <w:p w14:paraId="47E97756" w14:textId="77777777" w:rsidR="00971D1D" w:rsidRPr="00C341C4" w:rsidRDefault="00971D1D" w:rsidP="002B5106">
            <w:pPr>
              <w:rPr>
                <w:rFonts w:ascii="Times" w:hAnsi="Times"/>
                <w:color w:val="000000"/>
              </w:rPr>
            </w:pPr>
            <w:r w:rsidRPr="00C341C4">
              <w:rPr>
                <w:rFonts w:ascii="Times" w:hAnsi="Times"/>
                <w:color w:val="000000"/>
              </w:rPr>
              <w:t>2011</w:t>
            </w:r>
          </w:p>
        </w:tc>
        <w:tc>
          <w:tcPr>
            <w:tcW w:w="1508" w:type="dxa"/>
            <w:tcBorders>
              <w:bottom w:val="single" w:sz="18" w:space="0" w:color="auto"/>
            </w:tcBorders>
            <w:vAlign w:val="center"/>
          </w:tcPr>
          <w:p w14:paraId="6294069E" w14:textId="77777777" w:rsidR="00971D1D" w:rsidRPr="00C341C4" w:rsidRDefault="00971D1D" w:rsidP="002B5106">
            <w:pPr>
              <w:rPr>
                <w:rFonts w:ascii="Times" w:hAnsi="Times"/>
              </w:rPr>
            </w:pPr>
            <w:r w:rsidRPr="00C341C4">
              <w:rPr>
                <w:rFonts w:ascii="Times" w:hAnsi="Times"/>
              </w:rPr>
              <w:t>Primary Research</w:t>
            </w:r>
          </w:p>
        </w:tc>
        <w:tc>
          <w:tcPr>
            <w:tcW w:w="1754" w:type="dxa"/>
            <w:tcBorders>
              <w:bottom w:val="single" w:sz="18" w:space="0" w:color="auto"/>
            </w:tcBorders>
            <w:vAlign w:val="center"/>
          </w:tcPr>
          <w:p w14:paraId="63CEB636" w14:textId="77777777" w:rsidR="00971D1D" w:rsidRPr="00C341C4" w:rsidRDefault="00971D1D" w:rsidP="002B5106">
            <w:pPr>
              <w:rPr>
                <w:rFonts w:ascii="Times" w:hAnsi="Times"/>
                <w:color w:val="000000"/>
              </w:rPr>
            </w:pPr>
            <w:r w:rsidRPr="00C341C4">
              <w:rPr>
                <w:rFonts w:ascii="Times" w:hAnsi="Times"/>
              </w:rPr>
              <w:t>Main focus</w:t>
            </w:r>
          </w:p>
        </w:tc>
        <w:tc>
          <w:tcPr>
            <w:tcW w:w="8482" w:type="dxa"/>
            <w:tcBorders>
              <w:bottom w:val="single" w:sz="18" w:space="0" w:color="auto"/>
            </w:tcBorders>
            <w:vAlign w:val="center"/>
          </w:tcPr>
          <w:p w14:paraId="0C311527" w14:textId="77777777" w:rsidR="00971D1D" w:rsidRPr="00C341C4" w:rsidRDefault="00971D1D" w:rsidP="002B5106">
            <w:pPr>
              <w:ind w:right="661"/>
              <w:rPr>
                <w:rFonts w:ascii="Times" w:hAnsi="Times"/>
                <w:color w:val="000000"/>
              </w:rPr>
            </w:pPr>
            <w:r w:rsidRPr="00C341C4">
              <w:rPr>
                <w:rFonts w:ascii="Times" w:hAnsi="Times"/>
                <w:color w:val="000000"/>
              </w:rPr>
              <w:t xml:space="preserve">The authors examined the diagnosis of depression in former injection drug users with Hepatitis C and concluded that two screening tests, the Patient Health Questionnaire-9 and the Beck Depression Inventory, </w:t>
            </w:r>
            <w:proofErr w:type="gramStart"/>
            <w:r w:rsidRPr="00C341C4">
              <w:rPr>
                <w:rFonts w:ascii="Times" w:hAnsi="Times"/>
                <w:color w:val="000000"/>
              </w:rPr>
              <w:t>had a tendency to</w:t>
            </w:r>
            <w:proofErr w:type="gramEnd"/>
            <w:r w:rsidRPr="00C341C4">
              <w:rPr>
                <w:rFonts w:ascii="Times" w:hAnsi="Times"/>
                <w:color w:val="000000"/>
              </w:rPr>
              <w:t xml:space="preserve"> </w:t>
            </w:r>
            <w:r w:rsidRPr="00C341C4">
              <w:rPr>
                <w:rFonts w:ascii="Times" w:hAnsi="Times"/>
                <w:color w:val="000000"/>
              </w:rPr>
              <w:lastRenderedPageBreak/>
              <w:t>overdiagnose depression because they classified more patients as depressed relative to diagnostic interviews.</w:t>
            </w:r>
          </w:p>
          <w:p w14:paraId="52054359" w14:textId="77777777" w:rsidR="00971D1D" w:rsidRPr="00C341C4" w:rsidRDefault="00971D1D" w:rsidP="002B5106">
            <w:pPr>
              <w:ind w:right="661"/>
              <w:rPr>
                <w:rFonts w:ascii="Times" w:hAnsi="Times"/>
                <w:color w:val="000000"/>
              </w:rPr>
            </w:pPr>
          </w:p>
        </w:tc>
      </w:tr>
    </w:tbl>
    <w:p w14:paraId="1B4CC04C" w14:textId="77777777" w:rsidR="00971D1D" w:rsidRPr="00C341C4" w:rsidRDefault="00971D1D" w:rsidP="00971D1D">
      <w:pPr>
        <w:rPr>
          <w:rFonts w:ascii="Times" w:hAnsi="Times" w:cs="Times"/>
          <w:b/>
          <w:lang w:val="en-GB"/>
        </w:rPr>
      </w:pPr>
      <w:r w:rsidRPr="00C341C4">
        <w:rPr>
          <w:rFonts w:ascii="Times" w:hAnsi="Times" w:cs="Times"/>
          <w:b/>
          <w:lang w:val="en-GB"/>
        </w:rPr>
        <w:lastRenderedPageBreak/>
        <w:br w:type="page"/>
      </w:r>
    </w:p>
    <w:p w14:paraId="4AD6B0A4" w14:textId="77777777" w:rsidR="004A7D21" w:rsidRDefault="003D520D"/>
    <w:sectPr w:rsidR="004A7D21" w:rsidSect="00971D1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1D"/>
    <w:rsid w:val="000F778B"/>
    <w:rsid w:val="001B087F"/>
    <w:rsid w:val="001B1B77"/>
    <w:rsid w:val="003956B1"/>
    <w:rsid w:val="003D520D"/>
    <w:rsid w:val="00574882"/>
    <w:rsid w:val="009245B7"/>
    <w:rsid w:val="00971D1D"/>
    <w:rsid w:val="00977417"/>
    <w:rsid w:val="0098019E"/>
    <w:rsid w:val="00A42C26"/>
    <w:rsid w:val="00B66C64"/>
    <w:rsid w:val="00C2670B"/>
    <w:rsid w:val="00CA33F6"/>
    <w:rsid w:val="00D17F36"/>
    <w:rsid w:val="00DA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2622"/>
  <w15:chartTrackingRefBased/>
  <w15:docId w15:val="{E8982D09-7582-7245-955B-A3642820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1D1D"/>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D1D"/>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 Dr.</dc:creator>
  <cp:keywords/>
  <dc:description/>
  <cp:lastModifiedBy>Brett Thombs, Dr.</cp:lastModifiedBy>
  <cp:revision>2</cp:revision>
  <dcterms:created xsi:type="dcterms:W3CDTF">2019-06-10T02:06:00Z</dcterms:created>
  <dcterms:modified xsi:type="dcterms:W3CDTF">2019-06-10T02:22:00Z</dcterms:modified>
</cp:coreProperties>
</file>