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576" w:rsidRDefault="00E9424B" w:rsidP="00BF457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51E0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BF4576" w:rsidRPr="00D151E0">
        <w:rPr>
          <w:rFonts w:ascii="Times New Roman" w:eastAsia="Times New Roman" w:hAnsi="Times New Roman" w:cs="Times New Roman"/>
          <w:b/>
          <w:bCs/>
          <w:sz w:val="24"/>
          <w:szCs w:val="24"/>
        </w:rPr>
        <w:t>upplementary</w:t>
      </w:r>
      <w:r w:rsidR="00BF45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Material</w:t>
      </w:r>
    </w:p>
    <w:p w:rsidR="00BF1B94" w:rsidRDefault="00BF1B94" w:rsidP="00BF457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70D" w:rsidRPr="00BF1B94" w:rsidRDefault="0038370D" w:rsidP="00BF4576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F1B94">
        <w:rPr>
          <w:rFonts w:ascii="Times New Roman" w:eastAsia="Times New Roman" w:hAnsi="Times New Roman" w:cs="Times New Roman"/>
          <w:bCs/>
          <w:i/>
          <w:sz w:val="24"/>
          <w:szCs w:val="24"/>
        </w:rPr>
        <w:t>M</w:t>
      </w:r>
      <w:r w:rsidR="00BF4576" w:rsidRPr="00BF1B94">
        <w:rPr>
          <w:rFonts w:ascii="Times New Roman" w:eastAsia="Times New Roman" w:hAnsi="Times New Roman" w:cs="Times New Roman"/>
          <w:bCs/>
          <w:i/>
          <w:sz w:val="24"/>
          <w:szCs w:val="24"/>
        </w:rPr>
        <w:t>ethods</w:t>
      </w:r>
    </w:p>
    <w:p w:rsidR="0038370D" w:rsidRPr="0091479E" w:rsidRDefault="0038370D" w:rsidP="000E592F">
      <w:pPr>
        <w:widowControl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1479E">
        <w:rPr>
          <w:rFonts w:ascii="Times New Roman" w:eastAsia="Times New Roman" w:hAnsi="Times New Roman" w:cs="Times New Roman"/>
          <w:sz w:val="24"/>
          <w:szCs w:val="24"/>
        </w:rPr>
        <w:t>Most Israeli civilians undergo a routine medical evaluation and fitness-for-servi</w:t>
      </w:r>
      <w:r w:rsidRPr="0012287E">
        <w:rPr>
          <w:rFonts w:ascii="Times New Roman" w:eastAsia="Times New Roman" w:hAnsi="Times New Roman" w:cs="Times New Roman"/>
          <w:sz w:val="24"/>
          <w:szCs w:val="24"/>
        </w:rPr>
        <w:t>ce (FFS)</w:t>
      </w:r>
      <w:r w:rsidRPr="0091479E">
        <w:rPr>
          <w:rFonts w:ascii="Times New Roman" w:eastAsia="Times New Roman" w:hAnsi="Times New Roman" w:cs="Times New Roman"/>
          <w:sz w:val="24"/>
          <w:szCs w:val="24"/>
        </w:rPr>
        <w:t xml:space="preserve"> classification as part of their military </w:t>
      </w:r>
      <w:proofErr w:type="spellStart"/>
      <w:r w:rsidRPr="0091479E">
        <w:rPr>
          <w:rFonts w:ascii="Times New Roman" w:eastAsia="Times New Roman" w:hAnsi="Times New Roman" w:cs="Times New Roman"/>
          <w:sz w:val="24"/>
          <w:szCs w:val="24"/>
        </w:rPr>
        <w:t>preconscription</w:t>
      </w:r>
      <w:proofErr w:type="spellEnd"/>
      <w:r w:rsidRPr="0091479E">
        <w:rPr>
          <w:rFonts w:ascii="Times New Roman" w:eastAsia="Times New Roman" w:hAnsi="Times New Roman" w:cs="Times New Roman"/>
          <w:sz w:val="24"/>
          <w:szCs w:val="24"/>
        </w:rPr>
        <w:t xml:space="preserve"> assessment. Th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91479E">
        <w:rPr>
          <w:rFonts w:ascii="Times New Roman" w:eastAsia="Times New Roman" w:hAnsi="Times New Roman" w:cs="Times New Roman"/>
          <w:sz w:val="24"/>
          <w:szCs w:val="24"/>
        </w:rPr>
        <w:t xml:space="preserve"> medical evaluation includes questionnaires filled out by the candidate and his/her family physician, a detailed anamnesis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1479E">
        <w:rPr>
          <w:rFonts w:ascii="Times New Roman" w:eastAsia="Times New Roman" w:hAnsi="Times New Roman" w:cs="Times New Roman"/>
          <w:sz w:val="24"/>
          <w:szCs w:val="24"/>
        </w:rPr>
        <w:t xml:space="preserve"> and a physical examination, as well as further examinations and consultations as required. Each individual’s height and weight</w:t>
      </w:r>
      <w:r w:rsidRPr="00914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91479E">
        <w:rPr>
          <w:rFonts w:ascii="Times New Roman" w:hAnsi="Times New Roman" w:cs="Times New Roman"/>
          <w:sz w:val="24"/>
          <w:szCs w:val="24"/>
        </w:rPr>
        <w:t xml:space="preserve"> measured (barefoot and in underwear) by trained technical medical personnel. The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91479E">
        <w:rPr>
          <w:rFonts w:ascii="Times New Roman" w:hAnsi="Times New Roman" w:cs="Times New Roman"/>
          <w:sz w:val="24"/>
          <w:szCs w:val="24"/>
        </w:rPr>
        <w:t xml:space="preserve"> measurements 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91479E">
        <w:rPr>
          <w:rFonts w:ascii="Times New Roman" w:hAnsi="Times New Roman" w:cs="Times New Roman"/>
          <w:sz w:val="24"/>
          <w:szCs w:val="24"/>
        </w:rPr>
        <w:t xml:space="preserve"> recorded and rounded to the nearest 0.5 kg for the weight and 1 cm for the height, after which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479E">
        <w:rPr>
          <w:rFonts w:ascii="Times New Roman" w:hAnsi="Times New Roman" w:cs="Times New Roman"/>
          <w:sz w:val="24"/>
          <w:szCs w:val="24"/>
        </w:rPr>
        <w:t xml:space="preserve"> the </w:t>
      </w:r>
      <w:r w:rsidR="000E592F">
        <w:rPr>
          <w:rFonts w:ascii="Times New Roman" w:hAnsi="Times New Roman" w:cs="Times New Roman"/>
          <w:sz w:val="24"/>
          <w:szCs w:val="24"/>
        </w:rPr>
        <w:t>body mass index (</w:t>
      </w:r>
      <w:r w:rsidRPr="0091479E">
        <w:rPr>
          <w:rFonts w:ascii="Times New Roman" w:hAnsi="Times New Roman" w:cs="Times New Roman"/>
          <w:sz w:val="24"/>
          <w:szCs w:val="24"/>
        </w:rPr>
        <w:t>BMI</w:t>
      </w:r>
      <w:r w:rsidR="000E592F">
        <w:rPr>
          <w:rFonts w:ascii="Times New Roman" w:hAnsi="Times New Roman" w:cs="Times New Roman"/>
          <w:sz w:val="24"/>
          <w:szCs w:val="24"/>
        </w:rPr>
        <w:t>)</w:t>
      </w:r>
      <w:r w:rsidRPr="00914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1479E">
        <w:rPr>
          <w:rFonts w:ascii="Times New Roman" w:hAnsi="Times New Roman" w:cs="Times New Roman"/>
          <w:sz w:val="24"/>
          <w:szCs w:val="24"/>
        </w:rPr>
        <w:t>s calculated (weight in kilograms divided by height in meters squared).</w:t>
      </w:r>
      <w:r w:rsidRPr="0091479E"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91479E">
        <w:rPr>
          <w:rFonts w:ascii="Times New Roman" w:eastAsia="Times New Roman" w:hAnsi="Times New Roman" w:cs="Times New Roman"/>
          <w:sz w:val="24"/>
          <w:szCs w:val="24"/>
        </w:rPr>
        <w:t xml:space="preserve"> medical evaluation results in one or more FFS numerical classification codes indicative of a medical diagnosis or similar diagnoses (grouped by pathogenesis) and a functional status, which are stored in the candidate’s medical records. From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 w:rsidRPr="0091479E">
        <w:rPr>
          <w:rFonts w:ascii="Times New Roman" w:eastAsia="Times New Roman" w:hAnsi="Times New Roman" w:cs="Times New Roman"/>
          <w:sz w:val="24"/>
          <w:szCs w:val="24"/>
        </w:rPr>
        <w:t xml:space="preserve"> conscript’s medical records, we retrieved the demographic details (gender, birth date, and ethnicity), FFS determination date, FFS codes, and BMI. In addition, the </w:t>
      </w:r>
      <w:r w:rsidRPr="00F20247">
        <w:rPr>
          <w:rFonts w:ascii="Times New Roman" w:eastAsia="Calibri" w:hAnsi="Times New Roman" w:cs="Times New Roman"/>
          <w:sz w:val="24"/>
          <w:szCs w:val="24"/>
        </w:rPr>
        <w:t>low</w:t>
      </w:r>
      <w:r w:rsidR="00BF4576">
        <w:rPr>
          <w:rFonts w:ascii="Times New Roman" w:eastAsia="Calibri" w:hAnsi="Times New Roman" w:cs="Times New Roman"/>
          <w:sz w:val="24"/>
          <w:szCs w:val="24"/>
        </w:rPr>
        <w:t>-</w:t>
      </w:r>
      <w:r w:rsidRPr="00F20247">
        <w:rPr>
          <w:rFonts w:ascii="Times New Roman" w:eastAsia="Calibri" w:hAnsi="Times New Roman" w:cs="Times New Roman"/>
          <w:sz w:val="24"/>
          <w:szCs w:val="24"/>
        </w:rPr>
        <w:t xml:space="preserve">density lipoprotein </w:t>
      </w:r>
      <w:r>
        <w:rPr>
          <w:rFonts w:ascii="Times New Roman" w:eastAsia="Calibri" w:hAnsi="Times New Roman" w:cs="Times New Roman"/>
          <w:sz w:val="24"/>
          <w:szCs w:val="24"/>
        </w:rPr>
        <w:t>cholesterol</w:t>
      </w:r>
      <w:r w:rsidRPr="00F20247">
        <w:rPr>
          <w:rFonts w:ascii="Times New Roman" w:eastAsia="Calibri" w:hAnsi="Times New Roman" w:cs="Times New Roman"/>
          <w:sz w:val="24"/>
          <w:szCs w:val="24"/>
        </w:rPr>
        <w:t>, high</w:t>
      </w:r>
      <w:r w:rsidR="00BF4576">
        <w:rPr>
          <w:rFonts w:ascii="Times New Roman" w:eastAsia="Calibri" w:hAnsi="Times New Roman" w:cs="Times New Roman"/>
          <w:sz w:val="24"/>
          <w:szCs w:val="24"/>
        </w:rPr>
        <w:t>-</w:t>
      </w:r>
      <w:r w:rsidRPr="00F20247">
        <w:rPr>
          <w:rFonts w:ascii="Times New Roman" w:eastAsia="Calibri" w:hAnsi="Times New Roman" w:cs="Times New Roman"/>
          <w:sz w:val="24"/>
          <w:szCs w:val="24"/>
        </w:rPr>
        <w:t xml:space="preserve">density lipoprotein </w:t>
      </w:r>
      <w:r>
        <w:rPr>
          <w:rFonts w:ascii="Times New Roman" w:eastAsia="Calibri" w:hAnsi="Times New Roman" w:cs="Times New Roman"/>
          <w:sz w:val="24"/>
          <w:szCs w:val="24"/>
        </w:rPr>
        <w:t>cholesterol</w:t>
      </w:r>
      <w:r w:rsidRPr="0091479E">
        <w:rPr>
          <w:rFonts w:ascii="Times New Roman" w:eastAsia="Calibri" w:hAnsi="Times New Roman" w:cs="Times New Roman"/>
          <w:sz w:val="24"/>
          <w:szCs w:val="24"/>
        </w:rPr>
        <w:t xml:space="preserve">, and triglyceride blood levels following 12 h of fasting were included if </w:t>
      </w:r>
      <w:r>
        <w:rPr>
          <w:rFonts w:ascii="Times New Roman" w:eastAsia="Calibri" w:hAnsi="Times New Roman" w:cs="Times New Roman"/>
          <w:sz w:val="24"/>
          <w:szCs w:val="24"/>
        </w:rPr>
        <w:t>they were measured during</w:t>
      </w:r>
      <w:r w:rsidRPr="0091479E">
        <w:rPr>
          <w:rFonts w:ascii="Times New Roman" w:eastAsia="Calibri" w:hAnsi="Times New Roman" w:cs="Times New Roman"/>
          <w:sz w:val="24"/>
          <w:szCs w:val="24"/>
        </w:rPr>
        <w:t xml:space="preserve"> military service. In those cases, we used the first measurements obtained during military service. </w:t>
      </w:r>
    </w:p>
    <w:p w:rsidR="0038370D" w:rsidRPr="0091479E" w:rsidRDefault="0038370D" w:rsidP="0038370D">
      <w:pPr>
        <w:widowControl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1479E">
        <w:rPr>
          <w:rFonts w:ascii="Times New Roman" w:eastAsia="Times New Roman" w:hAnsi="Times New Roman" w:cs="Times New Roman"/>
          <w:sz w:val="24"/>
          <w:szCs w:val="24"/>
        </w:rPr>
        <w:t xml:space="preserve">This study was approved by the </w:t>
      </w:r>
      <w:r w:rsidRPr="00F20247">
        <w:rPr>
          <w:rFonts w:ascii="Times New Roman" w:eastAsia="Times New Roman" w:hAnsi="Times New Roman" w:cs="Times New Roman"/>
          <w:sz w:val="24"/>
          <w:szCs w:val="24"/>
        </w:rPr>
        <w:t xml:space="preserve">Israel Defense </w:t>
      </w:r>
      <w:r w:rsidRPr="0012287E">
        <w:rPr>
          <w:rFonts w:ascii="Times New Roman" w:eastAsia="Times New Roman" w:hAnsi="Times New Roman" w:cs="Times New Roman"/>
          <w:sz w:val="24"/>
          <w:szCs w:val="24"/>
        </w:rPr>
        <w:t>Forces (IDF) Medical C</w:t>
      </w:r>
      <w:r w:rsidRPr="0091479E">
        <w:rPr>
          <w:rFonts w:ascii="Times New Roman" w:eastAsia="Times New Roman" w:hAnsi="Times New Roman" w:cs="Times New Roman"/>
          <w:sz w:val="24"/>
          <w:szCs w:val="24"/>
        </w:rPr>
        <w:t>orps Institutional Review Board.</w:t>
      </w:r>
    </w:p>
    <w:p w:rsidR="0038370D" w:rsidRPr="0091479E" w:rsidRDefault="0038370D" w:rsidP="0038370D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8370D" w:rsidRPr="00BF1B94" w:rsidRDefault="0038370D" w:rsidP="0038370D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BF1B9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Study Population </w:t>
      </w:r>
    </w:p>
    <w:p w:rsidR="0038370D" w:rsidRPr="0091479E" w:rsidRDefault="0038370D" w:rsidP="0038370D">
      <w:pPr>
        <w:widowControl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1479E">
        <w:rPr>
          <w:rFonts w:ascii="Times New Roman" w:eastAsia="Times New Roman" w:hAnsi="Times New Roman" w:cs="Times New Roman"/>
          <w:sz w:val="24"/>
          <w:szCs w:val="24"/>
        </w:rPr>
        <w:t xml:space="preserve">This was a cross-sectional retrospective study of Israeli teenagers that underwent medical evaluations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conducted </w:t>
      </w:r>
      <w:r w:rsidRPr="0091479E">
        <w:rPr>
          <w:rFonts w:ascii="Times New Roman" w:eastAsia="Times New Roman" w:hAnsi="Times New Roman" w:cs="Times New Roman"/>
          <w:sz w:val="24"/>
          <w:szCs w:val="24"/>
        </w:rPr>
        <w:t xml:space="preserve">by the IDF as part of their </w:t>
      </w:r>
      <w:proofErr w:type="spellStart"/>
      <w:r w:rsidRPr="0091479E">
        <w:rPr>
          <w:rFonts w:ascii="Times New Roman" w:eastAsia="Times New Roman" w:hAnsi="Times New Roman" w:cs="Times New Roman"/>
          <w:sz w:val="24"/>
          <w:szCs w:val="24"/>
        </w:rPr>
        <w:t>preconscription</w:t>
      </w:r>
      <w:proofErr w:type="spellEnd"/>
      <w:r w:rsidRPr="0091479E">
        <w:rPr>
          <w:rFonts w:ascii="Times New Roman" w:eastAsia="Times New Roman" w:hAnsi="Times New Roman" w:cs="Times New Roman"/>
          <w:sz w:val="24"/>
          <w:szCs w:val="24"/>
        </w:rPr>
        <w:t xml:space="preserve"> assessments from </w:t>
      </w:r>
      <w:r w:rsidRPr="0091479E">
        <w:rPr>
          <w:rFonts w:ascii="Times New Roman" w:hAnsi="Times New Roman" w:cs="Times New Roman"/>
          <w:sz w:val="24"/>
          <w:szCs w:val="24"/>
        </w:rPr>
        <w:t>January 1, 1999</w:t>
      </w:r>
      <w:r w:rsidR="00BF4576">
        <w:rPr>
          <w:rFonts w:ascii="Times New Roman" w:hAnsi="Times New Roman" w:cs="Times New Roman"/>
          <w:sz w:val="24"/>
          <w:szCs w:val="24"/>
        </w:rPr>
        <w:t>,</w:t>
      </w:r>
      <w:r w:rsidRPr="0091479E">
        <w:rPr>
          <w:rFonts w:ascii="Times New Roman" w:hAnsi="Times New Roman" w:cs="Times New Roman"/>
          <w:sz w:val="24"/>
          <w:szCs w:val="24"/>
        </w:rPr>
        <w:t xml:space="preserve"> through January 1, 2014</w:t>
      </w:r>
      <w:r w:rsidRPr="0091479E">
        <w:rPr>
          <w:rFonts w:ascii="Times New Roman" w:eastAsia="Times New Roman" w:hAnsi="Times New Roman" w:cs="Times New Roman"/>
          <w:sz w:val="24"/>
          <w:szCs w:val="24"/>
        </w:rPr>
        <w:t xml:space="preserve">. We included subjects </w:t>
      </w:r>
      <w:r w:rsidR="00BF4576">
        <w:rPr>
          <w:rFonts w:ascii="Times New Roman" w:eastAsia="Times New Roman" w:hAnsi="Times New Roman" w:cs="Times New Roman"/>
          <w:sz w:val="24"/>
          <w:szCs w:val="24"/>
        </w:rPr>
        <w:t>who</w:t>
      </w:r>
      <w:r w:rsidRPr="0091479E">
        <w:rPr>
          <w:rFonts w:ascii="Times New Roman" w:eastAsia="Times New Roman" w:hAnsi="Times New Roman" w:cs="Times New Roman"/>
          <w:sz w:val="24"/>
          <w:szCs w:val="24"/>
        </w:rPr>
        <w:t xml:space="preserve"> were 16–18 years old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the time of </w:t>
      </w:r>
      <w:r w:rsidRPr="0091479E">
        <w:rPr>
          <w:rFonts w:ascii="Times New Roman" w:eastAsia="Times New Roman" w:hAnsi="Times New Roman" w:cs="Times New Roman"/>
          <w:sz w:val="24"/>
          <w:szCs w:val="24"/>
        </w:rPr>
        <w:t xml:space="preserve">their medical evaluations. </w:t>
      </w:r>
      <w:r w:rsidRPr="0091479E">
        <w:rPr>
          <w:rFonts w:ascii="Times New Roman" w:hAnsi="Times New Roman" w:cs="Times New Roman"/>
          <w:sz w:val="24"/>
          <w:szCs w:val="24"/>
        </w:rPr>
        <w:t xml:space="preserve">Because orthodox and ultra-orthodox Jewish women and Druze women are exempt from military service, our study sample can be considered nationally representative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91479E">
        <w:rPr>
          <w:rFonts w:ascii="Times New Roman" w:hAnsi="Times New Roman" w:cs="Times New Roman"/>
          <w:sz w:val="24"/>
          <w:szCs w:val="24"/>
        </w:rPr>
        <w:t xml:space="preserve"> men and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479E">
        <w:rPr>
          <w:rFonts w:ascii="Times New Roman" w:hAnsi="Times New Roman" w:cs="Times New Roman"/>
          <w:sz w:val="24"/>
          <w:szCs w:val="24"/>
        </w:rPr>
        <w:t xml:space="preserve"> to a lesser extent, women</w:t>
      </w:r>
      <w:r w:rsidR="00BF4576">
        <w:rPr>
          <w:rFonts w:ascii="Times New Roman" w:hAnsi="Times New Roman" w:cs="Times New Roman"/>
          <w:sz w:val="24"/>
          <w:szCs w:val="24"/>
        </w:rPr>
        <w:t xml:space="preserve"> [</w:t>
      </w:r>
      <w:hyperlink w:anchor="_ENREF_15" w:tooltip="Twig, 2016 #13" w:history="1">
        <w:r w:rsidRPr="00BF45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4576">
          <w:rPr>
            <w:rFonts w:ascii="Times New Roman" w:hAnsi="Times New Roman" w:cs="Times New Roman"/>
            <w:sz w:val="24"/>
            <w:szCs w:val="24"/>
          </w:rPr>
          <w:instrText xml:space="preserve"> ADDIN EN.CITE &lt;EndNote&gt;&lt;Cite&gt;&lt;Author&gt;Twig&lt;/Author&gt;&lt;Year&gt;2016&lt;/Year&gt;&lt;RecNum&gt;13&lt;/RecNum&gt;&lt;DisplayText&gt;&lt;style face="superscript"&gt;15&lt;/style&gt;&lt;/DisplayText&gt;&lt;record&gt;&lt;rec-number&gt;13&lt;/rec-number&gt;&lt;foreign-keys&gt;&lt;key app="EN" db-id="sspxx9v56vvs5oe2f5av2e93vet2seev52as" timestamp="1546115650"&gt;13&lt;/key&gt;&lt;/foreign-keys&gt;&lt;ref-type name="Journal Article"&gt;17&lt;/ref-type&gt;&lt;contributors&gt;&lt;authors&gt;&lt;author&gt;Twig, Gilad&lt;/author&gt;&lt;author&gt;Yaniv, Gal&lt;/author&gt;&lt;author&gt;Levine, Hagai&lt;/author&gt;&lt;author&gt;Leiba, Adi&lt;/author&gt;&lt;author&gt;Goldberger, Nehama&lt;/author&gt;&lt;author&gt;Derazne, Estela&lt;/author&gt;&lt;author&gt;Ben-Ami Shor, Dana&lt;/author&gt;&lt;author&gt;Tzur, Dorit&lt;/author&gt;&lt;author&gt;Afek, Arnon&lt;/author&gt;&lt;author&gt;Shamiss, Ari&lt;/author&gt;&lt;/authors&gt;&lt;/contributors&gt;&lt;titles&gt;&lt;title&gt;Body-mass index in 2.3 million adolescents and cardiovascular death in adulthood&lt;/title&gt;&lt;secondary-title&gt;New England Journal of Medicine&lt;/secondary-title&gt;&lt;/titles&gt;&lt;periodical&gt;&lt;full-title&gt;New England Journal of Medicine&lt;/full-title&gt;&lt;/periodical&gt;&lt;pages&gt;2430-2440&lt;/pages&gt;&lt;volume&gt;374&lt;/volume&gt;&lt;number&gt;25&lt;/number&gt;&lt;dates&gt;&lt;year&gt;2016&lt;/year&gt;&lt;/dates&gt;&lt;isbn&gt;0028-4793&lt;/isbn&gt;&lt;urls&gt;&lt;/urls&gt;&lt;/record&gt;&lt;/Cite&gt;&lt;/EndNote&gt;</w:instrText>
        </w:r>
        <w:r w:rsidRPr="00BF45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F457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C657E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F4576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="00BF4576">
        <w:rPr>
          <w:rFonts w:ascii="Times New Roman" w:hAnsi="Times New Roman" w:cs="Times New Roman"/>
          <w:sz w:val="24"/>
          <w:szCs w:val="24"/>
        </w:rPr>
        <w:t>]</w:t>
      </w:r>
      <w:r w:rsidRPr="0091479E">
        <w:rPr>
          <w:rFonts w:ascii="Times New Roman" w:hAnsi="Times New Roman" w:cs="Times New Roman"/>
          <w:sz w:val="24"/>
          <w:szCs w:val="24"/>
        </w:rPr>
        <w:t>.</w:t>
      </w:r>
    </w:p>
    <w:p w:rsidR="0038370D" w:rsidRPr="0091479E" w:rsidRDefault="0038370D" w:rsidP="0038370D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8370D" w:rsidRPr="00BF1B94" w:rsidRDefault="0038370D" w:rsidP="0038370D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BF1B9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Diagnosis of Psoriasis and Comorbid</w:t>
      </w:r>
      <w:bookmarkStart w:id="0" w:name="_GoBack"/>
      <w:bookmarkEnd w:id="0"/>
      <w:r w:rsidRPr="00BF1B9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ities</w:t>
      </w:r>
    </w:p>
    <w:p w:rsidR="0038370D" w:rsidRPr="0091479E" w:rsidRDefault="0038370D" w:rsidP="00DB3E1C">
      <w:pPr>
        <w:widowControl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147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psoriasis </w:t>
      </w:r>
      <w:r w:rsidRPr="0091479E">
        <w:rPr>
          <w:rFonts w:ascii="Times New Roman" w:eastAsia="Times New Roman" w:hAnsi="Times New Roman" w:cs="Times New Roman"/>
          <w:sz w:val="24"/>
          <w:szCs w:val="24"/>
        </w:rPr>
        <w:t xml:space="preserve">presence and severity were determined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 w:rsidRPr="0091479E">
        <w:rPr>
          <w:rFonts w:ascii="Times New Roman" w:eastAsia="Times New Roman" w:hAnsi="Times New Roman" w:cs="Times New Roman"/>
          <w:sz w:val="24"/>
          <w:szCs w:val="24"/>
        </w:rPr>
        <w:t xml:space="preserve"> the corresponding numerical FFS codes, as assigned based on the findings of a board-certified dermatologist, according to the appropriate </w:t>
      </w:r>
      <w:r w:rsidRPr="0091479E">
        <w:rPr>
          <w:rFonts w:ascii="Times New Roman" w:eastAsiaTheme="minorHAnsi" w:hAnsi="Times New Roman" w:cs="Times New Roman"/>
          <w:sz w:val="24"/>
          <w:szCs w:val="24"/>
        </w:rPr>
        <w:t>medical history and clinical features (Table S1) described previously</w:t>
      </w:r>
      <w:r w:rsidR="00BF4576">
        <w:rPr>
          <w:rFonts w:ascii="Times New Roman" w:eastAsiaTheme="minorHAnsi" w:hAnsi="Times New Roman" w:cs="Times New Roman"/>
          <w:sz w:val="24"/>
          <w:szCs w:val="24"/>
        </w:rPr>
        <w:t xml:space="preserve"> [</w:t>
      </w:r>
      <w:hyperlink w:anchor="_ENREF_14" w:tooltip="Galili, 2018 #12" w:history="1">
        <w:r w:rsidRPr="00BF4576">
          <w:rPr>
            <w:rFonts w:ascii="Times New Roman" w:eastAsiaTheme="minorHAnsi" w:hAnsi="Times New Roman" w:cs="Times New Roman"/>
            <w:sz w:val="24"/>
            <w:szCs w:val="24"/>
          </w:rPr>
          <w:fldChar w:fldCharType="begin"/>
        </w:r>
        <w:r w:rsidRPr="00BF4576">
          <w:rPr>
            <w:rFonts w:ascii="Times New Roman" w:eastAsiaTheme="minorHAnsi" w:hAnsi="Times New Roman" w:cs="Times New Roman"/>
            <w:sz w:val="24"/>
            <w:szCs w:val="24"/>
          </w:rPr>
          <w:instrText xml:space="preserve"> ADDIN EN.CITE &lt;EndNote&gt;&lt;Cite&gt;&lt;Author&gt;Galili&lt;/Author&gt;&lt;Year&gt;2018&lt;/Year&gt;&lt;RecNum&gt;12&lt;/RecNum&gt;&lt;DisplayText&gt;&lt;style face="superscript"&gt;14&lt;/style&gt;&lt;/DisplayText&gt;&lt;record&gt;&lt;rec-number&gt;12&lt;/rec-number&gt;&lt;foreign-keys&gt;&lt;key app="EN" db-id="sspxx9v56vvs5oe2f5av2e93vet2seev52as" timestamp="1546115650"&gt;12&lt;/key&gt;&lt;/foreign-keys&gt;&lt;ref-type name="Journal Article"&gt;17&lt;/ref-type&gt;&lt;contributors&gt;&lt;authors&gt;&lt;author&gt;Galili, E&lt;/author&gt;&lt;author&gt;Barzilai, A&lt;/author&gt;&lt;author&gt;Shreberk‐Hassidim, R&lt;/author&gt;&lt;author&gt;Merdler, I&lt;/author&gt;&lt;author&gt;Caspi, T&lt;/author&gt;&lt;author&gt;Astman, N&lt;/author&gt;&lt;/authors&gt;&lt;/contributors&gt;&lt;titles&gt;&lt;title&gt;Neuropsychiatric comorbidity among adolescents with psoriasis&lt;/title&gt;&lt;secondary-title&gt;British Journal of Dermatology&lt;/secondary-title&gt;&lt;/titles&gt;&lt;periodical&gt;&lt;full-title&gt;British Journal of Dermatology&lt;/full-title&gt;&lt;/periodical&gt;&lt;pages&gt;910-916&lt;/pages&gt;&lt;volume&gt;178&lt;/volume&gt;&lt;number&gt;4&lt;/number&gt;&lt;dates&gt;&lt;year&gt;2018&lt;/year&gt;&lt;/dates&gt;&lt;isbn&gt;0007-0963&lt;/isbn&gt;&lt;urls&gt;&lt;/urls&gt;&lt;/record&gt;&lt;/Cite&gt;&lt;/EndNote&gt;</w:instrText>
        </w:r>
        <w:r w:rsidRPr="00BF4576">
          <w:rPr>
            <w:rFonts w:ascii="Times New Roman" w:eastAsiaTheme="minorHAnsi" w:hAnsi="Times New Roman" w:cs="Times New Roman"/>
            <w:sz w:val="24"/>
            <w:szCs w:val="24"/>
          </w:rPr>
          <w:fldChar w:fldCharType="separate"/>
        </w:r>
        <w:r w:rsidRPr="00BF4576">
          <w:rPr>
            <w:rFonts w:ascii="Times New Roman" w:eastAsiaTheme="minorHAnsi" w:hAnsi="Times New Roman" w:cs="Times New Roman"/>
            <w:noProof/>
            <w:sz w:val="24"/>
            <w:szCs w:val="24"/>
          </w:rPr>
          <w:t>1</w:t>
        </w:r>
        <w:r w:rsidR="00C657E8">
          <w:rPr>
            <w:rFonts w:ascii="Times New Roman" w:eastAsiaTheme="minorHAnsi" w:hAnsi="Times New Roman" w:cs="Times New Roman"/>
            <w:noProof/>
            <w:sz w:val="24"/>
            <w:szCs w:val="24"/>
          </w:rPr>
          <w:t>3</w:t>
        </w:r>
        <w:r w:rsidRPr="00BF4576">
          <w:rPr>
            <w:rFonts w:ascii="Times New Roman" w:eastAsiaTheme="minorHAnsi" w:hAnsi="Times New Roman" w:cs="Times New Roman"/>
            <w:sz w:val="24"/>
            <w:szCs w:val="24"/>
          </w:rPr>
          <w:fldChar w:fldCharType="end"/>
        </w:r>
      </w:hyperlink>
      <w:r w:rsidR="00BF4576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9147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In this study, t</w:t>
      </w:r>
      <w:r w:rsidRPr="0091479E">
        <w:rPr>
          <w:rFonts w:ascii="Times New Roman" w:eastAsia="Times New Roman" w:hAnsi="Times New Roman" w:cs="Times New Roman"/>
          <w:sz w:val="24"/>
          <w:szCs w:val="24"/>
        </w:rPr>
        <w:t>he following comorbidities were assessed</w:t>
      </w:r>
      <w:r w:rsidR="00407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341" w:rsidRPr="00BF4576">
        <w:rPr>
          <w:rFonts w:ascii="Times New Roman" w:eastAsia="Times New Roman" w:hAnsi="Times New Roman" w:cs="Times New Roman"/>
          <w:bCs/>
          <w:sz w:val="24"/>
          <w:szCs w:val="24"/>
        </w:rPr>
        <w:t xml:space="preserve">by a board-certified expert in their </w:t>
      </w:r>
      <w:r w:rsidR="00DB3E1C" w:rsidRPr="00BF4576">
        <w:rPr>
          <w:rFonts w:ascii="Times New Roman" w:eastAsia="Times New Roman" w:hAnsi="Times New Roman" w:cs="Times New Roman"/>
          <w:bCs/>
          <w:sz w:val="24"/>
          <w:szCs w:val="24"/>
        </w:rPr>
        <w:t>relevant medical field</w:t>
      </w:r>
      <w:r w:rsidRPr="0091479E">
        <w:rPr>
          <w:rFonts w:ascii="Times New Roman" w:eastAsia="Times New Roman" w:hAnsi="Times New Roman" w:cs="Times New Roman"/>
          <w:sz w:val="24"/>
          <w:szCs w:val="24"/>
        </w:rPr>
        <w:t xml:space="preserve">: dermatological </w:t>
      </w:r>
      <w:r>
        <w:rPr>
          <w:rFonts w:ascii="Times New Roman" w:eastAsia="Times New Roman" w:hAnsi="Times New Roman" w:cs="Times New Roman"/>
          <w:sz w:val="24"/>
          <w:szCs w:val="24"/>
        </w:rPr>
        <w:t>conditions (</w:t>
      </w:r>
      <w:r w:rsidRPr="0091479E">
        <w:rPr>
          <w:rFonts w:ascii="Times New Roman" w:eastAsia="Times New Roman" w:hAnsi="Times New Roman" w:cs="Times New Roman"/>
          <w:sz w:val="24"/>
          <w:szCs w:val="24"/>
        </w:rPr>
        <w:t>including contact dermatitis, vitiligo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1479E">
        <w:rPr>
          <w:rFonts w:ascii="Times New Roman" w:eastAsia="Times New Roman" w:hAnsi="Times New Roman" w:cs="Times New Roman"/>
          <w:sz w:val="24"/>
          <w:szCs w:val="24"/>
        </w:rPr>
        <w:t xml:space="preserve"> other photosensitive diseases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1479E">
        <w:rPr>
          <w:rFonts w:ascii="Times New Roman" w:eastAsia="Times New Roman" w:hAnsi="Times New Roman" w:cs="Times New Roman"/>
          <w:sz w:val="24"/>
          <w:szCs w:val="24"/>
        </w:rPr>
        <w:t xml:space="preserve"> and hyperhidrosis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91479E">
        <w:rPr>
          <w:rFonts w:ascii="Times New Roman" w:eastAsia="Times New Roman" w:hAnsi="Times New Roman" w:cs="Times New Roman"/>
          <w:sz w:val="24"/>
          <w:szCs w:val="24"/>
        </w:rPr>
        <w:t xml:space="preserve"> rheumatic </w:t>
      </w:r>
      <w:r>
        <w:rPr>
          <w:rFonts w:ascii="Times New Roman" w:eastAsia="Times New Roman" w:hAnsi="Times New Roman" w:cs="Times New Roman"/>
          <w:sz w:val="24"/>
          <w:szCs w:val="24"/>
        </w:rPr>
        <w:t>diseases (</w:t>
      </w:r>
      <w:r w:rsidRPr="0091479E">
        <w:rPr>
          <w:rFonts w:ascii="Times New Roman" w:eastAsia="Times New Roman" w:hAnsi="Times New Roman" w:cs="Times New Roman"/>
          <w:sz w:val="24"/>
          <w:szCs w:val="24"/>
        </w:rPr>
        <w:t xml:space="preserve">a grouped entity of both psoriatic and </w:t>
      </w:r>
      <w:proofErr w:type="spellStart"/>
      <w:r w:rsidRPr="0091479E">
        <w:rPr>
          <w:rFonts w:ascii="Times New Roman" w:eastAsia="Times New Roman" w:hAnsi="Times New Roman" w:cs="Times New Roman"/>
          <w:sz w:val="24"/>
          <w:szCs w:val="24"/>
        </w:rPr>
        <w:t>nonpsoriatic</w:t>
      </w:r>
      <w:proofErr w:type="spellEnd"/>
      <w:r w:rsidRPr="0091479E">
        <w:rPr>
          <w:rFonts w:ascii="Times New Roman" w:eastAsia="Times New Roman" w:hAnsi="Times New Roman" w:cs="Times New Roman"/>
          <w:sz w:val="24"/>
          <w:szCs w:val="24"/>
        </w:rPr>
        <w:t xml:space="preserve"> arthritis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1479E">
        <w:rPr>
          <w:rFonts w:ascii="Times New Roman" w:eastAsia="Times New Roman" w:hAnsi="Times New Roman" w:cs="Times New Roman"/>
          <w:sz w:val="24"/>
          <w:szCs w:val="24"/>
        </w:rPr>
        <w:t>, and gastrointestinal comorbidities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92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1479E">
        <w:rPr>
          <w:rFonts w:ascii="Times New Roman" w:eastAsia="Times New Roman" w:hAnsi="Times New Roman" w:cs="Times New Roman"/>
          <w:sz w:val="24"/>
          <w:szCs w:val="24"/>
        </w:rPr>
        <w:t>including</w:t>
      </w:r>
      <w:r w:rsidRPr="0091479E">
        <w:rPr>
          <w:rFonts w:ascii="Times New Roman" w:hAnsi="Times New Roman" w:cs="Times New Roman"/>
          <w:sz w:val="24"/>
          <w:szCs w:val="24"/>
        </w:rPr>
        <w:t xml:space="preserve"> inflammatory bowel diseas</w:t>
      </w:r>
      <w:r w:rsidRPr="0012287E">
        <w:rPr>
          <w:rFonts w:ascii="Times New Roman" w:hAnsi="Times New Roman" w:cs="Times New Roman"/>
          <w:sz w:val="24"/>
          <w:szCs w:val="24"/>
        </w:rPr>
        <w:t>e and irritable bowel syndrome</w:t>
      </w:r>
      <w:r w:rsidR="000E592F">
        <w:rPr>
          <w:rFonts w:ascii="Times New Roman" w:hAnsi="Times New Roman" w:cs="Times New Roman"/>
          <w:sz w:val="24"/>
          <w:szCs w:val="24"/>
        </w:rPr>
        <w:t>)</w:t>
      </w:r>
      <w:r w:rsidRPr="0012287E">
        <w:rPr>
          <w:rFonts w:ascii="Times New Roman" w:eastAsia="Times New Roman" w:hAnsi="Times New Roman" w:cs="Times New Roman"/>
          <w:sz w:val="24"/>
          <w:szCs w:val="24"/>
        </w:rPr>
        <w:t>. Due to 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ding limitations, </w:t>
      </w:r>
      <w:r w:rsidRPr="0091479E">
        <w:rPr>
          <w:rFonts w:ascii="Times New Roman" w:eastAsia="Times New Roman" w:hAnsi="Times New Roman" w:cs="Times New Roman"/>
          <w:sz w:val="24"/>
          <w:szCs w:val="24"/>
        </w:rPr>
        <w:t xml:space="preserve">psoriatic and </w:t>
      </w:r>
      <w:proofErr w:type="spellStart"/>
      <w:r w:rsidRPr="0091479E">
        <w:rPr>
          <w:rFonts w:ascii="Times New Roman" w:eastAsia="Times New Roman" w:hAnsi="Times New Roman" w:cs="Times New Roman"/>
          <w:sz w:val="24"/>
          <w:szCs w:val="24"/>
        </w:rPr>
        <w:t>nonpsoriatic</w:t>
      </w:r>
      <w:proofErr w:type="spellEnd"/>
      <w:r w:rsidRPr="0091479E">
        <w:rPr>
          <w:rFonts w:ascii="Times New Roman" w:eastAsia="Times New Roman" w:hAnsi="Times New Roman" w:cs="Times New Roman"/>
          <w:sz w:val="24"/>
          <w:szCs w:val="24"/>
        </w:rPr>
        <w:t xml:space="preserve"> arthritis were grouped together.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comorbidity </w:t>
      </w:r>
      <w:r w:rsidRPr="0091479E">
        <w:rPr>
          <w:rFonts w:ascii="Times New Roman" w:eastAsia="Times New Roman" w:hAnsi="Times New Roman" w:cs="Times New Roman"/>
          <w:sz w:val="24"/>
          <w:szCs w:val="24"/>
        </w:rPr>
        <w:t>diagnos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1479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 w:rsidRPr="0091479E">
        <w:rPr>
          <w:rFonts w:ascii="Times New Roman" w:eastAsia="Times New Roman" w:hAnsi="Times New Roman" w:cs="Times New Roman"/>
          <w:sz w:val="24"/>
          <w:szCs w:val="24"/>
        </w:rPr>
        <w:t xml:space="preserve"> based on the criteria specified in Table S1.</w:t>
      </w:r>
    </w:p>
    <w:p w:rsidR="0038370D" w:rsidRPr="0091479E" w:rsidRDefault="0038370D" w:rsidP="0038370D">
      <w:pPr>
        <w:widowControl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8370D" w:rsidRPr="00BF1B94" w:rsidRDefault="0038370D" w:rsidP="0038370D">
      <w:pPr>
        <w:pStyle w:val="Textkrper2"/>
        <w:widowControl w:val="0"/>
        <w:spacing w:after="0" w:line="360" w:lineRule="auto"/>
        <w:rPr>
          <w:i/>
          <w:iCs/>
          <w:szCs w:val="24"/>
        </w:rPr>
      </w:pPr>
      <w:r w:rsidRPr="00BF1B94">
        <w:rPr>
          <w:i/>
          <w:iCs/>
          <w:szCs w:val="24"/>
        </w:rPr>
        <w:t>Definition of Variables</w:t>
      </w:r>
    </w:p>
    <w:p w:rsidR="0038370D" w:rsidRPr="0091479E" w:rsidRDefault="0038370D" w:rsidP="0038370D">
      <w:pPr>
        <w:widowControl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1479E">
        <w:rPr>
          <w:rFonts w:ascii="Times New Roman" w:eastAsiaTheme="minorHAnsi" w:hAnsi="Times New Roman" w:cs="Times New Roman"/>
          <w:sz w:val="24"/>
          <w:szCs w:val="24"/>
        </w:rPr>
        <w:t>The ethnicity (</w:t>
      </w:r>
      <w:r>
        <w:rPr>
          <w:rFonts w:ascii="Times New Roman" w:eastAsiaTheme="minorHAnsi" w:hAnsi="Times New Roman" w:cs="Times New Roman"/>
          <w:sz w:val="24"/>
          <w:szCs w:val="24"/>
        </w:rPr>
        <w:t>based on</w:t>
      </w:r>
      <w:r w:rsidRPr="0091479E">
        <w:rPr>
          <w:rFonts w:ascii="Times New Roman" w:eastAsiaTheme="minorHAnsi" w:hAnsi="Times New Roman" w:cs="Times New Roman"/>
          <w:sz w:val="24"/>
          <w:szCs w:val="24"/>
        </w:rPr>
        <w:t xml:space="preserve"> the paternal region of birth and, if </w:t>
      </w:r>
      <w:r>
        <w:rPr>
          <w:rFonts w:ascii="Times New Roman" w:eastAsiaTheme="minorHAnsi" w:hAnsi="Times New Roman" w:cs="Times New Roman"/>
          <w:sz w:val="24"/>
          <w:szCs w:val="24"/>
        </w:rPr>
        <w:t>the father</w:t>
      </w:r>
      <w:r w:rsidRPr="0091479E">
        <w:rPr>
          <w:rFonts w:ascii="Times New Roman" w:eastAsiaTheme="minorHAnsi" w:hAnsi="Times New Roman" w:cs="Times New Roman"/>
          <w:sz w:val="24"/>
          <w:szCs w:val="24"/>
        </w:rPr>
        <w:t xml:space="preserve"> was born in Israel, his parental place of birth) was categorized into four geographical areas: former </w:t>
      </w:r>
      <w:r w:rsidRPr="003D5F17">
        <w:rPr>
          <w:rFonts w:ascii="Times New Roman" w:eastAsiaTheme="minorHAnsi" w:hAnsi="Times New Roman" w:cs="Times New Roman"/>
          <w:sz w:val="24"/>
          <w:szCs w:val="24"/>
        </w:rPr>
        <w:t>Union of Soviet Socialist Republic (</w:t>
      </w:r>
      <w:r w:rsidRPr="0091479E">
        <w:rPr>
          <w:rFonts w:ascii="Times New Roman" w:eastAsiaTheme="minorHAnsi" w:hAnsi="Times New Roman" w:cs="Times New Roman"/>
          <w:sz w:val="24"/>
          <w:szCs w:val="24"/>
        </w:rPr>
        <w:t>USSR) countries, Africa and Asia (excluding South Africa and</w:t>
      </w:r>
      <w:r w:rsidRPr="0091479E">
        <w:rPr>
          <w:rFonts w:ascii="Times New Roman" w:hAnsi="Times New Roman" w:cs="Times New Roman"/>
          <w:sz w:val="24"/>
          <w:szCs w:val="24"/>
        </w:rPr>
        <w:t xml:space="preserve"> Israel), Western (comprised of non-USSR Europe, North and South America, South Africa, Australia, and New Zealand), and Israel. </w:t>
      </w:r>
    </w:p>
    <w:p w:rsidR="0038370D" w:rsidRPr="003D5F17" w:rsidRDefault="0038370D" w:rsidP="0038370D">
      <w:pPr>
        <w:widowControl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1479E">
        <w:rPr>
          <w:rFonts w:ascii="Times New Roman" w:hAnsi="Times New Roman" w:cs="Times New Roman"/>
          <w:sz w:val="24"/>
          <w:szCs w:val="24"/>
        </w:rPr>
        <w:t>The BMI was used as a continuous variable</w:t>
      </w:r>
      <w:r>
        <w:rPr>
          <w:rFonts w:ascii="Times New Roman" w:hAnsi="Times New Roman" w:cs="Times New Roman"/>
          <w:sz w:val="24"/>
          <w:szCs w:val="24"/>
        </w:rPr>
        <w:t>, as in similar studies,</w:t>
      </w:r>
      <w:r w:rsidRPr="0091479E">
        <w:rPr>
          <w:rFonts w:ascii="Times New Roman" w:hAnsi="Times New Roman" w:cs="Times New Roman"/>
          <w:sz w:val="24"/>
          <w:szCs w:val="24"/>
        </w:rPr>
        <w:t xml:space="preserve"> because 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91479E">
        <w:rPr>
          <w:rFonts w:ascii="Times New Roman" w:hAnsi="Times New Roman" w:cs="Times New Roman"/>
          <w:sz w:val="24"/>
          <w:szCs w:val="24"/>
        </w:rPr>
        <w:t xml:space="preserve"> 17 years old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1479E">
        <w:rPr>
          <w:rFonts w:ascii="Times New Roman" w:hAnsi="Times New Roman" w:cs="Times New Roman"/>
          <w:sz w:val="24"/>
          <w:szCs w:val="24"/>
        </w:rPr>
        <w:t>dolescents have completed most of their growth</w:t>
      </w:r>
      <w:r w:rsidR="00BF4576">
        <w:rPr>
          <w:rFonts w:ascii="Times New Roman" w:hAnsi="Times New Roman" w:cs="Times New Roman"/>
          <w:sz w:val="24"/>
          <w:szCs w:val="24"/>
        </w:rPr>
        <w:t xml:space="preserve"> [</w:t>
      </w:r>
      <w:hyperlink w:anchor="_ENREF_16" w:tooltip="Furer, 2018 #14" w:history="1">
        <w:r w:rsidRPr="00BF45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4576">
          <w:rPr>
            <w:rFonts w:ascii="Times New Roman" w:hAnsi="Times New Roman" w:cs="Times New Roman"/>
            <w:sz w:val="24"/>
            <w:szCs w:val="24"/>
          </w:rPr>
          <w:instrText xml:space="preserve"> ADDIN EN.CITE &lt;EndNote&gt;&lt;Cite&gt;&lt;Author&gt;Furer&lt;/Author&gt;&lt;Year&gt;2018&lt;/Year&gt;&lt;RecNum&gt;14&lt;/RecNum&gt;&lt;DisplayText&gt;&lt;style face="superscript"&gt;16&lt;/style&gt;&lt;/DisplayText&gt;&lt;record&gt;&lt;rec-number&gt;14&lt;/rec-number&gt;&lt;foreign-keys&gt;&lt;key app="EN" db-id="sspxx9v56vvs5oe2f5av2e93vet2seev52as" timestamp="1546115650"&gt;14&lt;/key&gt;&lt;/foreign-keys&gt;&lt;ref-type name="Journal Article"&gt;17&lt;/ref-type&gt;&lt;contributors&gt;&lt;authors&gt;&lt;author&gt;Furer, Ariel&lt;/author&gt;&lt;author&gt;Afek, Arnon&lt;/author&gt;&lt;author&gt;Orr, Omri&lt;/author&gt;&lt;author&gt;Gershovitz, Liron&lt;/author&gt;&lt;author&gt;Rabbi, Moran Landau&lt;/author&gt;&lt;author&gt;Derazne, Estela&lt;/author&gt;&lt;author&gt;Pinhas-Hamiel, Orit&lt;/author&gt;&lt;author&gt;Fink, Noam&lt;/author&gt;&lt;author&gt;Leiba, Adi&lt;/author&gt;&lt;author&gt;Tirosh, Amir&lt;/author&gt;&lt;/authors&gt;&lt;/contributors&gt;&lt;titles&gt;&lt;title&gt;Sex-specific associations between adolescent categories of BMI with cardiovascular and non-cardiovascular mortality in midlife&lt;/title&gt;&lt;secondary-title&gt;Cardiovascular diabetology&lt;/secondary-title&gt;&lt;/titles&gt;&lt;periodical&gt;&lt;full-title&gt;Cardiovascular diabetology&lt;/full-title&gt;&lt;/periodical&gt;&lt;pages&gt;80&lt;/pages&gt;&lt;volume&gt;17&lt;/volume&gt;&lt;number&gt;1&lt;/number&gt;&lt;dates&gt;&lt;year&gt;2018&lt;/year&gt;&lt;/dates&gt;&lt;isbn&gt;1475-2840&lt;/isbn&gt;&lt;urls&gt;&lt;/urls&gt;&lt;/record&gt;&lt;/Cite&gt;&lt;/EndNote&gt;</w:instrText>
        </w:r>
        <w:r w:rsidRPr="00BF45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F457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C657E8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BF4576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="00BF4576">
        <w:rPr>
          <w:rFonts w:ascii="Times New Roman" w:hAnsi="Times New Roman" w:cs="Times New Roman"/>
          <w:sz w:val="24"/>
          <w:szCs w:val="24"/>
        </w:rPr>
        <w:t>]</w:t>
      </w:r>
      <w:r w:rsidRPr="0091479E">
        <w:rPr>
          <w:rFonts w:ascii="Times New Roman" w:hAnsi="Times New Roman" w:cs="Times New Roman"/>
          <w:sz w:val="24"/>
          <w:szCs w:val="24"/>
        </w:rPr>
        <w:t>. The BMIs were grouped accordingly: BMI</w:t>
      </w:r>
      <w:r w:rsidR="00BF4576">
        <w:rPr>
          <w:rFonts w:ascii="Times New Roman" w:hAnsi="Times New Roman" w:cs="Times New Roman"/>
          <w:sz w:val="24"/>
          <w:szCs w:val="24"/>
        </w:rPr>
        <w:t xml:space="preserve"> </w:t>
      </w:r>
      <w:r w:rsidRPr="0091479E">
        <w:rPr>
          <w:rFonts w:ascii="Times New Roman" w:hAnsi="Times New Roman" w:cs="Times New Roman"/>
          <w:sz w:val="24"/>
          <w:szCs w:val="24"/>
        </w:rPr>
        <w:t>&lt;20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9E">
        <w:rPr>
          <w:rFonts w:ascii="Times New Roman" w:hAnsi="Times New Roman" w:cs="Times New Roman"/>
          <w:sz w:val="24"/>
          <w:szCs w:val="24"/>
        </w:rPr>
        <w:t>(under and low-normal weight), 20</w:t>
      </w:r>
      <w:r w:rsidRPr="003D5F17">
        <w:rPr>
          <w:rFonts w:ascii="Times New Roman" w:hAnsi="Times New Roman" w:cs="Times New Roman"/>
          <w:sz w:val="24"/>
          <w:szCs w:val="24"/>
        </w:rPr>
        <w:t xml:space="preserve"> ≤</w:t>
      </w:r>
      <w:r w:rsidR="00BF4576">
        <w:rPr>
          <w:rFonts w:ascii="Times New Roman" w:hAnsi="Times New Roman" w:cs="Times New Roman"/>
          <w:sz w:val="24"/>
          <w:szCs w:val="24"/>
        </w:rPr>
        <w:t xml:space="preserve"> </w:t>
      </w:r>
      <w:r w:rsidRPr="003D5F17">
        <w:rPr>
          <w:rFonts w:ascii="Times New Roman" w:hAnsi="Times New Roman" w:cs="Times New Roman"/>
          <w:sz w:val="24"/>
          <w:szCs w:val="24"/>
        </w:rPr>
        <w:t>BMI</w:t>
      </w:r>
      <w:r w:rsidR="00BF4576">
        <w:rPr>
          <w:rFonts w:ascii="Times New Roman" w:hAnsi="Times New Roman" w:cs="Times New Roman"/>
          <w:sz w:val="24"/>
          <w:szCs w:val="24"/>
        </w:rPr>
        <w:t xml:space="preserve"> </w:t>
      </w:r>
      <w:r w:rsidRPr="003D5F17">
        <w:rPr>
          <w:rFonts w:ascii="Times New Roman" w:hAnsi="Times New Roman" w:cs="Times New Roman"/>
          <w:sz w:val="24"/>
          <w:szCs w:val="24"/>
        </w:rPr>
        <w:t>&lt;</w:t>
      </w:r>
      <w:r w:rsidR="00BF4576">
        <w:rPr>
          <w:rFonts w:ascii="Times New Roman" w:hAnsi="Times New Roman" w:cs="Times New Roman"/>
          <w:sz w:val="24"/>
          <w:szCs w:val="24"/>
        </w:rPr>
        <w:t xml:space="preserve"> </w:t>
      </w:r>
      <w:r w:rsidRPr="0091479E">
        <w:rPr>
          <w:rFonts w:ascii="Times New Roman" w:hAnsi="Times New Roman" w:cs="Times New Roman"/>
          <w:sz w:val="24"/>
          <w:szCs w:val="24"/>
        </w:rPr>
        <w:t xml:space="preserve">24.9 </w:t>
      </w:r>
      <w:r w:rsidRPr="003D5F17">
        <w:rPr>
          <w:rFonts w:ascii="Times New Roman" w:hAnsi="Times New Roman" w:cs="Times New Roman"/>
          <w:sz w:val="24"/>
          <w:szCs w:val="24"/>
        </w:rPr>
        <w:t>(</w:t>
      </w:r>
      <w:r w:rsidRPr="0091479E">
        <w:rPr>
          <w:rFonts w:ascii="Times New Roman" w:hAnsi="Times New Roman" w:cs="Times New Roman"/>
          <w:sz w:val="24"/>
          <w:szCs w:val="24"/>
        </w:rPr>
        <w:t>medium and high-normal weight), 25</w:t>
      </w:r>
      <w:r w:rsidRPr="003D5F17">
        <w:rPr>
          <w:rFonts w:ascii="Times New Roman" w:hAnsi="Times New Roman" w:cs="Times New Roman"/>
          <w:sz w:val="24"/>
          <w:szCs w:val="24"/>
        </w:rPr>
        <w:t xml:space="preserve"> ≤</w:t>
      </w:r>
      <w:r w:rsidR="00BF4576">
        <w:rPr>
          <w:rFonts w:ascii="Times New Roman" w:hAnsi="Times New Roman" w:cs="Times New Roman"/>
          <w:sz w:val="24"/>
          <w:szCs w:val="24"/>
        </w:rPr>
        <w:t xml:space="preserve"> </w:t>
      </w:r>
      <w:r w:rsidRPr="003D5F17">
        <w:rPr>
          <w:rFonts w:ascii="Times New Roman" w:hAnsi="Times New Roman" w:cs="Times New Roman"/>
          <w:sz w:val="24"/>
          <w:szCs w:val="24"/>
        </w:rPr>
        <w:t>BMI</w:t>
      </w:r>
      <w:r w:rsidR="00BF4576">
        <w:rPr>
          <w:rFonts w:ascii="Times New Roman" w:hAnsi="Times New Roman" w:cs="Times New Roman"/>
          <w:sz w:val="24"/>
          <w:szCs w:val="24"/>
        </w:rPr>
        <w:t xml:space="preserve"> </w:t>
      </w:r>
      <w:r w:rsidRPr="003D5F17">
        <w:rPr>
          <w:rFonts w:ascii="Times New Roman" w:hAnsi="Times New Roman" w:cs="Times New Roman"/>
          <w:sz w:val="24"/>
          <w:szCs w:val="24"/>
        </w:rPr>
        <w:t>&lt;</w:t>
      </w:r>
      <w:r w:rsidR="00BF4576">
        <w:rPr>
          <w:rFonts w:ascii="Times New Roman" w:hAnsi="Times New Roman" w:cs="Times New Roman"/>
          <w:sz w:val="24"/>
          <w:szCs w:val="24"/>
        </w:rPr>
        <w:t xml:space="preserve"> </w:t>
      </w:r>
      <w:r w:rsidRPr="0091479E">
        <w:rPr>
          <w:rFonts w:ascii="Times New Roman" w:hAnsi="Times New Roman" w:cs="Times New Roman"/>
          <w:sz w:val="24"/>
          <w:szCs w:val="24"/>
        </w:rPr>
        <w:t xml:space="preserve">29.9 </w:t>
      </w:r>
      <w:r w:rsidRPr="003D5F17">
        <w:rPr>
          <w:rFonts w:ascii="Times New Roman" w:hAnsi="Times New Roman" w:cs="Times New Roman"/>
          <w:sz w:val="24"/>
          <w:szCs w:val="24"/>
        </w:rPr>
        <w:t>(overweight)</w:t>
      </w:r>
      <w:r w:rsidRPr="0091479E">
        <w:rPr>
          <w:rFonts w:ascii="Times New Roman" w:hAnsi="Times New Roman" w:cs="Times New Roman"/>
          <w:sz w:val="24"/>
          <w:szCs w:val="24"/>
        </w:rPr>
        <w:t>, and BMI</w:t>
      </w:r>
      <w:r w:rsidR="00BF4576">
        <w:rPr>
          <w:rFonts w:ascii="Times New Roman" w:hAnsi="Times New Roman" w:cs="Times New Roman"/>
          <w:sz w:val="24"/>
          <w:szCs w:val="24"/>
        </w:rPr>
        <w:t xml:space="preserve"> </w:t>
      </w:r>
      <w:r w:rsidRPr="0091479E">
        <w:rPr>
          <w:rFonts w:ascii="Times New Roman" w:hAnsi="Times New Roman" w:cs="Times New Roman"/>
          <w:sz w:val="24"/>
          <w:szCs w:val="24"/>
        </w:rPr>
        <w:t xml:space="preserve">≥30 </w:t>
      </w:r>
      <w:r w:rsidRPr="003D5F17">
        <w:rPr>
          <w:rFonts w:ascii="Times New Roman" w:hAnsi="Times New Roman" w:cs="Times New Roman"/>
          <w:sz w:val="24"/>
          <w:szCs w:val="24"/>
        </w:rPr>
        <w:t>(obese).</w:t>
      </w:r>
    </w:p>
    <w:p w:rsidR="0038370D" w:rsidRPr="0091479E" w:rsidRDefault="0038370D" w:rsidP="0038370D">
      <w:pPr>
        <w:widowControl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8370D" w:rsidRPr="00BF1B94" w:rsidRDefault="0038370D" w:rsidP="0038370D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BF1B9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Statistical Analysis </w:t>
      </w:r>
    </w:p>
    <w:p w:rsidR="0038370D" w:rsidRPr="0091479E" w:rsidRDefault="0038370D" w:rsidP="0038370D">
      <w:pPr>
        <w:widowControl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1479E">
        <w:rPr>
          <w:rFonts w:ascii="Times New Roman" w:eastAsia="Times New Roman" w:hAnsi="Times New Roman" w:cs="Times New Roman"/>
          <w:sz w:val="24"/>
          <w:szCs w:val="24"/>
        </w:rPr>
        <w:t xml:space="preserve">The continuous variables were compared using the independent samples </w:t>
      </w:r>
      <w:r w:rsidRPr="00BF45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BF4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79E">
        <w:rPr>
          <w:rFonts w:ascii="Times New Roman" w:eastAsia="Times New Roman" w:hAnsi="Times New Roman" w:cs="Times New Roman"/>
          <w:sz w:val="24"/>
          <w:szCs w:val="24"/>
        </w:rPr>
        <w:t>test, while the categorical variables were compared using Fisher’s exact test. All of the data were summarized and displayed as a mean (± standard deviation) for the continuous variables or as a number (percentage) of patients in each group for the categorical variables.</w:t>
      </w:r>
      <w:r w:rsidRPr="0091479E">
        <w:rPr>
          <w:rFonts w:ascii="Times New Roman" w:hAnsi="Times New Roman" w:cs="Times New Roman"/>
          <w:sz w:val="24"/>
          <w:szCs w:val="24"/>
        </w:rPr>
        <w:t xml:space="preserve"> The o</w:t>
      </w:r>
      <w:r w:rsidRPr="0091479E">
        <w:rPr>
          <w:rFonts w:ascii="Times New Roman" w:eastAsia="Times New Roman" w:hAnsi="Times New Roman" w:cs="Times New Roman"/>
          <w:sz w:val="24"/>
          <w:szCs w:val="24"/>
        </w:rPr>
        <w:t>dds ratios (ORs) were reported with 95% confidence intervals (CIs</w:t>
      </w:r>
      <w:r w:rsidRPr="00B17DB9">
        <w:rPr>
          <w:rFonts w:ascii="Times New Roman" w:eastAsia="Times New Roman" w:hAnsi="Times New Roman" w:cs="Times New Roman"/>
          <w:sz w:val="24"/>
          <w:szCs w:val="24"/>
        </w:rPr>
        <w:t xml:space="preserve">) and </w:t>
      </w:r>
      <w:r w:rsidRPr="00BF4576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B17DB9">
        <w:rPr>
          <w:rFonts w:ascii="Times New Roman" w:eastAsia="Times New Roman" w:hAnsi="Times New Roman" w:cs="Times New Roman"/>
          <w:sz w:val="24"/>
          <w:szCs w:val="24"/>
        </w:rPr>
        <w:t xml:space="preserve"> values. A two-sided </w:t>
      </w:r>
      <w:r w:rsidRPr="00BF4576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B17DB9">
        <w:rPr>
          <w:rFonts w:ascii="Times New Roman" w:eastAsia="Times New Roman" w:hAnsi="Times New Roman" w:cs="Times New Roman"/>
          <w:sz w:val="24"/>
          <w:szCs w:val="24"/>
        </w:rPr>
        <w:t xml:space="preserve"> valu</w:t>
      </w:r>
      <w:r w:rsidRPr="0091479E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Pr="0091479E">
        <w:rPr>
          <w:rFonts w:ascii="Times New Roman" w:eastAsia="Times New Roman" w:hAnsi="Times New Roman" w:cs="Times New Roman"/>
          <w:sz w:val="24"/>
          <w:szCs w:val="24"/>
        </w:rPr>
        <w:t xml:space="preserve"> &lt;0.05 </w:t>
      </w:r>
      <w:proofErr w:type="gramStart"/>
      <w:r w:rsidRPr="0091479E">
        <w:rPr>
          <w:rFonts w:ascii="Times New Roman" w:eastAsia="Times New Roman" w:hAnsi="Times New Roman" w:cs="Times New Roman"/>
          <w:sz w:val="24"/>
          <w:szCs w:val="24"/>
        </w:rPr>
        <w:t>was considered to be</w:t>
      </w:r>
      <w:proofErr w:type="gramEnd"/>
      <w:r w:rsidRPr="0091479E">
        <w:rPr>
          <w:rFonts w:ascii="Times New Roman" w:eastAsia="Times New Roman" w:hAnsi="Times New Roman" w:cs="Times New Roman"/>
          <w:sz w:val="24"/>
          <w:szCs w:val="24"/>
        </w:rPr>
        <w:t xml:space="preserve"> statistically significant. </w:t>
      </w:r>
    </w:p>
    <w:p w:rsidR="0038370D" w:rsidRPr="0091479E" w:rsidRDefault="0038370D" w:rsidP="0038370D">
      <w:pPr>
        <w:widowControl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1479E">
        <w:rPr>
          <w:rFonts w:ascii="Times New Roman" w:eastAsia="Times New Roman" w:hAnsi="Times New Roman" w:cs="Times New Roman"/>
          <w:sz w:val="24"/>
          <w:szCs w:val="24"/>
        </w:rPr>
        <w:t xml:space="preserve">The prevalence ratio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trend </w:t>
      </w:r>
      <w:r w:rsidRPr="0091479E">
        <w:rPr>
          <w:rFonts w:ascii="Times New Roman" w:eastAsia="Times New Roman" w:hAnsi="Times New Roman" w:cs="Times New Roman"/>
          <w:sz w:val="24"/>
          <w:szCs w:val="24"/>
        </w:rPr>
        <w:t>was evaluated using Spearman</w:t>
      </w:r>
      <w:r w:rsidR="00BF4576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91479E">
        <w:rPr>
          <w:rFonts w:ascii="Times New Roman" w:eastAsia="Times New Roman" w:hAnsi="Times New Roman" w:cs="Times New Roman"/>
          <w:sz w:val="24"/>
          <w:szCs w:val="24"/>
        </w:rPr>
        <w:t xml:space="preserve">s correlation coefficient, and a linear regression was used to study the mean changes in the prevalence ratios per year. All of the </w:t>
      </w:r>
      <w:r w:rsidRPr="0091479E">
        <w:rPr>
          <w:rFonts w:ascii="Times New Roman" w:eastAsia="Times New Roman" w:hAnsi="Times New Roman" w:cs="Times New Roman"/>
          <w:sz w:val="24"/>
          <w:szCs w:val="24"/>
        </w:rPr>
        <w:lastRenderedPageBreak/>
        <w:t>analyses were performed using IBM SPSS Statistics for Windows version 23.0 (IBM Corp., Armonk, NY, USA, 2015).</w:t>
      </w:r>
    </w:p>
    <w:p w:rsidR="00DB3E1C" w:rsidRDefault="00DB3E1C">
      <w:pPr>
        <w:spacing w:after="160" w:line="259" w:lineRule="auto"/>
        <w:rPr>
          <w:rFonts w:asciiTheme="majorBidi" w:eastAsia="Arial" w:hAnsiTheme="majorBidi" w:cstheme="majorBidi"/>
          <w:b/>
          <w:bCs/>
          <w:sz w:val="24"/>
          <w:szCs w:val="24"/>
        </w:rPr>
      </w:pPr>
      <w:r>
        <w:rPr>
          <w:rFonts w:asciiTheme="majorBidi" w:eastAsia="Arial" w:hAnsiTheme="majorBidi" w:cstheme="majorBidi"/>
          <w:b/>
          <w:bCs/>
          <w:sz w:val="24"/>
          <w:szCs w:val="24"/>
        </w:rPr>
        <w:br w:type="page"/>
      </w:r>
    </w:p>
    <w:sectPr w:rsidR="00DB3E1C" w:rsidSect="00FC5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02EE0"/>
    <w:multiLevelType w:val="hybridMultilevel"/>
    <w:tmpl w:val="715E8B8C"/>
    <w:lvl w:ilvl="0" w:tplc="0BA045D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30457"/>
    <w:multiLevelType w:val="hybridMultilevel"/>
    <w:tmpl w:val="6DBC3598"/>
    <w:lvl w:ilvl="0" w:tplc="0BA045D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24B"/>
    <w:rsid w:val="000E592F"/>
    <w:rsid w:val="002D7237"/>
    <w:rsid w:val="0038370D"/>
    <w:rsid w:val="00407341"/>
    <w:rsid w:val="005F2682"/>
    <w:rsid w:val="00BE6BB9"/>
    <w:rsid w:val="00BF1B94"/>
    <w:rsid w:val="00BF4576"/>
    <w:rsid w:val="00C657E8"/>
    <w:rsid w:val="00DB3E1C"/>
    <w:rsid w:val="00E9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8FF310"/>
  <w15:chartTrackingRefBased/>
  <w15:docId w15:val="{23EB37A8-5312-4AB2-9073-FB9BD522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9424B"/>
    <w:pPr>
      <w:spacing w:after="200" w:line="276" w:lineRule="auto"/>
    </w:pPr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424B"/>
    <w:pPr>
      <w:ind w:left="720"/>
      <w:contextualSpacing/>
    </w:pPr>
  </w:style>
  <w:style w:type="paragraph" w:styleId="Textkrper2">
    <w:name w:val="Body Text 2"/>
    <w:basedOn w:val="Standard"/>
    <w:link w:val="Textkrper2Zchn"/>
    <w:uiPriority w:val="99"/>
    <w:semiHidden/>
    <w:unhideWhenUsed/>
    <w:rsid w:val="0038370D"/>
    <w:pPr>
      <w:spacing w:after="120" w:line="48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8370D"/>
    <w:rPr>
      <w:rFonts w:ascii="Times New Roman" w:eastAsia="Calibri" w:hAnsi="Times New Roman" w:cs="Times New Roman"/>
      <w:sz w:val="24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3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3E1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1083</Words>
  <Characters>6830</Characters>
  <Application>Microsoft Office Word</Application>
  <DocSecurity>0</DocSecurity>
  <Lines>56</Lines>
  <Paragraphs>15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Elisabeth Stöcklin</cp:lastModifiedBy>
  <cp:revision>5</cp:revision>
  <dcterms:created xsi:type="dcterms:W3CDTF">2019-04-02T21:57:00Z</dcterms:created>
  <dcterms:modified xsi:type="dcterms:W3CDTF">2019-07-03T12:03:00Z</dcterms:modified>
</cp:coreProperties>
</file>