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7A41" w14:textId="77777777" w:rsidR="0056298B" w:rsidRPr="00A47B8E" w:rsidRDefault="0056298B" w:rsidP="00013A69">
      <w:pPr>
        <w:pStyle w:val="1"/>
        <w:pageBreakBefore/>
        <w:rPr>
          <w:rFonts w:cs="Arial"/>
        </w:rPr>
      </w:pPr>
      <w:r w:rsidRPr="00A47B8E">
        <w:rPr>
          <w:rFonts w:cs="Arial"/>
        </w:rPr>
        <w:t>Supplementary materials</w:t>
      </w:r>
      <w:bookmarkStart w:id="0" w:name="_GoBack"/>
      <w:bookmarkEnd w:id="0"/>
    </w:p>
    <w:p w14:paraId="66E774FC" w14:textId="6DB80AA1" w:rsidR="00013A69" w:rsidRPr="00A47B8E" w:rsidRDefault="00013A69" w:rsidP="00E13724">
      <w:pPr>
        <w:pStyle w:val="2"/>
        <w:rPr>
          <w:rFonts w:cs="Arial"/>
        </w:rPr>
      </w:pPr>
      <w:r w:rsidRPr="00A47B8E">
        <w:rPr>
          <w:rFonts w:cs="Arial"/>
        </w:rPr>
        <w:t xml:space="preserve">Supplementary </w:t>
      </w:r>
      <w:r w:rsidR="0053434B" w:rsidRPr="00A47B8E">
        <w:rPr>
          <w:rFonts w:cs="Arial"/>
        </w:rPr>
        <w:t>M</w:t>
      </w:r>
      <w:r w:rsidRPr="00A47B8E">
        <w:rPr>
          <w:rFonts w:cs="Arial"/>
        </w:rPr>
        <w:t>ethods</w:t>
      </w:r>
    </w:p>
    <w:p w14:paraId="587FE1FB" w14:textId="52E0E1E6" w:rsidR="00013A69" w:rsidRPr="00A47B8E" w:rsidRDefault="00151B6A" w:rsidP="0017534E">
      <w:pPr>
        <w:pStyle w:val="3"/>
        <w:rPr>
          <w:rFonts w:cs="Arial"/>
        </w:rPr>
      </w:pPr>
      <w:r w:rsidRPr="00A47B8E">
        <w:rPr>
          <w:rFonts w:cs="Arial"/>
        </w:rPr>
        <w:t>Efficacy assessments</w:t>
      </w:r>
    </w:p>
    <w:p w14:paraId="34A75982" w14:textId="52EBACBD" w:rsidR="0017534E" w:rsidRPr="00A47B8E" w:rsidRDefault="00151B6A" w:rsidP="00013A69">
      <w:pPr>
        <w:rPr>
          <w:rFonts w:cs="Arial"/>
        </w:rPr>
      </w:pPr>
      <w:r w:rsidRPr="00A47B8E">
        <w:rPr>
          <w:rFonts w:cs="Arial"/>
        </w:rPr>
        <w:t>Mini-</w:t>
      </w:r>
      <w:r w:rsidR="004757EE" w:rsidRPr="00A47B8E">
        <w:rPr>
          <w:rFonts w:cs="Arial"/>
        </w:rPr>
        <w:t>M</w:t>
      </w:r>
      <w:r w:rsidRPr="00A47B8E">
        <w:rPr>
          <w:rFonts w:cs="Arial"/>
        </w:rPr>
        <w:t>ental</w:t>
      </w:r>
      <w:r w:rsidR="004757EE" w:rsidRPr="00A47B8E">
        <w:rPr>
          <w:rFonts w:cs="Arial"/>
        </w:rPr>
        <w:t xml:space="preserve"> State </w:t>
      </w:r>
      <w:r w:rsidR="003379FA" w:rsidRPr="00A47B8E">
        <w:rPr>
          <w:rFonts w:cs="Arial"/>
        </w:rPr>
        <w:t xml:space="preserve">Examination </w:t>
      </w:r>
      <w:r w:rsidR="00EC0BD3" w:rsidRPr="00A47B8E">
        <w:rPr>
          <w:rFonts w:cs="Arial"/>
        </w:rPr>
        <w:t>(MMSE)</w:t>
      </w:r>
      <w:r w:rsidR="00A3641D" w:rsidRPr="00A47B8E">
        <w:rPr>
          <w:rFonts w:cs="Arial"/>
        </w:rPr>
        <w:t xml:space="preserve"> was </w:t>
      </w:r>
      <w:r w:rsidR="007E7F17" w:rsidRPr="00A47B8E">
        <w:rPr>
          <w:rFonts w:cs="Arial"/>
        </w:rPr>
        <w:t xml:space="preserve">assessed during </w:t>
      </w:r>
      <w:r w:rsidR="00DB3FF4" w:rsidRPr="00A47B8E">
        <w:rPr>
          <w:rFonts w:cs="Arial"/>
        </w:rPr>
        <w:t xml:space="preserve">the screening </w:t>
      </w:r>
      <w:r w:rsidR="00517F2F" w:rsidRPr="00A47B8E">
        <w:rPr>
          <w:rFonts w:cs="Arial"/>
        </w:rPr>
        <w:t xml:space="preserve">visit </w:t>
      </w:r>
      <w:r w:rsidR="00DB3FF4" w:rsidRPr="00A47B8E">
        <w:rPr>
          <w:rFonts w:cs="Arial"/>
        </w:rPr>
        <w:t xml:space="preserve">(2–4 weeks before starting </w:t>
      </w:r>
      <w:proofErr w:type="spellStart"/>
      <w:r w:rsidR="00DB3FF4" w:rsidRPr="00A47B8E">
        <w:rPr>
          <w:rFonts w:cs="Arial"/>
        </w:rPr>
        <w:t>rivastigmine</w:t>
      </w:r>
      <w:proofErr w:type="spellEnd"/>
      <w:r w:rsidR="00DB3FF4" w:rsidRPr="00A47B8E">
        <w:rPr>
          <w:rFonts w:cs="Arial"/>
        </w:rPr>
        <w:t>)</w:t>
      </w:r>
      <w:r w:rsidR="00517F2F" w:rsidRPr="00A47B8E">
        <w:rPr>
          <w:rFonts w:cs="Arial"/>
        </w:rPr>
        <w:t>, baseline</w:t>
      </w:r>
      <w:r w:rsidR="00DB3FF4" w:rsidRPr="00A47B8E">
        <w:rPr>
          <w:rFonts w:cs="Arial"/>
        </w:rPr>
        <w:t xml:space="preserve"> (day 1)</w:t>
      </w:r>
      <w:r w:rsidR="00517F2F" w:rsidRPr="00A47B8E">
        <w:rPr>
          <w:rFonts w:cs="Arial"/>
        </w:rPr>
        <w:t>, and at weeks 8 and 24</w:t>
      </w:r>
      <w:r w:rsidR="00F15140" w:rsidRPr="00A47B8E">
        <w:rPr>
          <w:rFonts w:cs="Arial"/>
        </w:rPr>
        <w:t xml:space="preserve"> (or discontinuation)</w:t>
      </w:r>
      <w:r w:rsidR="00517F2F" w:rsidRPr="00A47B8E">
        <w:rPr>
          <w:rFonts w:cs="Arial"/>
        </w:rPr>
        <w:t xml:space="preserve">. </w:t>
      </w:r>
      <w:r w:rsidR="00EC0BD3" w:rsidRPr="00A47B8E">
        <w:rPr>
          <w:rFonts w:cs="Arial"/>
        </w:rPr>
        <w:t xml:space="preserve">MMSE comprises two parts, to assess language and performance. The highest possible score is 30, and lower scores indicate more severe impairment [1]. </w:t>
      </w:r>
    </w:p>
    <w:p w14:paraId="7774162E" w14:textId="014BF95B" w:rsidR="003379FA" w:rsidRPr="00A47B8E" w:rsidRDefault="003379FA" w:rsidP="00013A69">
      <w:pPr>
        <w:rPr>
          <w:rFonts w:cs="Arial"/>
        </w:rPr>
      </w:pPr>
    </w:p>
    <w:p w14:paraId="5AA9C9F6" w14:textId="27724AF7" w:rsidR="00EC0BD3" w:rsidRPr="00A47B8E" w:rsidRDefault="00F15140" w:rsidP="00013A69">
      <w:pPr>
        <w:rPr>
          <w:rFonts w:cs="Arial"/>
        </w:rPr>
      </w:pPr>
      <w:r w:rsidRPr="00A47B8E">
        <w:rPr>
          <w:rFonts w:cs="Arial"/>
        </w:rPr>
        <w:t xml:space="preserve">Japanese Clinical Global Impression of Change (J-CGIC) </w:t>
      </w:r>
      <w:proofErr w:type="gramStart"/>
      <w:r w:rsidRPr="00A47B8E">
        <w:rPr>
          <w:rFonts w:cs="Arial"/>
        </w:rPr>
        <w:t>was assessed</w:t>
      </w:r>
      <w:proofErr w:type="gramEnd"/>
      <w:r w:rsidRPr="00A47B8E">
        <w:rPr>
          <w:rFonts w:cs="Arial"/>
        </w:rPr>
        <w:t xml:space="preserve"> at Weeks 4, 8, 16 and 24 (or discontinuation). </w:t>
      </w:r>
      <w:r w:rsidR="00293635" w:rsidRPr="00A47B8E">
        <w:rPr>
          <w:rFonts w:cs="Arial"/>
        </w:rPr>
        <w:t xml:space="preserve">The J-CGIC is a 7-grade scale </w:t>
      </w:r>
      <w:r w:rsidR="00637BDD" w:rsidRPr="00A47B8E">
        <w:rPr>
          <w:rFonts w:cs="Arial"/>
        </w:rPr>
        <w:t xml:space="preserve">used by </w:t>
      </w:r>
      <w:r w:rsidR="00293635" w:rsidRPr="00A47B8E">
        <w:rPr>
          <w:rFonts w:cs="Arial"/>
        </w:rPr>
        <w:t>the investigator</w:t>
      </w:r>
      <w:r w:rsidR="00637BDD" w:rsidRPr="00A47B8E">
        <w:rPr>
          <w:rFonts w:cs="Arial"/>
        </w:rPr>
        <w:t xml:space="preserve"> to judge the severity and change of the patient’s disease [2]</w:t>
      </w:r>
      <w:r w:rsidR="00293635" w:rsidRPr="00A47B8E">
        <w:rPr>
          <w:rFonts w:cs="Arial"/>
        </w:rPr>
        <w:t xml:space="preserve">, where </w:t>
      </w:r>
      <w:proofErr w:type="gramStart"/>
      <w:r w:rsidR="00293635" w:rsidRPr="00A47B8E">
        <w:rPr>
          <w:rFonts w:cs="Arial"/>
        </w:rPr>
        <w:t>1</w:t>
      </w:r>
      <w:proofErr w:type="gramEnd"/>
      <w:r w:rsidR="00293635" w:rsidRPr="00A47B8E">
        <w:rPr>
          <w:rFonts w:cs="Arial"/>
        </w:rPr>
        <w:t xml:space="preserve"> = markedly improved, 2 = improved, 3 = slightly improved, 4 = no change, 5 = slightly aggravated, 6 = aggravated, and 7 = markedly aggravated.</w:t>
      </w:r>
    </w:p>
    <w:p w14:paraId="4E1237D7" w14:textId="5054D94C" w:rsidR="003379FA" w:rsidRPr="00A47B8E" w:rsidRDefault="003379FA" w:rsidP="00013A69">
      <w:pPr>
        <w:rPr>
          <w:rFonts w:cs="Arial"/>
        </w:rPr>
      </w:pPr>
    </w:p>
    <w:p w14:paraId="622119A4" w14:textId="6AF980D1" w:rsidR="0041554B" w:rsidRPr="00A47B8E" w:rsidRDefault="00F914B5" w:rsidP="00013A69">
      <w:pPr>
        <w:rPr>
          <w:rFonts w:cs="Arial"/>
        </w:rPr>
      </w:pPr>
      <w:r w:rsidRPr="00A47B8E">
        <w:rPr>
          <w:rFonts w:cs="Arial"/>
        </w:rPr>
        <w:t xml:space="preserve">Neuropsychiatric Inventory-10 (NPI-10) </w:t>
      </w:r>
      <w:proofErr w:type="gramStart"/>
      <w:r w:rsidRPr="00A47B8E">
        <w:rPr>
          <w:rFonts w:cs="Arial"/>
        </w:rPr>
        <w:t>was assessed</w:t>
      </w:r>
      <w:proofErr w:type="gramEnd"/>
      <w:r w:rsidRPr="00A47B8E">
        <w:rPr>
          <w:rFonts w:cs="Arial"/>
        </w:rPr>
        <w:t xml:space="preserve"> as baseline (</w:t>
      </w:r>
      <w:r w:rsidR="00C350AD" w:rsidRPr="00A47B8E">
        <w:rPr>
          <w:rFonts w:cs="Arial"/>
        </w:rPr>
        <w:t>D</w:t>
      </w:r>
      <w:r w:rsidR="00DB3FF4" w:rsidRPr="00A47B8E">
        <w:rPr>
          <w:rFonts w:cs="Arial"/>
        </w:rPr>
        <w:t xml:space="preserve">ay 1), </w:t>
      </w:r>
      <w:r w:rsidR="00C350AD" w:rsidRPr="00A47B8E">
        <w:rPr>
          <w:rFonts w:cs="Arial"/>
        </w:rPr>
        <w:t>Week 8, and Week 24 (or discontinuation. NPI-10 is a tool used to assess behaviors of patients with dementia across 10 domains</w:t>
      </w:r>
      <w:r w:rsidR="007E061F" w:rsidRPr="00A47B8E">
        <w:rPr>
          <w:rFonts w:cs="Arial"/>
        </w:rPr>
        <w:t xml:space="preserve"> [3]</w:t>
      </w:r>
      <w:r w:rsidR="00F159A0" w:rsidRPr="00A47B8E">
        <w:rPr>
          <w:rFonts w:cs="Arial"/>
        </w:rPr>
        <w:t xml:space="preserve">: delusions, hallucinations, agitation/aggression, depression/dysphoria, anxiety, elation/euphoria, apathy/indifference, disinhibition, irritability/lability, and aberrant motor behavior. </w:t>
      </w:r>
      <w:r w:rsidR="00870D2E" w:rsidRPr="00A47B8E">
        <w:rPr>
          <w:rFonts w:cs="Arial"/>
        </w:rPr>
        <w:t>The scale includes frequency and severity ratings for each domain, with a compos</w:t>
      </w:r>
      <w:r w:rsidR="00F159A0" w:rsidRPr="00A47B8E">
        <w:rPr>
          <w:rFonts w:cs="Arial"/>
        </w:rPr>
        <w:t>i</w:t>
      </w:r>
      <w:r w:rsidR="00870D2E" w:rsidRPr="00A47B8E">
        <w:rPr>
          <w:rFonts w:cs="Arial"/>
        </w:rPr>
        <w:t xml:space="preserve">te domain score (calculated as frequency × severity) and an overall composite score (sum of all 10 domains). </w:t>
      </w:r>
      <w:r w:rsidR="007E061F" w:rsidRPr="00A47B8E">
        <w:rPr>
          <w:rFonts w:cs="Arial"/>
        </w:rPr>
        <w:t xml:space="preserve">Higher scores </w:t>
      </w:r>
      <w:r w:rsidR="00110415" w:rsidRPr="00A47B8E">
        <w:rPr>
          <w:rFonts w:cs="Arial"/>
        </w:rPr>
        <w:t>indicate more severe impairment.</w:t>
      </w:r>
      <w:r w:rsidR="00F159A0" w:rsidRPr="00A47B8E">
        <w:rPr>
          <w:rFonts w:cs="Arial"/>
        </w:rPr>
        <w:t xml:space="preserve"> </w:t>
      </w:r>
    </w:p>
    <w:p w14:paraId="299FA5AC" w14:textId="6627AD7D" w:rsidR="0041554B" w:rsidRPr="00A47B8E" w:rsidRDefault="0041554B" w:rsidP="00013A69">
      <w:pPr>
        <w:rPr>
          <w:rFonts w:cs="Arial"/>
        </w:rPr>
      </w:pPr>
    </w:p>
    <w:p w14:paraId="1B3788DA" w14:textId="65A33087" w:rsidR="00A01C4D" w:rsidRPr="00A47B8E" w:rsidRDefault="00A01C4D" w:rsidP="00013A69">
      <w:pPr>
        <w:rPr>
          <w:rFonts w:cs="Arial"/>
        </w:rPr>
      </w:pPr>
      <w:r w:rsidRPr="00A47B8E">
        <w:rPr>
          <w:rFonts w:cs="Arial"/>
        </w:rPr>
        <w:t>Quality of life was assessed using the 13-item QOL-Alzheimer’s disease questionnaire</w:t>
      </w:r>
      <w:r w:rsidR="006A1180" w:rsidRPr="00A47B8E">
        <w:rPr>
          <w:rFonts w:cs="Arial"/>
        </w:rPr>
        <w:t xml:space="preserve"> on baseline (d</w:t>
      </w:r>
      <w:r w:rsidR="001B7E19" w:rsidRPr="00A47B8E">
        <w:rPr>
          <w:rFonts w:cs="Arial"/>
        </w:rPr>
        <w:t>ay 1</w:t>
      </w:r>
      <w:r w:rsidR="006A1180" w:rsidRPr="00A47B8E">
        <w:rPr>
          <w:rFonts w:cs="Arial"/>
        </w:rPr>
        <w:t>)</w:t>
      </w:r>
      <w:r w:rsidR="001B7E19" w:rsidRPr="00A47B8E">
        <w:rPr>
          <w:rFonts w:cs="Arial"/>
        </w:rPr>
        <w:t xml:space="preserve"> and Week 24 (or discontinuation). The questionnaire cover</w:t>
      </w:r>
      <w:r w:rsidR="00BF23BD" w:rsidRPr="00A47B8E">
        <w:rPr>
          <w:rFonts w:cs="Arial"/>
        </w:rPr>
        <w:t>s</w:t>
      </w:r>
      <w:r w:rsidR="001B7E19" w:rsidRPr="00A47B8E">
        <w:rPr>
          <w:rFonts w:cs="Arial"/>
        </w:rPr>
        <w:t xml:space="preserve"> multiple aspects of QOL, including </w:t>
      </w:r>
      <w:r w:rsidR="00255F02" w:rsidRPr="00A47B8E">
        <w:rPr>
          <w:rFonts w:cs="Arial"/>
        </w:rPr>
        <w:t xml:space="preserve">health status, mood, functional capacity, personal relationships and leisure, </w:t>
      </w:r>
      <w:r w:rsidR="00255F02" w:rsidRPr="00A47B8E">
        <w:rPr>
          <w:rFonts w:cs="Arial"/>
        </w:rPr>
        <w:lastRenderedPageBreak/>
        <w:t>financial situation, and life as a whole</w:t>
      </w:r>
      <w:r w:rsidR="00BF23BD" w:rsidRPr="00A47B8E">
        <w:rPr>
          <w:rFonts w:cs="Arial"/>
        </w:rPr>
        <w:t xml:space="preserve"> [4]</w:t>
      </w:r>
      <w:r w:rsidR="00255F02" w:rsidRPr="00A47B8E">
        <w:rPr>
          <w:rFonts w:cs="Arial"/>
        </w:rPr>
        <w:t xml:space="preserve">. Each item is scored on a 4-point Likert scale, ranging from </w:t>
      </w:r>
      <w:proofErr w:type="gramStart"/>
      <w:r w:rsidR="00255F02" w:rsidRPr="00A47B8E">
        <w:rPr>
          <w:rFonts w:cs="Arial"/>
        </w:rPr>
        <w:t>1</w:t>
      </w:r>
      <w:proofErr w:type="gramEnd"/>
      <w:r w:rsidR="00255F02" w:rsidRPr="00A47B8E">
        <w:rPr>
          <w:rFonts w:cs="Arial"/>
        </w:rPr>
        <w:t xml:space="preserve"> = poor to 4 = excellent. An overall score is also calculated, which ranges from 13 to 52.</w:t>
      </w:r>
    </w:p>
    <w:p w14:paraId="37018586" w14:textId="506C3687" w:rsidR="002B1EE5" w:rsidRPr="00A47B8E" w:rsidRDefault="002B1EE5" w:rsidP="00013A69">
      <w:pPr>
        <w:rPr>
          <w:rFonts w:cs="Arial"/>
        </w:rPr>
      </w:pPr>
    </w:p>
    <w:p w14:paraId="6274B281" w14:textId="0428F60A" w:rsidR="002B1EE5" w:rsidRPr="00A47B8E" w:rsidRDefault="002B1EE5" w:rsidP="00013A69">
      <w:pPr>
        <w:rPr>
          <w:rFonts w:cs="Arial"/>
        </w:rPr>
      </w:pPr>
      <w:r w:rsidRPr="00A47B8E">
        <w:rPr>
          <w:rFonts w:cs="Arial"/>
        </w:rPr>
        <w:t xml:space="preserve">The modified Crichton scale was used to assess the caregiver’s impression on </w:t>
      </w:r>
      <w:r w:rsidR="006A1180" w:rsidRPr="00A47B8E">
        <w:rPr>
          <w:rFonts w:cs="Arial"/>
        </w:rPr>
        <w:t>baseline (d</w:t>
      </w:r>
      <w:r w:rsidR="00E020CE" w:rsidRPr="00A47B8E">
        <w:rPr>
          <w:rFonts w:cs="Arial"/>
        </w:rPr>
        <w:t>ay 1</w:t>
      </w:r>
      <w:r w:rsidR="006A1180" w:rsidRPr="00A47B8E">
        <w:rPr>
          <w:rFonts w:cs="Arial"/>
        </w:rPr>
        <w:t>)</w:t>
      </w:r>
      <w:r w:rsidR="00E020CE" w:rsidRPr="00A47B8E">
        <w:rPr>
          <w:rFonts w:cs="Arial"/>
        </w:rPr>
        <w:t xml:space="preserve">, and Weeks 4, 8, 16 and 24 (or discontinuation). </w:t>
      </w:r>
      <w:r w:rsidR="00DD1131" w:rsidRPr="00A47B8E">
        <w:rPr>
          <w:rFonts w:cs="Arial"/>
        </w:rPr>
        <w:t xml:space="preserve">The scale evaluates </w:t>
      </w:r>
      <w:proofErr w:type="gramStart"/>
      <w:r w:rsidR="00DD1131" w:rsidRPr="00A47B8E">
        <w:rPr>
          <w:rFonts w:cs="Arial"/>
        </w:rPr>
        <w:t>7</w:t>
      </w:r>
      <w:proofErr w:type="gramEnd"/>
      <w:r w:rsidR="00DD1131" w:rsidRPr="00A47B8E">
        <w:rPr>
          <w:rFonts w:cs="Arial"/>
        </w:rPr>
        <w:t xml:space="preserve"> items (orientation, conversation, cooperation with family and caregiver, restlessness, dressing and clothes, job and social activities/roles, and leisure activities), </w:t>
      </w:r>
      <w:r w:rsidR="00880D18" w:rsidRPr="00A47B8E">
        <w:rPr>
          <w:rFonts w:cs="Arial"/>
        </w:rPr>
        <w:t>using an 8-point Likert scale for each item [</w:t>
      </w:r>
      <w:r w:rsidR="00D017D1" w:rsidRPr="00A47B8E">
        <w:rPr>
          <w:rFonts w:cs="Arial"/>
          <w:lang w:eastAsia="ja-JP"/>
        </w:rPr>
        <w:t>5</w:t>
      </w:r>
      <w:r w:rsidR="00880D18" w:rsidRPr="00A47B8E">
        <w:rPr>
          <w:rFonts w:cs="Arial"/>
        </w:rPr>
        <w:t xml:space="preserve">]. The total score ranges from </w:t>
      </w:r>
      <w:proofErr w:type="gramStart"/>
      <w:r w:rsidR="00880D18" w:rsidRPr="00A47B8E">
        <w:rPr>
          <w:rFonts w:cs="Arial"/>
        </w:rPr>
        <w:t>0</w:t>
      </w:r>
      <w:proofErr w:type="gramEnd"/>
      <w:r w:rsidR="00880D18" w:rsidRPr="00A47B8E">
        <w:rPr>
          <w:rFonts w:cs="Arial"/>
        </w:rPr>
        <w:t xml:space="preserve"> to 56, where higher scores indicate more severe impairment.</w:t>
      </w:r>
    </w:p>
    <w:p w14:paraId="0E243450" w14:textId="35CCE4FB" w:rsidR="00A01C4D" w:rsidRPr="00A47B8E" w:rsidRDefault="00A01C4D" w:rsidP="00013A69">
      <w:pPr>
        <w:rPr>
          <w:rFonts w:cs="Arial"/>
        </w:rPr>
      </w:pPr>
    </w:p>
    <w:p w14:paraId="10793FB6" w14:textId="3335D6C6" w:rsidR="00E6152B" w:rsidRPr="00A47B8E" w:rsidRDefault="00E6152B" w:rsidP="00013A69">
      <w:pPr>
        <w:rPr>
          <w:rFonts w:cs="Arial"/>
        </w:rPr>
      </w:pPr>
      <w:r w:rsidRPr="00A47B8E">
        <w:rPr>
          <w:rFonts w:cs="Arial"/>
        </w:rPr>
        <w:t>Efficacy assessments at discontinuation were not mandatory if the patient discontinued due to an adverse event (AE).</w:t>
      </w:r>
    </w:p>
    <w:p w14:paraId="38145CC2" w14:textId="0D45779D" w:rsidR="000915CF" w:rsidRPr="00A47B8E" w:rsidRDefault="000915CF" w:rsidP="00013A69">
      <w:pPr>
        <w:rPr>
          <w:rFonts w:cs="Arial"/>
        </w:rPr>
      </w:pPr>
    </w:p>
    <w:p w14:paraId="3D0A88EB" w14:textId="07C46522" w:rsidR="003C310C" w:rsidRPr="00A47B8E" w:rsidRDefault="003C310C" w:rsidP="003C310C">
      <w:pPr>
        <w:pStyle w:val="3"/>
        <w:rPr>
          <w:rFonts w:cs="Arial"/>
        </w:rPr>
      </w:pPr>
      <w:r w:rsidRPr="00A47B8E">
        <w:rPr>
          <w:rFonts w:cs="Arial"/>
        </w:rPr>
        <w:t>Safety assessments</w:t>
      </w:r>
    </w:p>
    <w:p w14:paraId="48C6A969" w14:textId="5114BA9A" w:rsidR="003C310C" w:rsidRPr="00A47B8E" w:rsidRDefault="00C4734C" w:rsidP="00013A69">
      <w:pPr>
        <w:rPr>
          <w:rFonts w:cs="Arial"/>
        </w:rPr>
      </w:pPr>
      <w:r w:rsidRPr="00A47B8E">
        <w:rPr>
          <w:rFonts w:cs="Arial"/>
        </w:rPr>
        <w:t xml:space="preserve">Safety </w:t>
      </w:r>
      <w:proofErr w:type="gramStart"/>
      <w:r w:rsidRPr="00A47B8E">
        <w:rPr>
          <w:rFonts w:cs="Arial"/>
        </w:rPr>
        <w:t>was assessed</w:t>
      </w:r>
      <w:proofErr w:type="gramEnd"/>
      <w:r w:rsidRPr="00A47B8E">
        <w:rPr>
          <w:rFonts w:cs="Arial"/>
        </w:rPr>
        <w:t xml:space="preserve"> in terms of AEs</w:t>
      </w:r>
      <w:r w:rsidR="00902C9B" w:rsidRPr="00A47B8E">
        <w:rPr>
          <w:rFonts w:cs="Arial"/>
        </w:rPr>
        <w:t xml:space="preserve"> and</w:t>
      </w:r>
      <w:r w:rsidRPr="00A47B8E">
        <w:rPr>
          <w:rFonts w:cs="Arial"/>
        </w:rPr>
        <w:t xml:space="preserve"> serious AEs throughout the study. </w:t>
      </w:r>
      <w:r w:rsidR="00902C9B" w:rsidRPr="00A47B8E">
        <w:rPr>
          <w:rFonts w:cs="Arial"/>
        </w:rPr>
        <w:t xml:space="preserve">Laboratory evaluations were assessed at the screening visit and at Week 24 (or discontinuation), and at any time during the study as deemed necessary. Vital signs </w:t>
      </w:r>
      <w:proofErr w:type="gramStart"/>
      <w:r w:rsidR="00902C9B" w:rsidRPr="00A47B8E">
        <w:rPr>
          <w:rFonts w:cs="Arial"/>
        </w:rPr>
        <w:t>were assessed</w:t>
      </w:r>
      <w:proofErr w:type="gramEnd"/>
      <w:r w:rsidR="00902C9B" w:rsidRPr="00A47B8E">
        <w:rPr>
          <w:rFonts w:cs="Arial"/>
        </w:rPr>
        <w:t xml:space="preserve"> at each visit.</w:t>
      </w:r>
    </w:p>
    <w:p w14:paraId="07A94145" w14:textId="2C3E9F22" w:rsidR="003C310C" w:rsidRPr="00A47B8E" w:rsidRDefault="003C310C" w:rsidP="00013A69">
      <w:pPr>
        <w:rPr>
          <w:rFonts w:cs="Arial"/>
        </w:rPr>
      </w:pPr>
    </w:p>
    <w:p w14:paraId="796BA4DA" w14:textId="7C9B9D0E" w:rsidR="002B2B02" w:rsidRPr="00A47B8E" w:rsidRDefault="002B2B02" w:rsidP="002B2B02">
      <w:pPr>
        <w:pStyle w:val="3"/>
        <w:rPr>
          <w:rFonts w:cs="Arial"/>
        </w:rPr>
      </w:pPr>
      <w:r w:rsidRPr="00A47B8E">
        <w:rPr>
          <w:rFonts w:cs="Arial"/>
        </w:rPr>
        <w:t>Compliance</w:t>
      </w:r>
    </w:p>
    <w:p w14:paraId="78E520A3" w14:textId="73B5FE0F" w:rsidR="002B2B02" w:rsidRPr="00A47B8E" w:rsidRDefault="002B2B02" w:rsidP="00013A69">
      <w:pPr>
        <w:rPr>
          <w:rFonts w:cs="Arial"/>
        </w:rPr>
      </w:pPr>
      <w:r w:rsidRPr="00A47B8E">
        <w:rPr>
          <w:rFonts w:cs="Arial"/>
        </w:rPr>
        <w:t xml:space="preserve">Compliance was assessed by the investigator who checked the number of patches </w:t>
      </w:r>
      <w:r w:rsidR="00A736EB" w:rsidRPr="00A47B8E">
        <w:rPr>
          <w:rFonts w:cs="Arial"/>
        </w:rPr>
        <w:t>left over at each visit, and was</w:t>
      </w:r>
      <w:r w:rsidR="006A1180" w:rsidRPr="00A47B8E">
        <w:rPr>
          <w:rFonts w:cs="Arial"/>
        </w:rPr>
        <w:t xml:space="preserve"> classified as poor (</w:t>
      </w:r>
      <w:r w:rsidR="00A736EB" w:rsidRPr="00A47B8E">
        <w:rPr>
          <w:rFonts w:cs="Arial"/>
        </w:rPr>
        <w:t>&lt;25%), average (25</w:t>
      </w:r>
      <w:r w:rsidR="002D0260" w:rsidRPr="00A47B8E">
        <w:rPr>
          <w:rFonts w:cs="Arial"/>
        </w:rPr>
        <w:t>%</w:t>
      </w:r>
      <w:r w:rsidR="00A736EB" w:rsidRPr="00A47B8E">
        <w:rPr>
          <w:rFonts w:cs="Arial"/>
        </w:rPr>
        <w:t>–</w:t>
      </w:r>
      <w:r w:rsidR="002D0260" w:rsidRPr="00A47B8E">
        <w:rPr>
          <w:rFonts w:cs="Arial"/>
        </w:rPr>
        <w:t>50%), good (50%–75%) or very good (75%–100%).</w:t>
      </w:r>
    </w:p>
    <w:p w14:paraId="2651232C" w14:textId="77777777" w:rsidR="002B2B02" w:rsidRPr="00A47B8E" w:rsidRDefault="002B2B02" w:rsidP="002B2B02">
      <w:pPr>
        <w:rPr>
          <w:rFonts w:cs="Arial"/>
        </w:rPr>
      </w:pPr>
    </w:p>
    <w:p w14:paraId="11BF1D4A" w14:textId="77777777" w:rsidR="002B2B02" w:rsidRPr="00A47B8E" w:rsidRDefault="002B2B02" w:rsidP="002B2B02">
      <w:pPr>
        <w:pStyle w:val="3"/>
        <w:rPr>
          <w:rFonts w:cs="Arial"/>
        </w:rPr>
      </w:pPr>
      <w:r w:rsidRPr="00A47B8E">
        <w:rPr>
          <w:rFonts w:cs="Arial"/>
        </w:rPr>
        <w:t>Usability assessment</w:t>
      </w:r>
    </w:p>
    <w:p w14:paraId="6BD34C3D" w14:textId="59D039EF" w:rsidR="002B2B02" w:rsidRPr="00A47B8E" w:rsidRDefault="002B2B02" w:rsidP="002B2B02">
      <w:pPr>
        <w:rPr>
          <w:rFonts w:cs="Arial"/>
        </w:rPr>
      </w:pPr>
      <w:r w:rsidRPr="00A47B8E">
        <w:rPr>
          <w:rFonts w:cs="Arial"/>
        </w:rPr>
        <w:t xml:space="preserve">Caregivers completed a usability questionnaire at Week 24 (or discontinuation) to examine their perceptions of the usability of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</w:t>
      </w:r>
      <w:r w:rsidR="00BF42A4" w:rsidRPr="00A47B8E">
        <w:rPr>
          <w:rFonts w:cs="Arial"/>
        </w:rPr>
        <w:t xml:space="preserve">transdermal </w:t>
      </w:r>
      <w:r w:rsidRPr="00A47B8E">
        <w:rPr>
          <w:rFonts w:cs="Arial"/>
        </w:rPr>
        <w:t xml:space="preserve">patch relative to the prior oral therapy. The caregiver were offered 6 possible responses: Very easy to use, Easy to use, No change, </w:t>
      </w:r>
      <w:r w:rsidRPr="00A47B8E">
        <w:rPr>
          <w:rFonts w:cs="Arial"/>
        </w:rPr>
        <w:lastRenderedPageBreak/>
        <w:t xml:space="preserve">Not easy to use, Not easy to use at all, or Unknown. The caregiver </w:t>
      </w:r>
      <w:proofErr w:type="gramStart"/>
      <w:r w:rsidRPr="00A47B8E">
        <w:rPr>
          <w:rFonts w:cs="Arial"/>
        </w:rPr>
        <w:t>was then asked</w:t>
      </w:r>
      <w:proofErr w:type="gramEnd"/>
      <w:r w:rsidRPr="00A47B8E">
        <w:rPr>
          <w:rFonts w:cs="Arial"/>
        </w:rPr>
        <w:t xml:space="preserve"> to explain the reason for their answer to this question.</w:t>
      </w:r>
    </w:p>
    <w:p w14:paraId="6CC3D12E" w14:textId="1AD12841" w:rsidR="002B2B02" w:rsidRPr="00A47B8E" w:rsidRDefault="002B2B02" w:rsidP="00013A69">
      <w:pPr>
        <w:rPr>
          <w:rFonts w:cs="Arial"/>
        </w:rPr>
      </w:pPr>
    </w:p>
    <w:p w14:paraId="6502091F" w14:textId="208D9AB9" w:rsidR="00A85EA6" w:rsidRPr="00A47B8E" w:rsidRDefault="00A85EA6" w:rsidP="00A85EA6">
      <w:pPr>
        <w:pStyle w:val="3"/>
        <w:rPr>
          <w:rFonts w:cs="Arial"/>
        </w:rPr>
      </w:pPr>
      <w:r w:rsidRPr="00A47B8E">
        <w:rPr>
          <w:rFonts w:cs="Arial"/>
        </w:rPr>
        <w:t>Statistical analyses</w:t>
      </w:r>
    </w:p>
    <w:p w14:paraId="40E65AE1" w14:textId="4CE696F0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The sample size </w:t>
      </w:r>
      <w:proofErr w:type="gramStart"/>
      <w:r w:rsidRPr="00A47B8E">
        <w:rPr>
          <w:rFonts w:cs="Arial"/>
        </w:rPr>
        <w:t>was calculated</w:t>
      </w:r>
      <w:proofErr w:type="gramEnd"/>
      <w:r w:rsidRPr="00A47B8E">
        <w:rPr>
          <w:rFonts w:cs="Arial"/>
        </w:rPr>
        <w:t xml:space="preserve"> based on the change in MMSE score from baseline to Week 24. Briefly, 97 patients would ensure that the half-width of the 95% CI for the change from baseline in MMSE score would be 0.6, assuming a standard deviation of 3.0, which was estimated from studies 1301, 1303 and 1403</w:t>
      </w:r>
      <w:r w:rsidR="00416415" w:rsidRPr="00A47B8E">
        <w:rPr>
          <w:rFonts w:cs="Arial"/>
        </w:rPr>
        <w:t xml:space="preserve"> [6-8]</w:t>
      </w:r>
      <w:r w:rsidRPr="00A47B8E">
        <w:rPr>
          <w:rFonts w:cs="Arial"/>
        </w:rPr>
        <w:t xml:space="preserve">. Assuming dropouts, </w:t>
      </w:r>
      <w:proofErr w:type="gramStart"/>
      <w:r w:rsidRPr="00A47B8E">
        <w:rPr>
          <w:rFonts w:cs="Arial"/>
        </w:rPr>
        <w:t>a total of 120</w:t>
      </w:r>
      <w:proofErr w:type="gramEnd"/>
      <w:r w:rsidRPr="00A47B8E">
        <w:rPr>
          <w:rFonts w:cs="Arial"/>
        </w:rPr>
        <w:t xml:space="preserve"> patients were planned to be enrolled to achieve at least 97 evaluable patients.</w:t>
      </w:r>
    </w:p>
    <w:p w14:paraId="60393A0F" w14:textId="77777777" w:rsidR="00A85EA6" w:rsidRPr="00A47B8E" w:rsidRDefault="00A85EA6" w:rsidP="00A85EA6">
      <w:pPr>
        <w:rPr>
          <w:rFonts w:cs="Arial"/>
        </w:rPr>
      </w:pPr>
    </w:p>
    <w:p w14:paraId="0E7546DD" w14:textId="77777777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Efficacy data were analyzed using the full analysis set (FAS), defined as all patients who received at least one dose of study treatment and had at least a baseline and any post-baseline assessment on treatment. The per-protocol set was defined as all patients in the FAS who had only </w:t>
      </w:r>
      <w:proofErr w:type="gramStart"/>
      <w:r w:rsidRPr="00A47B8E">
        <w:rPr>
          <w:rFonts w:cs="Arial"/>
        </w:rPr>
        <w:t>1</w:t>
      </w:r>
      <w:proofErr w:type="gramEnd"/>
      <w:r w:rsidRPr="00A47B8E">
        <w:rPr>
          <w:rFonts w:cs="Arial"/>
        </w:rPr>
        <w:t xml:space="preserve"> step titration without any major deviations from the protocol procedures. The Safety set included all patients who received at least one dose of drug and had at least one post-baseline safety assessment. </w:t>
      </w:r>
    </w:p>
    <w:p w14:paraId="442C57F6" w14:textId="77777777" w:rsidR="00A85EA6" w:rsidRPr="00A47B8E" w:rsidRDefault="00A85EA6" w:rsidP="00A85EA6">
      <w:pPr>
        <w:rPr>
          <w:rFonts w:cs="Arial"/>
        </w:rPr>
      </w:pPr>
    </w:p>
    <w:p w14:paraId="743763BD" w14:textId="798C5503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The change in MMSE from baseline to Week 24 (i.e. primary endpoint) </w:t>
      </w:r>
      <w:proofErr w:type="gramStart"/>
      <w:r w:rsidRPr="00A47B8E">
        <w:rPr>
          <w:rFonts w:cs="Arial"/>
        </w:rPr>
        <w:t>was evaluated</w:t>
      </w:r>
      <w:proofErr w:type="gramEnd"/>
      <w:r w:rsidRPr="00A47B8E">
        <w:rPr>
          <w:rFonts w:cs="Arial"/>
        </w:rPr>
        <w:t xml:space="preserve"> using a mixed-effects model with repeated measures (MMRM) with visit as a fixed effect, baseline MMSE score as a covariate and patient as a random effect.</w:t>
      </w:r>
      <w:r w:rsidR="006A1180" w:rsidRPr="00A47B8E">
        <w:rPr>
          <w:rFonts w:cs="Arial"/>
        </w:rPr>
        <w:t xml:space="preserve"> </w:t>
      </w:r>
      <w:r w:rsidR="006A1180" w:rsidRPr="00A47B8E">
        <w:t xml:space="preserve">The unstructured covariance matrix </w:t>
      </w:r>
      <w:proofErr w:type="gramStart"/>
      <w:r w:rsidR="006A1180" w:rsidRPr="00A47B8E">
        <w:t>was used</w:t>
      </w:r>
      <w:proofErr w:type="gramEnd"/>
      <w:r w:rsidR="006A1180" w:rsidRPr="00A47B8E">
        <w:t xml:space="preserve"> for the modeling of within-patient errors. The Least Squares estimate of mean change at Week 24 </w:t>
      </w:r>
      <w:proofErr w:type="gramStart"/>
      <w:r w:rsidR="006A1180" w:rsidRPr="00A47B8E">
        <w:t>was shown</w:t>
      </w:r>
      <w:proofErr w:type="gramEnd"/>
      <w:r w:rsidR="006A1180" w:rsidRPr="00A47B8E">
        <w:t xml:space="preserve"> with two-sided 95% CIs and p-value. The p-value </w:t>
      </w:r>
      <w:proofErr w:type="gramStart"/>
      <w:r w:rsidR="006A1180" w:rsidRPr="00A47B8E">
        <w:t xml:space="preserve">was </w:t>
      </w:r>
      <w:r w:rsidR="006A1180" w:rsidRPr="00A47B8E">
        <w:rPr>
          <w:rFonts w:hint="eastAsia"/>
          <w:lang w:eastAsia="ja-JP"/>
        </w:rPr>
        <w:t>descriptively</w:t>
      </w:r>
      <w:r w:rsidR="006A1180" w:rsidRPr="00A47B8E">
        <w:t xml:space="preserve"> used</w:t>
      </w:r>
      <w:proofErr w:type="gramEnd"/>
      <w:r w:rsidR="006A1180" w:rsidRPr="00A47B8E">
        <w:t>.</w:t>
      </w:r>
    </w:p>
    <w:p w14:paraId="0BFA2EAB" w14:textId="58BC677A" w:rsidR="00A85EA6" w:rsidRPr="00A47B8E" w:rsidRDefault="00A85EA6" w:rsidP="00A85EA6">
      <w:pPr>
        <w:rPr>
          <w:rFonts w:cs="Arial"/>
        </w:rPr>
      </w:pPr>
    </w:p>
    <w:p w14:paraId="4EDA9301" w14:textId="154F3271" w:rsidR="006A1180" w:rsidRPr="00A47B8E" w:rsidRDefault="006A1180" w:rsidP="00A85EA6">
      <w:r w:rsidRPr="00A47B8E">
        <w:t xml:space="preserve">For the analysis of MMSE total score at Week 8 (i.e. secondary endpoint), we used the same MMRM model as that used in the primary analysis and showed estimated mean changes and </w:t>
      </w:r>
      <w:r w:rsidRPr="00A47B8E">
        <w:lastRenderedPageBreak/>
        <w:t>two-sided 95% CIs.</w:t>
      </w:r>
    </w:p>
    <w:p w14:paraId="1A4ED1A0" w14:textId="77777777" w:rsidR="006A1180" w:rsidRPr="00A47B8E" w:rsidRDefault="006A1180" w:rsidP="00A85EA6">
      <w:pPr>
        <w:rPr>
          <w:rFonts w:cs="Arial"/>
        </w:rPr>
      </w:pPr>
    </w:p>
    <w:p w14:paraId="17DD03E8" w14:textId="77777777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NPI-10, QOL-AD, and modified Crichton scale </w:t>
      </w:r>
      <w:proofErr w:type="gramStart"/>
      <w:r w:rsidRPr="00A47B8E">
        <w:rPr>
          <w:rFonts w:cs="Arial"/>
        </w:rPr>
        <w:t>were summarized</w:t>
      </w:r>
      <w:proofErr w:type="gramEnd"/>
      <w:r w:rsidRPr="00A47B8E">
        <w:rPr>
          <w:rFonts w:cs="Arial"/>
        </w:rPr>
        <w:t xml:space="preserve"> descriptively, along with 95% CIs for the changes in scores from baseline to the indicated time-points. For J-CGIC, the number and proportion (with 95% CIs) </w:t>
      </w:r>
      <w:proofErr w:type="gramStart"/>
      <w:r w:rsidRPr="00A47B8E">
        <w:rPr>
          <w:rFonts w:cs="Arial"/>
        </w:rPr>
        <w:t>were reported</w:t>
      </w:r>
      <w:proofErr w:type="gramEnd"/>
      <w:r w:rsidRPr="00A47B8E">
        <w:rPr>
          <w:rFonts w:cs="Arial"/>
        </w:rPr>
        <w:t xml:space="preserve"> for each grade, and for the proportion of patients with an improvement (marked, moderate, or mild improvement) or no worsening (marked, moderate, or mild improvement or no change) in symptoms.</w:t>
      </w:r>
    </w:p>
    <w:p w14:paraId="14EB8E16" w14:textId="77777777" w:rsidR="00A85EA6" w:rsidRPr="00A47B8E" w:rsidRDefault="00A85EA6" w:rsidP="00A85EA6">
      <w:pPr>
        <w:rPr>
          <w:rFonts w:cs="Arial"/>
        </w:rPr>
      </w:pPr>
    </w:p>
    <w:p w14:paraId="2BB69B50" w14:textId="77777777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Usability </w:t>
      </w:r>
      <w:proofErr w:type="gramStart"/>
      <w:r w:rsidRPr="00A47B8E">
        <w:rPr>
          <w:rFonts w:cs="Arial"/>
        </w:rPr>
        <w:t>was assessed</w:t>
      </w:r>
      <w:proofErr w:type="gramEnd"/>
      <w:r w:rsidRPr="00A47B8E">
        <w:rPr>
          <w:rFonts w:cs="Arial"/>
        </w:rPr>
        <w:t xml:space="preserve"> in terms of the number (percent) of caregivers, with two-sided 95% CI. </w:t>
      </w:r>
    </w:p>
    <w:p w14:paraId="1771242E" w14:textId="35288854" w:rsidR="00A85EA6" w:rsidRPr="00A47B8E" w:rsidRDefault="00A85EA6" w:rsidP="00A85EA6">
      <w:pPr>
        <w:rPr>
          <w:rFonts w:cs="Arial"/>
        </w:rPr>
      </w:pPr>
    </w:p>
    <w:p w14:paraId="29B46646" w14:textId="77777777" w:rsidR="006A1180" w:rsidRPr="00A47B8E" w:rsidRDefault="006A1180" w:rsidP="006A1180">
      <w:r w:rsidRPr="00A47B8E">
        <w:t xml:space="preserve">As an exploratory analysis, changes in the MMSE total score </w:t>
      </w:r>
      <w:proofErr w:type="gramStart"/>
      <w:r w:rsidRPr="00A47B8E">
        <w:t>were compared</w:t>
      </w:r>
      <w:proofErr w:type="gramEnd"/>
      <w:r w:rsidRPr="00A47B8E">
        <w:t xml:space="preserve"> between before and after the switching of treatment from oral </w:t>
      </w:r>
      <w:proofErr w:type="spellStart"/>
      <w:r w:rsidRPr="00A47B8E">
        <w:t>ChEIs</w:t>
      </w:r>
      <w:proofErr w:type="spellEnd"/>
      <w:r w:rsidRPr="00A47B8E">
        <w:t xml:space="preserve"> to </w:t>
      </w:r>
      <w:proofErr w:type="spellStart"/>
      <w:r w:rsidRPr="00A47B8E">
        <w:t>rivastigmine</w:t>
      </w:r>
      <w:proofErr w:type="spellEnd"/>
      <w:r w:rsidRPr="00A47B8E">
        <w:t xml:space="preserve"> patch. In this analysis, the slope of the line that shows the time course of changes in the MMSE total score </w:t>
      </w:r>
      <w:proofErr w:type="gramStart"/>
      <w:r w:rsidRPr="00A47B8E">
        <w:t>was estimated</w:t>
      </w:r>
      <w:proofErr w:type="gramEnd"/>
      <w:r w:rsidRPr="00A47B8E">
        <w:t xml:space="preserve"> using mixed-effect models by setting durations before and after switching as different fixed effects and including random sections for each patient.</w:t>
      </w:r>
    </w:p>
    <w:p w14:paraId="6F02E1B8" w14:textId="6E4EC632" w:rsidR="006A1180" w:rsidRPr="00A47B8E" w:rsidRDefault="006A1180" w:rsidP="00A85EA6">
      <w:pPr>
        <w:rPr>
          <w:rFonts w:cs="Arial"/>
        </w:rPr>
      </w:pPr>
    </w:p>
    <w:p w14:paraId="5F165AAF" w14:textId="2CEBDCC1" w:rsidR="006A1180" w:rsidRPr="00A47B8E" w:rsidRDefault="006A1180" w:rsidP="00A85EA6">
      <w:r w:rsidRPr="00A47B8E">
        <w:t xml:space="preserve">The MMRM model of subgroup analysis contained visit, subgroup (categories) and visit*subgroup as fixed effects, baseline MMSE score as a covariate and subject as a random effect. An unstructured covariance matrix </w:t>
      </w:r>
      <w:proofErr w:type="gramStart"/>
      <w:r w:rsidRPr="00A47B8E">
        <w:t>was used</w:t>
      </w:r>
      <w:proofErr w:type="gramEnd"/>
      <w:r w:rsidRPr="00A47B8E">
        <w:t xml:space="preserve">. The estimated mean change at Week 24 along with a two-sided 95% confidence interval and p-values </w:t>
      </w:r>
      <w:proofErr w:type="gramStart"/>
      <w:r w:rsidRPr="00A47B8E">
        <w:t>are presented</w:t>
      </w:r>
      <w:proofErr w:type="gramEnd"/>
      <w:r w:rsidRPr="00A47B8E">
        <w:t xml:space="preserve">. P-values </w:t>
      </w:r>
      <w:proofErr w:type="gramStart"/>
      <w:r w:rsidRPr="00A47B8E">
        <w:t>are used</w:t>
      </w:r>
      <w:proofErr w:type="gramEnd"/>
      <w:r w:rsidRPr="00A47B8E">
        <w:t xml:space="preserve"> in descriptive manner.</w:t>
      </w:r>
    </w:p>
    <w:p w14:paraId="16C4EFB6" w14:textId="77777777" w:rsidR="006A1180" w:rsidRPr="00A47B8E" w:rsidRDefault="006A1180" w:rsidP="00A85EA6">
      <w:pPr>
        <w:rPr>
          <w:rFonts w:cs="Arial"/>
        </w:rPr>
      </w:pPr>
    </w:p>
    <w:p w14:paraId="6A85C390" w14:textId="77777777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t xml:space="preserve">Safety data </w:t>
      </w:r>
      <w:proofErr w:type="gramStart"/>
      <w:r w:rsidRPr="00A47B8E">
        <w:rPr>
          <w:rFonts w:cs="Arial"/>
        </w:rPr>
        <w:t>were assessed</w:t>
      </w:r>
      <w:proofErr w:type="gramEnd"/>
      <w:r w:rsidRPr="00A47B8E">
        <w:rPr>
          <w:rFonts w:cs="Arial"/>
        </w:rPr>
        <w:t xml:space="preserve"> descriptively in terms of the number (percent) of patients with each AE/SAE for the titration and maintenance periods separately and for the overall study period. AEs of special interest (skin-related and GI-related events) </w:t>
      </w:r>
      <w:proofErr w:type="gramStart"/>
      <w:r w:rsidRPr="00A47B8E">
        <w:rPr>
          <w:rFonts w:cs="Arial"/>
        </w:rPr>
        <w:t>were also summarized</w:t>
      </w:r>
      <w:proofErr w:type="gramEnd"/>
      <w:r w:rsidRPr="00A47B8E">
        <w:rPr>
          <w:rFonts w:cs="Arial"/>
        </w:rPr>
        <w:t xml:space="preserve"> separately.</w:t>
      </w:r>
    </w:p>
    <w:p w14:paraId="28AC56C3" w14:textId="77777777" w:rsidR="00A85EA6" w:rsidRPr="00A47B8E" w:rsidRDefault="00A85EA6" w:rsidP="00A85EA6">
      <w:pPr>
        <w:rPr>
          <w:rFonts w:cs="Arial"/>
        </w:rPr>
      </w:pPr>
    </w:p>
    <w:p w14:paraId="236E8468" w14:textId="76893C72" w:rsidR="00A85EA6" w:rsidRPr="00A47B8E" w:rsidRDefault="00A85EA6" w:rsidP="00A85EA6">
      <w:pPr>
        <w:rPr>
          <w:rFonts w:cs="Arial"/>
        </w:rPr>
      </w:pPr>
      <w:r w:rsidRPr="00A47B8E">
        <w:rPr>
          <w:rFonts w:cs="Arial"/>
        </w:rPr>
        <w:lastRenderedPageBreak/>
        <w:t xml:space="preserve">All statistical analyses </w:t>
      </w:r>
      <w:proofErr w:type="gramStart"/>
      <w:r w:rsidRPr="00A47B8E">
        <w:rPr>
          <w:rFonts w:cs="Arial"/>
        </w:rPr>
        <w:t>were performed</w:t>
      </w:r>
      <w:proofErr w:type="gramEnd"/>
      <w:r w:rsidRPr="00A47B8E">
        <w:rPr>
          <w:rFonts w:cs="Arial"/>
        </w:rPr>
        <w:t xml:space="preserve"> using SAS version 9.4 (SAS Institute, Cary, NC, USA).</w:t>
      </w:r>
    </w:p>
    <w:p w14:paraId="0D4FF46F" w14:textId="77777777" w:rsidR="00A85EA6" w:rsidRPr="00A47B8E" w:rsidRDefault="00A85EA6" w:rsidP="00013A69">
      <w:pPr>
        <w:rPr>
          <w:rFonts w:cs="Arial"/>
        </w:rPr>
      </w:pPr>
    </w:p>
    <w:p w14:paraId="737FCBC3" w14:textId="23E01AEF" w:rsidR="003379FA" w:rsidRPr="00A47B8E" w:rsidRDefault="003379FA" w:rsidP="003379FA">
      <w:pPr>
        <w:pStyle w:val="3"/>
        <w:rPr>
          <w:rFonts w:cs="Arial"/>
        </w:rPr>
      </w:pPr>
      <w:r w:rsidRPr="00A47B8E">
        <w:rPr>
          <w:rFonts w:cs="Arial"/>
        </w:rPr>
        <w:t>References</w:t>
      </w:r>
    </w:p>
    <w:p w14:paraId="4ED4B772" w14:textId="471138BB" w:rsidR="003379FA" w:rsidRPr="00A47B8E" w:rsidRDefault="00A3641D" w:rsidP="00637BDD">
      <w:pPr>
        <w:pStyle w:val="a4"/>
        <w:numPr>
          <w:ilvl w:val="0"/>
          <w:numId w:val="20"/>
        </w:numPr>
        <w:rPr>
          <w:rFonts w:cs="Arial"/>
        </w:rPr>
      </w:pPr>
      <w:proofErr w:type="spellStart"/>
      <w:r w:rsidRPr="00A47B8E">
        <w:rPr>
          <w:rFonts w:cs="Arial"/>
        </w:rPr>
        <w:t>Folstein</w:t>
      </w:r>
      <w:proofErr w:type="spellEnd"/>
      <w:r w:rsidRPr="00A47B8E">
        <w:rPr>
          <w:rFonts w:cs="Arial"/>
        </w:rPr>
        <w:t xml:space="preserve"> MF, </w:t>
      </w:r>
      <w:proofErr w:type="spellStart"/>
      <w:r w:rsidRPr="00A47B8E">
        <w:rPr>
          <w:rFonts w:cs="Arial"/>
        </w:rPr>
        <w:t>Folstein</w:t>
      </w:r>
      <w:proofErr w:type="spellEnd"/>
      <w:r w:rsidRPr="00A47B8E">
        <w:rPr>
          <w:rFonts w:cs="Arial"/>
        </w:rPr>
        <w:t xml:space="preserve"> SE, McHugh PR</w:t>
      </w:r>
      <w:r w:rsidR="007B22DA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674EEE" w:rsidRPr="00A47B8E">
        <w:rPr>
          <w:rFonts w:cs="Arial"/>
        </w:rPr>
        <w:t>“</w:t>
      </w:r>
      <w:r w:rsidRPr="00A47B8E">
        <w:rPr>
          <w:rFonts w:cs="Arial"/>
        </w:rPr>
        <w:t>Mini-mental state</w:t>
      </w:r>
      <w:r w:rsidR="00674EEE" w:rsidRPr="00A47B8E">
        <w:rPr>
          <w:rFonts w:cs="Arial"/>
        </w:rPr>
        <w:t>”</w:t>
      </w:r>
      <w:r w:rsidR="00A250E3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A250E3" w:rsidRPr="00A47B8E">
        <w:rPr>
          <w:rFonts w:cs="Arial"/>
        </w:rPr>
        <w:t>A</w:t>
      </w:r>
      <w:r w:rsidRPr="00A47B8E">
        <w:rPr>
          <w:rFonts w:cs="Arial"/>
        </w:rPr>
        <w:t xml:space="preserve"> practical method for grading the cognitive state of patients for the clinician. J </w:t>
      </w:r>
      <w:proofErr w:type="spellStart"/>
      <w:r w:rsidRPr="00A47B8E">
        <w:rPr>
          <w:rFonts w:cs="Arial"/>
        </w:rPr>
        <w:t>Psychiatr</w:t>
      </w:r>
      <w:proofErr w:type="spellEnd"/>
      <w:r w:rsidRPr="00A47B8E">
        <w:rPr>
          <w:rFonts w:cs="Arial"/>
        </w:rPr>
        <w:t xml:space="preserve"> Res</w:t>
      </w:r>
      <w:r w:rsidR="00A250E3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7B22DA" w:rsidRPr="00A47B8E">
        <w:rPr>
          <w:rFonts w:cs="Arial"/>
        </w:rPr>
        <w:t>1975</w:t>
      </w:r>
      <w:proofErr w:type="gramStart"/>
      <w:r w:rsidR="007B22DA" w:rsidRPr="00A47B8E">
        <w:rPr>
          <w:rFonts w:cs="Arial"/>
        </w:rPr>
        <w:t>;</w:t>
      </w:r>
      <w:r w:rsidRPr="00A47B8E">
        <w:rPr>
          <w:rFonts w:cs="Arial"/>
        </w:rPr>
        <w:t>12:189</w:t>
      </w:r>
      <w:proofErr w:type="gramEnd"/>
      <w:r w:rsidR="00A250E3" w:rsidRPr="00A47B8E">
        <w:rPr>
          <w:rFonts w:cs="Arial"/>
        </w:rPr>
        <w:t>–1</w:t>
      </w:r>
      <w:r w:rsidRPr="00A47B8E">
        <w:rPr>
          <w:rFonts w:cs="Arial"/>
        </w:rPr>
        <w:t>98.</w:t>
      </w:r>
    </w:p>
    <w:p w14:paraId="2EB55017" w14:textId="7ABA3C7D" w:rsidR="00637BDD" w:rsidRPr="00A47B8E" w:rsidRDefault="0041554B" w:rsidP="00637BDD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>Homma A</w:t>
      </w:r>
      <w:r w:rsidR="006F1DD0" w:rsidRPr="00A47B8E">
        <w:rPr>
          <w:rFonts w:cs="Arial"/>
        </w:rPr>
        <w:t>.</w:t>
      </w:r>
      <w:r w:rsidRPr="00A47B8E">
        <w:rPr>
          <w:rFonts w:cs="Arial"/>
        </w:rPr>
        <w:t xml:space="preserve"> Guidelines for the clinical evaluation of </w:t>
      </w:r>
      <w:proofErr w:type="spellStart"/>
      <w:r w:rsidRPr="00A47B8E">
        <w:rPr>
          <w:rFonts w:cs="Arial"/>
        </w:rPr>
        <w:t>antidementia</w:t>
      </w:r>
      <w:proofErr w:type="spellEnd"/>
      <w:r w:rsidRPr="00A47B8E">
        <w:rPr>
          <w:rFonts w:cs="Arial"/>
        </w:rPr>
        <w:t xml:space="preserve"> drugs. </w:t>
      </w:r>
      <w:proofErr w:type="spellStart"/>
      <w:r w:rsidRPr="00A47B8E">
        <w:rPr>
          <w:rFonts w:cs="Arial"/>
        </w:rPr>
        <w:t>Iyakuhin</w:t>
      </w:r>
      <w:proofErr w:type="spellEnd"/>
      <w:r w:rsidRPr="00A47B8E">
        <w:rPr>
          <w:rFonts w:cs="Arial"/>
        </w:rPr>
        <w:t xml:space="preserve"> </w:t>
      </w:r>
      <w:proofErr w:type="spellStart"/>
      <w:r w:rsidRPr="00A47B8E">
        <w:rPr>
          <w:rFonts w:cs="Arial"/>
        </w:rPr>
        <w:t>Kenkyu</w:t>
      </w:r>
      <w:proofErr w:type="spellEnd"/>
      <w:r w:rsidR="001812BF" w:rsidRPr="00A47B8E">
        <w:rPr>
          <w:rFonts w:cs="Arial"/>
        </w:rPr>
        <w:t>.</w:t>
      </w:r>
      <w:r w:rsidR="006F1DD0" w:rsidRPr="00A47B8E">
        <w:rPr>
          <w:rFonts w:cs="Arial"/>
        </w:rPr>
        <w:t xml:space="preserve"> 1998</w:t>
      </w:r>
      <w:proofErr w:type="gramStart"/>
      <w:r w:rsidR="006F1DD0" w:rsidRPr="00A47B8E">
        <w:rPr>
          <w:rFonts w:cs="Arial"/>
        </w:rPr>
        <w:t>;</w:t>
      </w:r>
      <w:r w:rsidRPr="00A47B8E">
        <w:rPr>
          <w:rFonts w:cs="Arial"/>
        </w:rPr>
        <w:t>29:835</w:t>
      </w:r>
      <w:proofErr w:type="gramEnd"/>
      <w:r w:rsidR="00A250E3" w:rsidRPr="00A47B8E">
        <w:rPr>
          <w:rFonts w:cs="Arial"/>
        </w:rPr>
        <w:t>–8</w:t>
      </w:r>
      <w:r w:rsidRPr="00A47B8E">
        <w:rPr>
          <w:rFonts w:cs="Arial"/>
        </w:rPr>
        <w:t>46.</w:t>
      </w:r>
    </w:p>
    <w:p w14:paraId="42DA6B58" w14:textId="475F9F1D" w:rsidR="0041554B" w:rsidRPr="00A47B8E" w:rsidRDefault="00110415" w:rsidP="00637BDD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 xml:space="preserve">Cummings JL, Mega M, Gray K, </w:t>
      </w:r>
      <w:r w:rsidR="00BA18AA" w:rsidRPr="00A47B8E">
        <w:rPr>
          <w:rFonts w:cs="Arial"/>
        </w:rPr>
        <w:t xml:space="preserve">Rosenberg-Thompson S, </w:t>
      </w:r>
      <w:proofErr w:type="spellStart"/>
      <w:r w:rsidR="00BA18AA" w:rsidRPr="00A47B8E">
        <w:rPr>
          <w:rFonts w:cs="Arial"/>
        </w:rPr>
        <w:t>Carusi</w:t>
      </w:r>
      <w:proofErr w:type="spellEnd"/>
      <w:r w:rsidR="00BA18AA" w:rsidRPr="00A47B8E">
        <w:rPr>
          <w:rFonts w:cs="Arial"/>
        </w:rPr>
        <w:t xml:space="preserve"> DA, </w:t>
      </w:r>
      <w:proofErr w:type="spellStart"/>
      <w:r w:rsidR="00BA18AA" w:rsidRPr="00A47B8E">
        <w:rPr>
          <w:rFonts w:cs="Arial"/>
        </w:rPr>
        <w:t>Gornbein</w:t>
      </w:r>
      <w:proofErr w:type="spellEnd"/>
      <w:r w:rsidR="00BA18AA" w:rsidRPr="00A47B8E">
        <w:rPr>
          <w:rFonts w:cs="Arial"/>
        </w:rPr>
        <w:t xml:space="preserve"> J</w:t>
      </w:r>
      <w:r w:rsidR="006F1DD0" w:rsidRPr="00A47B8E">
        <w:rPr>
          <w:rFonts w:cs="Arial"/>
        </w:rPr>
        <w:t>.</w:t>
      </w:r>
      <w:r w:rsidRPr="00A47B8E">
        <w:rPr>
          <w:rFonts w:cs="Arial"/>
        </w:rPr>
        <w:t xml:space="preserve"> The Neuropsychiatric Inventory: comprehensive assessment of psychopathology in dementia; Neurology</w:t>
      </w:r>
      <w:r w:rsidR="001812BF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6F1DD0" w:rsidRPr="00A47B8E">
        <w:rPr>
          <w:rFonts w:cs="Arial"/>
        </w:rPr>
        <w:t>1994</w:t>
      </w:r>
      <w:proofErr w:type="gramStart"/>
      <w:r w:rsidR="006F1DD0" w:rsidRPr="00A47B8E">
        <w:rPr>
          <w:rFonts w:cs="Arial"/>
        </w:rPr>
        <w:t>;</w:t>
      </w:r>
      <w:r w:rsidRPr="00A47B8E">
        <w:rPr>
          <w:rFonts w:cs="Arial"/>
        </w:rPr>
        <w:t>44:2308</w:t>
      </w:r>
      <w:proofErr w:type="gramEnd"/>
      <w:r w:rsidR="00BA18AA" w:rsidRPr="00A47B8E">
        <w:rPr>
          <w:rFonts w:cs="Arial"/>
        </w:rPr>
        <w:t>–23</w:t>
      </w:r>
      <w:r w:rsidRPr="00A47B8E">
        <w:rPr>
          <w:rFonts w:cs="Arial"/>
        </w:rPr>
        <w:t>14.</w:t>
      </w:r>
    </w:p>
    <w:p w14:paraId="2E818476" w14:textId="07ED7BAF" w:rsidR="002B1EE5" w:rsidRPr="00A47B8E" w:rsidRDefault="002B1EE5" w:rsidP="00637BDD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 xml:space="preserve">Logsdon RG, Gibbons LE, McCurry SM, </w:t>
      </w:r>
      <w:r w:rsidR="00A3355E" w:rsidRPr="00A47B8E">
        <w:rPr>
          <w:rFonts w:cs="Arial"/>
        </w:rPr>
        <w:t>Teri L</w:t>
      </w:r>
      <w:r w:rsidRPr="00A47B8E">
        <w:rPr>
          <w:rFonts w:cs="Arial"/>
        </w:rPr>
        <w:t xml:space="preserve">. Quality of life in Alzheimer's disease: patient and caregiver reports. J </w:t>
      </w:r>
      <w:proofErr w:type="spellStart"/>
      <w:r w:rsidRPr="00A47B8E">
        <w:rPr>
          <w:rFonts w:cs="Arial"/>
        </w:rPr>
        <w:t>Ment</w:t>
      </w:r>
      <w:proofErr w:type="spellEnd"/>
      <w:r w:rsidRPr="00A47B8E">
        <w:rPr>
          <w:rFonts w:cs="Arial"/>
        </w:rPr>
        <w:t xml:space="preserve"> Health Aging</w:t>
      </w:r>
      <w:r w:rsidR="001812BF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6F1DD0" w:rsidRPr="00A47B8E">
        <w:rPr>
          <w:rFonts w:cs="Arial"/>
        </w:rPr>
        <w:t>1999</w:t>
      </w:r>
      <w:proofErr w:type="gramStart"/>
      <w:r w:rsidR="006F1DD0" w:rsidRPr="00A47B8E">
        <w:rPr>
          <w:rFonts w:cs="Arial"/>
        </w:rPr>
        <w:t>;</w:t>
      </w:r>
      <w:r w:rsidRPr="00A47B8E">
        <w:rPr>
          <w:rFonts w:cs="Arial"/>
        </w:rPr>
        <w:t>5:21</w:t>
      </w:r>
      <w:proofErr w:type="gramEnd"/>
      <w:r w:rsidR="00A3355E" w:rsidRPr="00A47B8E">
        <w:rPr>
          <w:rFonts w:cs="Arial"/>
        </w:rPr>
        <w:t>–</w:t>
      </w:r>
      <w:r w:rsidRPr="00A47B8E">
        <w:rPr>
          <w:rFonts w:cs="Arial"/>
        </w:rPr>
        <w:t>32.</w:t>
      </w:r>
    </w:p>
    <w:p w14:paraId="4E61BA52" w14:textId="3CAEABB6" w:rsidR="00416415" w:rsidRPr="00A47B8E" w:rsidRDefault="00D477D5" w:rsidP="00416415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 xml:space="preserve">Homma A, Takeda M, Imai Y, </w:t>
      </w:r>
      <w:proofErr w:type="spellStart"/>
      <w:r w:rsidR="005445E7" w:rsidRPr="00A47B8E">
        <w:rPr>
          <w:rFonts w:cs="Arial"/>
        </w:rPr>
        <w:t>Udaka</w:t>
      </w:r>
      <w:proofErr w:type="spellEnd"/>
      <w:r w:rsidR="005445E7" w:rsidRPr="00A47B8E">
        <w:rPr>
          <w:rFonts w:cs="Arial"/>
        </w:rPr>
        <w:t xml:space="preserve"> F, Hasegawa K, </w:t>
      </w:r>
      <w:proofErr w:type="spellStart"/>
      <w:r w:rsidR="005445E7" w:rsidRPr="00A47B8E">
        <w:rPr>
          <w:rFonts w:cs="Arial"/>
        </w:rPr>
        <w:t>Kameyama</w:t>
      </w:r>
      <w:proofErr w:type="spellEnd"/>
      <w:r w:rsidR="005445E7" w:rsidRPr="00A47B8E">
        <w:rPr>
          <w:rFonts w:cs="Arial"/>
        </w:rPr>
        <w:t xml:space="preserve"> M, </w:t>
      </w:r>
      <w:r w:rsidRPr="00A47B8E">
        <w:rPr>
          <w:rFonts w:cs="Arial"/>
        </w:rPr>
        <w:t xml:space="preserve">et al. Clinical efficacy and safety of donepezil on cognitive global function in patients with Alzheimer's disease. A 24-week, multicenter, </w:t>
      </w:r>
      <w:proofErr w:type="gramStart"/>
      <w:r w:rsidRPr="00A47B8E">
        <w:rPr>
          <w:rFonts w:cs="Arial"/>
        </w:rPr>
        <w:t>double-blind</w:t>
      </w:r>
      <w:proofErr w:type="gramEnd"/>
      <w:r w:rsidRPr="00A47B8E">
        <w:rPr>
          <w:rFonts w:cs="Arial"/>
        </w:rPr>
        <w:t>, placebo</w:t>
      </w:r>
      <w:r w:rsidR="007B22DA" w:rsidRPr="00A47B8E">
        <w:rPr>
          <w:rFonts w:cs="Arial"/>
        </w:rPr>
        <w:t>-</w:t>
      </w:r>
      <w:r w:rsidRPr="00A47B8E">
        <w:rPr>
          <w:rFonts w:cs="Arial"/>
        </w:rPr>
        <w:t xml:space="preserve">controlled study in Japan. E2020 Study Group. Dement </w:t>
      </w:r>
      <w:proofErr w:type="spellStart"/>
      <w:r w:rsidRPr="00A47B8E">
        <w:rPr>
          <w:rFonts w:cs="Arial"/>
        </w:rPr>
        <w:t>Geriatr</w:t>
      </w:r>
      <w:proofErr w:type="spellEnd"/>
      <w:r w:rsidRPr="00A47B8E">
        <w:rPr>
          <w:rFonts w:cs="Arial"/>
        </w:rPr>
        <w:t xml:space="preserve"> </w:t>
      </w:r>
      <w:proofErr w:type="spellStart"/>
      <w:r w:rsidRPr="00A47B8E">
        <w:rPr>
          <w:rFonts w:cs="Arial"/>
        </w:rPr>
        <w:t>Cogn</w:t>
      </w:r>
      <w:proofErr w:type="spellEnd"/>
      <w:r w:rsidRPr="00A47B8E">
        <w:rPr>
          <w:rFonts w:cs="Arial"/>
        </w:rPr>
        <w:t xml:space="preserve"> </w:t>
      </w:r>
      <w:proofErr w:type="spellStart"/>
      <w:r w:rsidRPr="00A47B8E">
        <w:rPr>
          <w:rFonts w:cs="Arial"/>
        </w:rPr>
        <w:t>Disord</w:t>
      </w:r>
      <w:proofErr w:type="spellEnd"/>
      <w:r w:rsidR="005445E7" w:rsidRPr="00A47B8E">
        <w:rPr>
          <w:rFonts w:cs="Arial"/>
        </w:rPr>
        <w:t>,</w:t>
      </w:r>
      <w:r w:rsidR="006F1DD0" w:rsidRPr="00A47B8E">
        <w:rPr>
          <w:rFonts w:cs="Arial"/>
        </w:rPr>
        <w:t xml:space="preserve"> 2000</w:t>
      </w:r>
      <w:proofErr w:type="gramStart"/>
      <w:r w:rsidR="006F1DD0" w:rsidRPr="00A47B8E">
        <w:rPr>
          <w:rFonts w:cs="Arial"/>
        </w:rPr>
        <w:t>;</w:t>
      </w:r>
      <w:r w:rsidRPr="00A47B8E">
        <w:rPr>
          <w:rFonts w:cs="Arial"/>
        </w:rPr>
        <w:t>11:299</w:t>
      </w:r>
      <w:proofErr w:type="gramEnd"/>
      <w:r w:rsidR="005445E7" w:rsidRPr="00A47B8E">
        <w:rPr>
          <w:rFonts w:cs="Arial"/>
        </w:rPr>
        <w:t>–</w:t>
      </w:r>
      <w:r w:rsidRPr="00A47B8E">
        <w:rPr>
          <w:rFonts w:cs="Arial"/>
        </w:rPr>
        <w:t>313.</w:t>
      </w:r>
      <w:r w:rsidR="00416415" w:rsidRPr="00A47B8E">
        <w:rPr>
          <w:rFonts w:cs="Arial"/>
        </w:rPr>
        <w:t xml:space="preserve"> </w:t>
      </w:r>
    </w:p>
    <w:p w14:paraId="119C5296" w14:textId="19B72A67" w:rsidR="00416415" w:rsidRPr="00A47B8E" w:rsidRDefault="00416415" w:rsidP="00416415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 xml:space="preserve">Nakamura Y, Imai Y, Shigeta M, </w:t>
      </w:r>
      <w:r w:rsidR="005445E7" w:rsidRPr="00A47B8E">
        <w:rPr>
          <w:rFonts w:cs="Arial"/>
        </w:rPr>
        <w:t xml:space="preserve">Graf A, </w:t>
      </w:r>
      <w:proofErr w:type="spellStart"/>
      <w:r w:rsidR="005445E7" w:rsidRPr="00A47B8E">
        <w:rPr>
          <w:rFonts w:cs="Arial"/>
        </w:rPr>
        <w:t>Shirahase</w:t>
      </w:r>
      <w:proofErr w:type="spellEnd"/>
      <w:r w:rsidR="005445E7" w:rsidRPr="00A47B8E">
        <w:rPr>
          <w:rFonts w:cs="Arial"/>
        </w:rPr>
        <w:t xml:space="preserve"> T, Kim H, </w:t>
      </w:r>
      <w:r w:rsidRPr="00A47B8E">
        <w:rPr>
          <w:rFonts w:cs="Arial"/>
        </w:rPr>
        <w:t xml:space="preserve">et al. A 24-week, randomized, </w:t>
      </w:r>
      <w:proofErr w:type="gramStart"/>
      <w:r w:rsidRPr="00A47B8E">
        <w:rPr>
          <w:rFonts w:cs="Arial"/>
        </w:rPr>
        <w:t>double-blind</w:t>
      </w:r>
      <w:proofErr w:type="gramEnd"/>
      <w:r w:rsidRPr="00A47B8E">
        <w:rPr>
          <w:rFonts w:cs="Arial"/>
        </w:rPr>
        <w:t xml:space="preserve">, placebo-controlled study to evaluate the efficacy, safety and tolerability of the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patch in Japanese patients with Alzheimer's disease. Dement </w:t>
      </w:r>
      <w:proofErr w:type="spellStart"/>
      <w:r w:rsidRPr="00A47B8E">
        <w:rPr>
          <w:rFonts w:cs="Arial"/>
        </w:rPr>
        <w:t>Geriatr</w:t>
      </w:r>
      <w:proofErr w:type="spellEnd"/>
      <w:r w:rsidRPr="00A47B8E">
        <w:rPr>
          <w:rFonts w:cs="Arial"/>
        </w:rPr>
        <w:t xml:space="preserve"> </w:t>
      </w:r>
      <w:proofErr w:type="spellStart"/>
      <w:r w:rsidRPr="00A47B8E">
        <w:rPr>
          <w:rFonts w:cs="Arial"/>
        </w:rPr>
        <w:t>Cogn</w:t>
      </w:r>
      <w:proofErr w:type="spellEnd"/>
      <w:r w:rsidRPr="00A47B8E">
        <w:rPr>
          <w:rFonts w:cs="Arial"/>
        </w:rPr>
        <w:t xml:space="preserve"> Dis Extra</w:t>
      </w:r>
      <w:r w:rsidR="005445E7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5445E7" w:rsidRPr="00A47B8E">
        <w:rPr>
          <w:rFonts w:cs="Arial"/>
        </w:rPr>
        <w:t>2011</w:t>
      </w:r>
      <w:proofErr w:type="gramStart"/>
      <w:r w:rsidR="005445E7" w:rsidRPr="00A47B8E">
        <w:rPr>
          <w:rFonts w:cs="Arial"/>
        </w:rPr>
        <w:t>;</w:t>
      </w:r>
      <w:r w:rsidRPr="00A47B8E">
        <w:rPr>
          <w:rFonts w:cs="Arial"/>
        </w:rPr>
        <w:t>1:163</w:t>
      </w:r>
      <w:proofErr w:type="gramEnd"/>
      <w:r w:rsidR="005445E7" w:rsidRPr="00A47B8E">
        <w:rPr>
          <w:rFonts w:cs="Arial"/>
        </w:rPr>
        <w:t>–</w:t>
      </w:r>
      <w:r w:rsidRPr="00A47B8E">
        <w:rPr>
          <w:rFonts w:cs="Arial"/>
        </w:rPr>
        <w:t>179.</w:t>
      </w:r>
    </w:p>
    <w:p w14:paraId="3518F499" w14:textId="28BC3699" w:rsidR="00416415" w:rsidRPr="00A47B8E" w:rsidRDefault="00416415" w:rsidP="00416415">
      <w:pPr>
        <w:pStyle w:val="a4"/>
        <w:numPr>
          <w:ilvl w:val="0"/>
          <w:numId w:val="20"/>
        </w:numPr>
        <w:rPr>
          <w:rFonts w:cs="Arial"/>
        </w:rPr>
      </w:pPr>
      <w:r w:rsidRPr="00A47B8E">
        <w:rPr>
          <w:rFonts w:cs="Arial"/>
        </w:rPr>
        <w:t xml:space="preserve">Nakamura Y, </w:t>
      </w:r>
      <w:proofErr w:type="spellStart"/>
      <w:r w:rsidRPr="00A47B8E">
        <w:rPr>
          <w:rFonts w:cs="Arial"/>
        </w:rPr>
        <w:t>Strohmaier</w:t>
      </w:r>
      <w:proofErr w:type="spellEnd"/>
      <w:r w:rsidRPr="00A47B8E">
        <w:rPr>
          <w:rFonts w:cs="Arial"/>
        </w:rPr>
        <w:t xml:space="preserve"> C, Tamura K, Kataoka N, </w:t>
      </w:r>
      <w:r w:rsidR="008448CB" w:rsidRPr="00A47B8E">
        <w:rPr>
          <w:rFonts w:cs="Arial"/>
        </w:rPr>
        <w:t xml:space="preserve">Nakano M, </w:t>
      </w:r>
      <w:proofErr w:type="spellStart"/>
      <w:r w:rsidR="008448CB" w:rsidRPr="00A47B8E">
        <w:rPr>
          <w:rFonts w:cs="Arial"/>
        </w:rPr>
        <w:t>Oda</w:t>
      </w:r>
      <w:proofErr w:type="spellEnd"/>
      <w:r w:rsidR="008448CB" w:rsidRPr="00A47B8E">
        <w:rPr>
          <w:rFonts w:cs="Arial"/>
        </w:rPr>
        <w:t xml:space="preserve"> S, </w:t>
      </w:r>
      <w:r w:rsidRPr="00A47B8E">
        <w:rPr>
          <w:rFonts w:cs="Arial"/>
        </w:rPr>
        <w:t>et al. A 24-</w:t>
      </w:r>
      <w:r w:rsidR="005445E7" w:rsidRPr="00A47B8E">
        <w:rPr>
          <w:rFonts w:cs="Arial"/>
        </w:rPr>
        <w:t xml:space="preserve">week, randomized, controlled study to evaluate the tolerability, safety and efficacy of </w:t>
      </w:r>
      <w:proofErr w:type="gramStart"/>
      <w:r w:rsidR="005445E7" w:rsidRPr="00A47B8E">
        <w:rPr>
          <w:rFonts w:cs="Arial"/>
        </w:rPr>
        <w:t>2</w:t>
      </w:r>
      <w:proofErr w:type="gramEnd"/>
      <w:r w:rsidR="005445E7" w:rsidRPr="00A47B8E">
        <w:rPr>
          <w:rFonts w:cs="Arial"/>
        </w:rPr>
        <w:t xml:space="preserve"> different titration schemes of the </w:t>
      </w:r>
      <w:proofErr w:type="spellStart"/>
      <w:r w:rsidR="005445E7" w:rsidRPr="00A47B8E">
        <w:rPr>
          <w:rFonts w:cs="Arial"/>
        </w:rPr>
        <w:t>rivastigmine</w:t>
      </w:r>
      <w:proofErr w:type="spellEnd"/>
      <w:r w:rsidR="005445E7" w:rsidRPr="00A47B8E">
        <w:rPr>
          <w:rFonts w:cs="Arial"/>
        </w:rPr>
        <w:t xml:space="preserve"> patch in </w:t>
      </w:r>
      <w:r w:rsidRPr="00A47B8E">
        <w:rPr>
          <w:rFonts w:cs="Arial"/>
        </w:rPr>
        <w:t xml:space="preserve">Japanese </w:t>
      </w:r>
      <w:r w:rsidR="005445E7" w:rsidRPr="00A47B8E">
        <w:rPr>
          <w:rFonts w:cs="Arial"/>
        </w:rPr>
        <w:t xml:space="preserve">patients with mild to moderate </w:t>
      </w:r>
      <w:r w:rsidRPr="00A47B8E">
        <w:rPr>
          <w:rFonts w:cs="Arial"/>
        </w:rPr>
        <w:t xml:space="preserve">Alzheimer's </w:t>
      </w:r>
      <w:r w:rsidR="005445E7" w:rsidRPr="00A47B8E">
        <w:rPr>
          <w:rFonts w:cs="Arial"/>
        </w:rPr>
        <w:t>disease</w:t>
      </w:r>
      <w:r w:rsidRPr="00A47B8E">
        <w:rPr>
          <w:rFonts w:cs="Arial"/>
        </w:rPr>
        <w:t xml:space="preserve">. Dement </w:t>
      </w:r>
      <w:proofErr w:type="spellStart"/>
      <w:r w:rsidRPr="00A47B8E">
        <w:rPr>
          <w:rFonts w:cs="Arial"/>
        </w:rPr>
        <w:t>Geriatr</w:t>
      </w:r>
      <w:proofErr w:type="spellEnd"/>
      <w:r w:rsidRPr="00A47B8E">
        <w:rPr>
          <w:rFonts w:cs="Arial"/>
        </w:rPr>
        <w:t xml:space="preserve"> </w:t>
      </w:r>
      <w:proofErr w:type="spellStart"/>
      <w:r w:rsidRPr="00A47B8E">
        <w:rPr>
          <w:rFonts w:cs="Arial"/>
        </w:rPr>
        <w:t>Cogn</w:t>
      </w:r>
      <w:proofErr w:type="spellEnd"/>
      <w:r w:rsidRPr="00A47B8E">
        <w:rPr>
          <w:rFonts w:cs="Arial"/>
        </w:rPr>
        <w:t xml:space="preserve"> Dis Extra</w:t>
      </w:r>
      <w:r w:rsidR="005445E7" w:rsidRPr="00A47B8E">
        <w:rPr>
          <w:rFonts w:cs="Arial"/>
        </w:rPr>
        <w:t>.</w:t>
      </w:r>
      <w:r w:rsidRPr="00A47B8E">
        <w:rPr>
          <w:rFonts w:cs="Arial"/>
        </w:rPr>
        <w:t xml:space="preserve"> </w:t>
      </w:r>
      <w:r w:rsidR="005445E7" w:rsidRPr="00A47B8E">
        <w:rPr>
          <w:rFonts w:cs="Arial"/>
        </w:rPr>
        <w:t>2015</w:t>
      </w:r>
      <w:proofErr w:type="gramStart"/>
      <w:r w:rsidR="005445E7" w:rsidRPr="00A47B8E">
        <w:rPr>
          <w:rFonts w:cs="Arial"/>
        </w:rPr>
        <w:t>;</w:t>
      </w:r>
      <w:r w:rsidRPr="00A47B8E">
        <w:rPr>
          <w:rFonts w:cs="Arial"/>
        </w:rPr>
        <w:t>5:361</w:t>
      </w:r>
      <w:proofErr w:type="gramEnd"/>
      <w:r w:rsidR="005445E7" w:rsidRPr="00A47B8E">
        <w:rPr>
          <w:rFonts w:cs="Arial"/>
        </w:rPr>
        <w:t>–</w:t>
      </w:r>
      <w:r w:rsidRPr="00A47B8E">
        <w:rPr>
          <w:rFonts w:cs="Arial"/>
        </w:rPr>
        <w:t>374.</w:t>
      </w:r>
    </w:p>
    <w:p w14:paraId="03F2E5A1" w14:textId="6DF84F00" w:rsidR="002B1EE5" w:rsidRPr="00A47B8E" w:rsidRDefault="00B534BD" w:rsidP="00650E5E">
      <w:pPr>
        <w:pStyle w:val="a4"/>
        <w:numPr>
          <w:ilvl w:val="0"/>
          <w:numId w:val="20"/>
        </w:numPr>
        <w:rPr>
          <w:rFonts w:cs="Arial"/>
          <w:lang w:eastAsia="ja-JP"/>
        </w:rPr>
      </w:pPr>
      <w:r w:rsidRPr="00A47B8E">
        <w:rPr>
          <w:rFonts w:cs="Arial"/>
          <w:lang w:eastAsia="ja-JP"/>
        </w:rPr>
        <w:t xml:space="preserve">Nakamura Y, </w:t>
      </w:r>
      <w:proofErr w:type="spellStart"/>
      <w:r w:rsidR="00416415" w:rsidRPr="00A47B8E">
        <w:rPr>
          <w:rFonts w:cs="Arial"/>
          <w:lang w:eastAsia="ja-JP"/>
        </w:rPr>
        <w:t>Strohmaier</w:t>
      </w:r>
      <w:proofErr w:type="spellEnd"/>
      <w:r w:rsidRPr="00A47B8E">
        <w:rPr>
          <w:rFonts w:cs="Arial"/>
          <w:lang w:eastAsia="ja-JP"/>
        </w:rPr>
        <w:t xml:space="preserve"> C, Kataoka N, Nakano M, </w:t>
      </w:r>
      <w:r w:rsidR="009C4C51" w:rsidRPr="00A47B8E">
        <w:rPr>
          <w:rFonts w:cs="Arial"/>
          <w:lang w:eastAsia="ja-JP"/>
        </w:rPr>
        <w:t>Nishimura K</w:t>
      </w:r>
      <w:r w:rsidRPr="00A47B8E">
        <w:rPr>
          <w:rFonts w:cs="Arial"/>
          <w:lang w:eastAsia="ja-JP"/>
        </w:rPr>
        <w:t xml:space="preserve">. Efficacy, safety, and tolerability of </w:t>
      </w:r>
      <w:proofErr w:type="spellStart"/>
      <w:r w:rsidRPr="00A47B8E">
        <w:rPr>
          <w:rFonts w:cs="Arial"/>
          <w:lang w:eastAsia="ja-JP"/>
        </w:rPr>
        <w:t>rivastigmine</w:t>
      </w:r>
      <w:proofErr w:type="spellEnd"/>
      <w:r w:rsidRPr="00A47B8E">
        <w:rPr>
          <w:rFonts w:cs="Arial"/>
          <w:lang w:eastAsia="ja-JP"/>
        </w:rPr>
        <w:t xml:space="preserve"> patch in patients with mild to moderate Alzheimer’s disease who </w:t>
      </w:r>
      <w:proofErr w:type="gramStart"/>
      <w:r w:rsidRPr="00A47B8E">
        <w:rPr>
          <w:rFonts w:cs="Arial"/>
          <w:lang w:eastAsia="ja-JP"/>
        </w:rPr>
        <w:lastRenderedPageBreak/>
        <w:t>were switched</w:t>
      </w:r>
      <w:proofErr w:type="gramEnd"/>
      <w:r w:rsidRPr="00A47B8E">
        <w:rPr>
          <w:rFonts w:cs="Arial"/>
          <w:lang w:eastAsia="ja-JP"/>
        </w:rPr>
        <w:t xml:space="preserve"> from oral treatment with donepezil or </w:t>
      </w:r>
      <w:proofErr w:type="spellStart"/>
      <w:r w:rsidRPr="00A47B8E">
        <w:rPr>
          <w:rFonts w:cs="Arial"/>
          <w:lang w:eastAsia="ja-JP"/>
        </w:rPr>
        <w:t>galantamine</w:t>
      </w:r>
      <w:proofErr w:type="spellEnd"/>
      <w:r w:rsidRPr="00A47B8E">
        <w:rPr>
          <w:rFonts w:cs="Arial"/>
          <w:lang w:eastAsia="ja-JP"/>
        </w:rPr>
        <w:t xml:space="preserve">: a 24-week open-label, multicenter study. </w:t>
      </w:r>
      <w:proofErr w:type="spellStart"/>
      <w:r w:rsidR="008448CB" w:rsidRPr="00A47B8E">
        <w:rPr>
          <w:rFonts w:cs="Arial"/>
          <w:lang w:eastAsia="ja-JP"/>
        </w:rPr>
        <w:t>Jpn</w:t>
      </w:r>
      <w:proofErr w:type="spellEnd"/>
      <w:r w:rsidR="008448CB" w:rsidRPr="00A47B8E">
        <w:rPr>
          <w:rFonts w:cs="Arial"/>
          <w:lang w:eastAsia="ja-JP"/>
        </w:rPr>
        <w:t xml:space="preserve"> J</w:t>
      </w:r>
      <w:r w:rsidRPr="00A47B8E">
        <w:rPr>
          <w:rFonts w:cs="Arial"/>
          <w:lang w:eastAsia="ja-JP"/>
        </w:rPr>
        <w:t xml:space="preserve"> </w:t>
      </w:r>
      <w:proofErr w:type="spellStart"/>
      <w:r w:rsidR="008448CB" w:rsidRPr="00A47B8E">
        <w:rPr>
          <w:rFonts w:cs="Arial"/>
          <w:lang w:eastAsia="ja-JP"/>
        </w:rPr>
        <w:t>C</w:t>
      </w:r>
      <w:r w:rsidRPr="00A47B8E">
        <w:rPr>
          <w:rFonts w:cs="Arial"/>
          <w:lang w:eastAsia="ja-JP"/>
        </w:rPr>
        <w:t>li</w:t>
      </w:r>
      <w:r w:rsidR="008448CB" w:rsidRPr="00A47B8E">
        <w:rPr>
          <w:rFonts w:cs="Arial"/>
          <w:lang w:eastAsia="ja-JP"/>
        </w:rPr>
        <w:t>n</w:t>
      </w:r>
      <w:proofErr w:type="spellEnd"/>
      <w:r w:rsidRPr="00A47B8E">
        <w:rPr>
          <w:rFonts w:cs="Arial"/>
          <w:lang w:eastAsia="ja-JP"/>
        </w:rPr>
        <w:t xml:space="preserve"> </w:t>
      </w:r>
      <w:r w:rsidR="008448CB" w:rsidRPr="00A47B8E">
        <w:rPr>
          <w:rFonts w:cs="Arial"/>
          <w:lang w:eastAsia="ja-JP"/>
        </w:rPr>
        <w:t>P</w:t>
      </w:r>
      <w:r w:rsidRPr="00A47B8E">
        <w:rPr>
          <w:rFonts w:cs="Arial"/>
          <w:lang w:eastAsia="ja-JP"/>
        </w:rPr>
        <w:t>sychiatry</w:t>
      </w:r>
      <w:r w:rsidR="008448CB" w:rsidRPr="00A47B8E">
        <w:rPr>
          <w:rFonts w:cs="Arial"/>
          <w:lang w:eastAsia="ja-JP"/>
        </w:rPr>
        <w:t>.</w:t>
      </w:r>
      <w:r w:rsidRPr="00A47B8E">
        <w:rPr>
          <w:rFonts w:cs="Arial"/>
          <w:lang w:eastAsia="ja-JP"/>
        </w:rPr>
        <w:t xml:space="preserve"> </w:t>
      </w:r>
      <w:r w:rsidR="008448CB" w:rsidRPr="00A47B8E">
        <w:rPr>
          <w:rFonts w:cs="Arial"/>
          <w:lang w:eastAsia="ja-JP"/>
        </w:rPr>
        <w:t>2015</w:t>
      </w:r>
      <w:proofErr w:type="gramStart"/>
      <w:r w:rsidR="008448CB" w:rsidRPr="00A47B8E">
        <w:rPr>
          <w:rFonts w:cs="Arial"/>
          <w:lang w:eastAsia="ja-JP"/>
        </w:rPr>
        <w:t>;</w:t>
      </w:r>
      <w:r w:rsidR="00416415" w:rsidRPr="00A47B8E">
        <w:rPr>
          <w:rFonts w:cs="Arial"/>
          <w:lang w:eastAsia="ja-JP"/>
        </w:rPr>
        <w:t>44:901</w:t>
      </w:r>
      <w:proofErr w:type="gramEnd"/>
      <w:r w:rsidR="008448CB" w:rsidRPr="00A47B8E">
        <w:rPr>
          <w:rFonts w:cs="Arial"/>
          <w:lang w:eastAsia="ja-JP"/>
        </w:rPr>
        <w:t>–</w:t>
      </w:r>
      <w:r w:rsidR="00416415" w:rsidRPr="00A47B8E">
        <w:rPr>
          <w:rFonts w:cs="Arial"/>
          <w:lang w:eastAsia="ja-JP"/>
        </w:rPr>
        <w:t>911.</w:t>
      </w:r>
    </w:p>
    <w:p w14:paraId="2FAD7C03" w14:textId="77777777" w:rsidR="00D017D1" w:rsidRPr="00A47B8E" w:rsidRDefault="00D017D1" w:rsidP="00D017D1">
      <w:pPr>
        <w:rPr>
          <w:rFonts w:eastAsia="Times New Roman" w:cs="Arial"/>
          <w:b/>
          <w:bCs/>
          <w:iCs/>
          <w:sz w:val="24"/>
          <w:szCs w:val="28"/>
          <w:lang w:eastAsia="ja-JP"/>
        </w:rPr>
      </w:pPr>
    </w:p>
    <w:p w14:paraId="5C5DC6F8" w14:textId="77777777" w:rsidR="00EE4173" w:rsidRPr="00A47B8E" w:rsidRDefault="00EE4173">
      <w:pPr>
        <w:widowControl/>
        <w:spacing w:line="240" w:lineRule="auto"/>
        <w:rPr>
          <w:rFonts w:eastAsia="Times New Roman" w:cs="Arial"/>
          <w:b/>
          <w:bCs/>
          <w:iCs/>
          <w:sz w:val="24"/>
          <w:szCs w:val="28"/>
        </w:rPr>
      </w:pPr>
      <w:r w:rsidRPr="00A47B8E">
        <w:rPr>
          <w:rFonts w:cs="Arial"/>
        </w:rPr>
        <w:br w:type="page"/>
      </w:r>
    </w:p>
    <w:p w14:paraId="13EF50C9" w14:textId="21C34C95" w:rsidR="005E34A4" w:rsidRPr="00A47B8E" w:rsidRDefault="005E34A4" w:rsidP="005E34A4">
      <w:pPr>
        <w:pStyle w:val="2"/>
        <w:rPr>
          <w:rFonts w:cs="Arial"/>
        </w:rPr>
      </w:pPr>
      <w:r w:rsidRPr="00A47B8E">
        <w:rPr>
          <w:rFonts w:cs="Arial"/>
        </w:rPr>
        <w:lastRenderedPageBreak/>
        <w:t xml:space="preserve">Supplementary </w:t>
      </w:r>
      <w:r w:rsidR="00841DA6" w:rsidRPr="00A47B8E">
        <w:rPr>
          <w:rFonts w:cs="Arial"/>
        </w:rPr>
        <w:t>T</w:t>
      </w:r>
      <w:r w:rsidRPr="00A47B8E">
        <w:rPr>
          <w:rFonts w:cs="Arial"/>
        </w:rPr>
        <w:t>ables</w:t>
      </w:r>
    </w:p>
    <w:p w14:paraId="2F976C4C" w14:textId="5A3D87EA" w:rsidR="00EE4173" w:rsidRPr="00A47B8E" w:rsidRDefault="00EE4173" w:rsidP="00EE4173">
      <w:pPr>
        <w:rPr>
          <w:rFonts w:cs="Arial"/>
        </w:rPr>
      </w:pPr>
      <w:r w:rsidRPr="00A47B8E">
        <w:rPr>
          <w:rFonts w:cs="Arial"/>
          <w:b/>
        </w:rPr>
        <w:t>Table S1.</w:t>
      </w:r>
      <w:r w:rsidRPr="00A47B8E">
        <w:rPr>
          <w:rFonts w:cs="Arial"/>
        </w:rPr>
        <w:t xml:space="preserve"> Key eligibility criteria</w:t>
      </w:r>
    </w:p>
    <w:tbl>
      <w:tblPr>
        <w:tblStyle w:val="af1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8789"/>
      </w:tblGrid>
      <w:tr w:rsidR="00305A85" w:rsidRPr="00A47B8E" w14:paraId="475810EF" w14:textId="77777777" w:rsidTr="001533EA">
        <w:trPr>
          <w:trHeight w:val="4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22710E" w14:textId="77777777" w:rsidR="00EE4173" w:rsidRPr="00A47B8E" w:rsidRDefault="00EE4173" w:rsidP="001533E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Main inclusion criteria</w:t>
            </w:r>
          </w:p>
        </w:tc>
      </w:tr>
      <w:tr w:rsidR="00305A85" w:rsidRPr="00A47B8E" w14:paraId="2D215C23" w14:textId="77777777" w:rsidTr="001533EA">
        <w:trPr>
          <w:trHeight w:val="438"/>
        </w:trPr>
        <w:tc>
          <w:tcPr>
            <w:tcW w:w="8789" w:type="dxa"/>
            <w:tcBorders>
              <w:top w:val="single" w:sz="4" w:space="0" w:color="auto"/>
            </w:tcBorders>
            <w:hideMark/>
          </w:tcPr>
          <w:p w14:paraId="188E7B6A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>Age 50–85 years</w:t>
            </w:r>
          </w:p>
        </w:tc>
      </w:tr>
      <w:tr w:rsidR="00305A85" w:rsidRPr="00A47B8E" w14:paraId="53E392F2" w14:textId="77777777" w:rsidTr="001533EA">
        <w:trPr>
          <w:trHeight w:val="438"/>
        </w:trPr>
        <w:tc>
          <w:tcPr>
            <w:tcW w:w="8789" w:type="dxa"/>
          </w:tcPr>
          <w:p w14:paraId="73D88141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>Outpatient status</w:t>
            </w:r>
          </w:p>
        </w:tc>
      </w:tr>
      <w:tr w:rsidR="00305A85" w:rsidRPr="00A47B8E" w14:paraId="18E8B932" w14:textId="77777777" w:rsidTr="001533EA">
        <w:trPr>
          <w:trHeight w:val="438"/>
        </w:trPr>
        <w:tc>
          <w:tcPr>
            <w:tcW w:w="8789" w:type="dxa"/>
            <w:hideMark/>
          </w:tcPr>
          <w:p w14:paraId="5C894353" w14:textId="71A1B718" w:rsidR="00EE4173" w:rsidRPr="00A47B8E" w:rsidRDefault="00710A7B" w:rsidP="00710A7B">
            <w:pPr>
              <w:rPr>
                <w:rFonts w:cs="Arial"/>
              </w:rPr>
            </w:pPr>
            <w:r w:rsidRPr="00A47B8E">
              <w:rPr>
                <w:rFonts w:cs="Arial"/>
              </w:rPr>
              <w:t>D</w:t>
            </w:r>
            <w:r w:rsidR="00A1593D" w:rsidRPr="00A47B8E">
              <w:rPr>
                <w:rFonts w:cs="Arial"/>
              </w:rPr>
              <w:t>iagnosis of dementia of the Alzheimer’s type according to the DSM-IV criteria</w:t>
            </w:r>
          </w:p>
        </w:tc>
      </w:tr>
      <w:tr w:rsidR="00710A7B" w:rsidRPr="00A47B8E" w14:paraId="795B099A" w14:textId="77777777" w:rsidTr="001533EA">
        <w:trPr>
          <w:trHeight w:val="438"/>
        </w:trPr>
        <w:tc>
          <w:tcPr>
            <w:tcW w:w="8789" w:type="dxa"/>
          </w:tcPr>
          <w:p w14:paraId="4D1D5537" w14:textId="11480BFD" w:rsidR="00710A7B" w:rsidRPr="00A47B8E" w:rsidDel="00710A7B" w:rsidRDefault="00710A7B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>Clinical diagnosis of probable AD according to NINCDS-ADRDA criteria</w:t>
            </w:r>
          </w:p>
        </w:tc>
      </w:tr>
      <w:tr w:rsidR="00305A85" w:rsidRPr="00A47B8E" w14:paraId="59B014FD" w14:textId="77777777" w:rsidTr="001533EA">
        <w:trPr>
          <w:trHeight w:val="438"/>
        </w:trPr>
        <w:tc>
          <w:tcPr>
            <w:tcW w:w="8789" w:type="dxa"/>
          </w:tcPr>
          <w:p w14:paraId="3315782D" w14:textId="77777777" w:rsidR="00EE4173" w:rsidRPr="00A47B8E" w:rsidRDefault="00EE4173" w:rsidP="001533EA">
            <w:pPr>
              <w:rPr>
                <w:rFonts w:cs="Arial"/>
                <w:bCs/>
              </w:rPr>
            </w:pPr>
            <w:r w:rsidRPr="00A47B8E">
              <w:rPr>
                <w:rFonts w:cs="Arial"/>
                <w:bCs/>
              </w:rPr>
              <w:t>MMSE total score of 10–23</w:t>
            </w:r>
          </w:p>
        </w:tc>
      </w:tr>
      <w:tr w:rsidR="00305A85" w:rsidRPr="00A47B8E" w14:paraId="5AB5AC40" w14:textId="77777777" w:rsidTr="001533EA">
        <w:trPr>
          <w:trHeight w:val="438"/>
        </w:trPr>
        <w:tc>
          <w:tcPr>
            <w:tcW w:w="8789" w:type="dxa"/>
            <w:hideMark/>
          </w:tcPr>
          <w:p w14:paraId="5322020E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  <w:bCs/>
              </w:rPr>
              <w:t xml:space="preserve">Patients on donepezil or </w:t>
            </w:r>
            <w:proofErr w:type="spellStart"/>
            <w:r w:rsidRPr="00A47B8E">
              <w:rPr>
                <w:rFonts w:cs="Arial"/>
                <w:bCs/>
              </w:rPr>
              <w:t>galantamine</w:t>
            </w:r>
            <w:proofErr w:type="spellEnd"/>
            <w:r w:rsidRPr="00A47B8E">
              <w:rPr>
                <w:rFonts w:cs="Arial"/>
                <w:bCs/>
              </w:rPr>
              <w:t xml:space="preserve"> who are experiencing a lack or loss of efficacy (A) due to:</w:t>
            </w:r>
          </w:p>
        </w:tc>
      </w:tr>
      <w:tr w:rsidR="00305A85" w:rsidRPr="00A47B8E" w14:paraId="747D92F0" w14:textId="77777777" w:rsidTr="001533EA">
        <w:trPr>
          <w:trHeight w:val="438"/>
        </w:trPr>
        <w:tc>
          <w:tcPr>
            <w:tcW w:w="8789" w:type="dxa"/>
          </w:tcPr>
          <w:p w14:paraId="069DF2F0" w14:textId="77777777" w:rsidR="00EE4173" w:rsidRPr="00A47B8E" w:rsidRDefault="00EE4173" w:rsidP="001533EA">
            <w:pPr>
              <w:pStyle w:val="a4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≥2-point decline of MMSE total score within the first 3 months with the previous medication (A-1)</w:t>
            </w:r>
          </w:p>
        </w:tc>
      </w:tr>
      <w:tr w:rsidR="00305A85" w:rsidRPr="00A47B8E" w14:paraId="57B244F0" w14:textId="77777777" w:rsidTr="001533EA">
        <w:trPr>
          <w:trHeight w:val="438"/>
        </w:trPr>
        <w:tc>
          <w:tcPr>
            <w:tcW w:w="8789" w:type="dxa"/>
          </w:tcPr>
          <w:p w14:paraId="107AF268" w14:textId="77777777" w:rsidR="00EE4173" w:rsidRPr="00A47B8E" w:rsidRDefault="00EE4173" w:rsidP="001533EA">
            <w:pPr>
              <w:pStyle w:val="a4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≥2-point decline of MMSE total score within 6 months with the previous medication (A-2)</w:t>
            </w:r>
          </w:p>
        </w:tc>
      </w:tr>
      <w:tr w:rsidR="00305A85" w:rsidRPr="00A47B8E" w14:paraId="71BE23E3" w14:textId="77777777" w:rsidTr="001533EA">
        <w:trPr>
          <w:trHeight w:val="438"/>
        </w:trPr>
        <w:tc>
          <w:tcPr>
            <w:tcW w:w="8789" w:type="dxa"/>
          </w:tcPr>
          <w:p w14:paraId="6D0B9E20" w14:textId="77777777" w:rsidR="00EE4173" w:rsidRPr="00A47B8E" w:rsidRDefault="00EE4173" w:rsidP="001533EA">
            <w:pPr>
              <w:pStyle w:val="a4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Marked aggravation of ADL/BPSD during the first 3 months or the last 6 months with the previous medication (A-3)</w:t>
            </w:r>
          </w:p>
        </w:tc>
      </w:tr>
      <w:tr w:rsidR="00305A85" w:rsidRPr="00A47B8E" w14:paraId="40F9209C" w14:textId="77777777" w:rsidTr="001533EA">
        <w:trPr>
          <w:trHeight w:val="438"/>
        </w:trPr>
        <w:tc>
          <w:tcPr>
            <w:tcW w:w="8789" w:type="dxa"/>
            <w:hideMark/>
          </w:tcPr>
          <w:p w14:paraId="2673BBD2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  <w:bCs/>
              </w:rPr>
              <w:t xml:space="preserve">Patients experiencing difficulty on donepezil or </w:t>
            </w:r>
            <w:proofErr w:type="spellStart"/>
            <w:r w:rsidRPr="00A47B8E">
              <w:rPr>
                <w:rFonts w:cs="Arial"/>
                <w:bCs/>
              </w:rPr>
              <w:t>galantamine</w:t>
            </w:r>
            <w:proofErr w:type="spellEnd"/>
            <w:r w:rsidRPr="00A47B8E">
              <w:rPr>
                <w:rFonts w:cs="Arial"/>
                <w:bCs/>
              </w:rPr>
              <w:t xml:space="preserve"> (B) due to:</w:t>
            </w:r>
          </w:p>
        </w:tc>
      </w:tr>
      <w:tr w:rsidR="00305A85" w:rsidRPr="00A47B8E" w14:paraId="27DD883D" w14:textId="77777777" w:rsidTr="001533EA">
        <w:trPr>
          <w:trHeight w:val="438"/>
        </w:trPr>
        <w:tc>
          <w:tcPr>
            <w:tcW w:w="8789" w:type="dxa"/>
          </w:tcPr>
          <w:p w14:paraId="3064D8CA" w14:textId="77777777" w:rsidR="00EE4173" w:rsidRPr="00A47B8E" w:rsidRDefault="00EE4173" w:rsidP="001533EA">
            <w:pPr>
              <w:pStyle w:val="a4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Poor compliance with the previous medication (B-1)</w:t>
            </w:r>
          </w:p>
        </w:tc>
      </w:tr>
      <w:tr w:rsidR="00305A85" w:rsidRPr="00A47B8E" w14:paraId="04F9A380" w14:textId="77777777" w:rsidTr="001533EA">
        <w:trPr>
          <w:trHeight w:val="438"/>
        </w:trPr>
        <w:tc>
          <w:tcPr>
            <w:tcW w:w="8789" w:type="dxa"/>
          </w:tcPr>
          <w:p w14:paraId="78C0513E" w14:textId="77777777" w:rsidR="00EE4173" w:rsidRPr="00A47B8E" w:rsidRDefault="00EE4173" w:rsidP="001533EA">
            <w:pPr>
              <w:pStyle w:val="a4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Previous medication cannot be given adequately due to non-GI AEs (B-2)</w:t>
            </w:r>
          </w:p>
        </w:tc>
      </w:tr>
      <w:tr w:rsidR="00305A85" w:rsidRPr="00A47B8E" w14:paraId="020F514F" w14:textId="77777777" w:rsidTr="001533EA">
        <w:trPr>
          <w:trHeight w:val="438"/>
        </w:trPr>
        <w:tc>
          <w:tcPr>
            <w:tcW w:w="8789" w:type="dxa"/>
            <w:tcBorders>
              <w:bottom w:val="single" w:sz="4" w:space="0" w:color="auto"/>
            </w:tcBorders>
          </w:tcPr>
          <w:p w14:paraId="48EBE8B3" w14:textId="77777777" w:rsidR="00EE4173" w:rsidRPr="00A47B8E" w:rsidRDefault="00EE4173" w:rsidP="001533EA">
            <w:pPr>
              <w:pStyle w:val="a4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A47B8E">
              <w:rPr>
                <w:rFonts w:cs="Arial"/>
              </w:rPr>
              <w:t>Difficulty with swallowing (B-3)</w:t>
            </w:r>
          </w:p>
          <w:p w14:paraId="78020F3B" w14:textId="10E6AB19" w:rsidR="003C625C" w:rsidRPr="00A47B8E" w:rsidRDefault="003C625C" w:rsidP="003C625C">
            <w:pPr>
              <w:rPr>
                <w:rFonts w:cs="Arial"/>
                <w:bCs/>
              </w:rPr>
            </w:pPr>
            <w:r w:rsidRPr="00A47B8E">
              <w:rPr>
                <w:rFonts w:cs="Arial"/>
                <w:bCs/>
              </w:rPr>
              <w:t xml:space="preserve">Patients </w:t>
            </w:r>
            <w:r w:rsidRPr="00A47B8E">
              <w:t>residing with someone in the community throughout the study or, if living alone, were in contact with the primary caregiver every</w:t>
            </w:r>
            <w:r w:rsidR="00DE3C8A" w:rsidRPr="00A47B8E">
              <w:t xml:space="preserve"> day</w:t>
            </w:r>
          </w:p>
        </w:tc>
      </w:tr>
      <w:tr w:rsidR="00305A85" w:rsidRPr="00A47B8E" w14:paraId="73084E1F" w14:textId="77777777" w:rsidTr="001533EA">
        <w:trPr>
          <w:trHeight w:val="43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AEF561" w14:textId="77777777" w:rsidR="00EE4173" w:rsidRPr="00A47B8E" w:rsidRDefault="00EE4173" w:rsidP="001533E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Main exclusion criteria</w:t>
            </w:r>
          </w:p>
        </w:tc>
      </w:tr>
      <w:tr w:rsidR="00305A85" w:rsidRPr="00A47B8E" w14:paraId="35152AE9" w14:textId="77777777" w:rsidTr="001533EA">
        <w:trPr>
          <w:trHeight w:val="438"/>
        </w:trPr>
        <w:tc>
          <w:tcPr>
            <w:tcW w:w="8789" w:type="dxa"/>
            <w:tcBorders>
              <w:top w:val="single" w:sz="4" w:space="0" w:color="auto"/>
            </w:tcBorders>
            <w:hideMark/>
          </w:tcPr>
          <w:p w14:paraId="20AA01D6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>Patients with systemic or neurological disease, other than AD, that can explain the dementia symptoms</w:t>
            </w:r>
          </w:p>
        </w:tc>
      </w:tr>
      <w:tr w:rsidR="00305A85" w:rsidRPr="00A47B8E" w14:paraId="355FBE29" w14:textId="77777777" w:rsidTr="001533EA">
        <w:trPr>
          <w:trHeight w:val="438"/>
        </w:trPr>
        <w:tc>
          <w:tcPr>
            <w:tcW w:w="8789" w:type="dxa"/>
            <w:hideMark/>
          </w:tcPr>
          <w:p w14:paraId="081C0104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lastRenderedPageBreak/>
              <w:t>Patients with other neurodegenerative disorder, schizophrenia, bipolar disorder, etc. included in the first axis of the DSM-IV</w:t>
            </w:r>
          </w:p>
        </w:tc>
      </w:tr>
      <w:tr w:rsidR="00305A85" w:rsidRPr="00A47B8E" w14:paraId="1B3B5D39" w14:textId="77777777" w:rsidTr="001533EA">
        <w:trPr>
          <w:trHeight w:val="438"/>
        </w:trPr>
        <w:tc>
          <w:tcPr>
            <w:tcW w:w="8789" w:type="dxa"/>
            <w:hideMark/>
          </w:tcPr>
          <w:p w14:paraId="350EFE37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>Patients with a severe, active, progressive disease or a disease with unstable symptoms</w:t>
            </w:r>
          </w:p>
        </w:tc>
      </w:tr>
      <w:tr w:rsidR="00305A85" w:rsidRPr="00A47B8E" w14:paraId="332FF1A2" w14:textId="77777777" w:rsidTr="001533EA">
        <w:trPr>
          <w:trHeight w:val="438"/>
        </w:trPr>
        <w:tc>
          <w:tcPr>
            <w:tcW w:w="8789" w:type="dxa"/>
            <w:tcBorders>
              <w:bottom w:val="single" w:sz="4" w:space="0" w:color="auto"/>
            </w:tcBorders>
            <w:hideMark/>
          </w:tcPr>
          <w:p w14:paraId="4F7413FF" w14:textId="77777777" w:rsidR="00EE4173" w:rsidRPr="00A47B8E" w:rsidRDefault="00EE4173" w:rsidP="001533E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Patients with an active skin lesion or a skin disorder </w:t>
            </w:r>
          </w:p>
        </w:tc>
      </w:tr>
    </w:tbl>
    <w:p w14:paraId="51559F14" w14:textId="77777777" w:rsidR="00EE4173" w:rsidRPr="00A47B8E" w:rsidRDefault="00EE4173" w:rsidP="00EE4173">
      <w:pPr>
        <w:rPr>
          <w:rFonts w:cs="Arial"/>
        </w:rPr>
      </w:pPr>
      <w:r w:rsidRPr="00A47B8E">
        <w:rPr>
          <w:rFonts w:cs="Arial"/>
        </w:rPr>
        <w:t>AD, Alzheimer’s disease; DSM-IV, Diagnostic and Statistical Manual of Mental Disorders, 4th edition; NINCDS-ADRDA, National Institute of Neurological and Communicative Disorders and Stroke - Alzheimer's Disease and Related Disorders Association; MMSE, Mini-Mental State Examination; ADL, activities of daily living; BPSD, behavioral and psychological symptoms of dementia</w:t>
      </w:r>
    </w:p>
    <w:p w14:paraId="0F88275B" w14:textId="77777777" w:rsidR="00EE4173" w:rsidRPr="00A47B8E" w:rsidRDefault="00EE4173" w:rsidP="00E13724">
      <w:pPr>
        <w:widowControl/>
        <w:rPr>
          <w:rFonts w:cs="Arial"/>
        </w:rPr>
      </w:pPr>
    </w:p>
    <w:p w14:paraId="3BBA01EA" w14:textId="77777777" w:rsidR="00EE4173" w:rsidRPr="00A47B8E" w:rsidRDefault="00EE4173">
      <w:pPr>
        <w:widowControl/>
        <w:spacing w:line="240" w:lineRule="auto"/>
        <w:rPr>
          <w:rFonts w:cs="Arial"/>
          <w:b/>
        </w:rPr>
      </w:pPr>
      <w:r w:rsidRPr="00A47B8E">
        <w:rPr>
          <w:rFonts w:cs="Arial"/>
          <w:b/>
        </w:rPr>
        <w:br w:type="page"/>
      </w:r>
    </w:p>
    <w:p w14:paraId="33B55D2C" w14:textId="7C32C549" w:rsidR="003A48EF" w:rsidRPr="00A47B8E" w:rsidRDefault="00CD560A" w:rsidP="00E13724">
      <w:pPr>
        <w:widowControl/>
        <w:rPr>
          <w:rFonts w:cs="Arial"/>
          <w:b/>
        </w:rPr>
      </w:pPr>
      <w:r w:rsidRPr="00A47B8E">
        <w:rPr>
          <w:rFonts w:cs="Arial"/>
          <w:b/>
        </w:rPr>
        <w:lastRenderedPageBreak/>
        <w:t>Table S</w:t>
      </w:r>
      <w:r w:rsidR="00EE4173" w:rsidRPr="00A47B8E">
        <w:rPr>
          <w:rFonts w:cs="Arial"/>
          <w:b/>
        </w:rPr>
        <w:t>2</w:t>
      </w:r>
      <w:r w:rsidRPr="00A47B8E">
        <w:rPr>
          <w:rFonts w:cs="Arial"/>
          <w:b/>
        </w:rPr>
        <w:t xml:space="preserve">. </w:t>
      </w:r>
      <w:r w:rsidR="006F11E7" w:rsidRPr="00A47B8E">
        <w:rPr>
          <w:rFonts w:cs="Arial"/>
        </w:rPr>
        <w:t xml:space="preserve">Results </w:t>
      </w:r>
      <w:r w:rsidR="00DF0168" w:rsidRPr="00A47B8E">
        <w:rPr>
          <w:rFonts w:cs="Arial"/>
        </w:rPr>
        <w:t>of</w:t>
      </w:r>
      <w:r w:rsidR="006F11E7" w:rsidRPr="00A47B8E">
        <w:rPr>
          <w:rFonts w:cs="Arial"/>
        </w:rPr>
        <w:t xml:space="preserve"> the secondary </w:t>
      </w:r>
      <w:r w:rsidR="00EE0E73" w:rsidRPr="00A47B8E">
        <w:rPr>
          <w:rFonts w:cs="Arial"/>
        </w:rPr>
        <w:t>efficacy endpoints</w:t>
      </w:r>
      <w:r w:rsidR="006F11E7" w:rsidRPr="00A47B8E">
        <w:rPr>
          <w:rFonts w:cs="Arial"/>
        </w:rPr>
        <w:t xml:space="preserve"> (Neuropsychiatric Inventory 10, Quality of Life–Alzheimer’s disease, and modified Crichton scale)</w:t>
      </w:r>
      <w:r w:rsidR="00DF0168" w:rsidRPr="00A47B8E">
        <w:rPr>
          <w:rFonts w:cs="Arial"/>
        </w:rPr>
        <w:t xml:space="preserve"> at baseline and change from baseline to </w:t>
      </w:r>
      <w:r w:rsidR="00120971" w:rsidRPr="00A47B8E">
        <w:rPr>
          <w:rFonts w:cs="Arial"/>
        </w:rPr>
        <w:t>the indicated visit</w:t>
      </w:r>
    </w:p>
    <w:tbl>
      <w:tblPr>
        <w:tblStyle w:val="af1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80"/>
        <w:gridCol w:w="1297"/>
        <w:gridCol w:w="709"/>
        <w:gridCol w:w="1694"/>
        <w:gridCol w:w="1701"/>
        <w:gridCol w:w="3119"/>
      </w:tblGrid>
      <w:tr w:rsidR="00305A85" w:rsidRPr="00A47B8E" w14:paraId="6EC02AEA" w14:textId="77777777" w:rsidTr="00DA343B">
        <w:trPr>
          <w:trHeight w:val="36"/>
        </w:trPr>
        <w:tc>
          <w:tcPr>
            <w:tcW w:w="1680" w:type="dxa"/>
            <w:tcBorders>
              <w:top w:val="single" w:sz="4" w:space="0" w:color="auto"/>
            </w:tcBorders>
            <w:hideMark/>
          </w:tcPr>
          <w:p w14:paraId="02AA354D" w14:textId="3FC5DB04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Endpoint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14:paraId="56CB7648" w14:textId="11D2D132" w:rsidR="00E86774" w:rsidRPr="00A47B8E" w:rsidRDefault="00E86774" w:rsidP="0059565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Visit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5685818C" w14:textId="3B645ABD" w:rsidR="00E86774" w:rsidRPr="00A47B8E" w:rsidRDefault="00D52ECD" w:rsidP="0059565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hideMark/>
          </w:tcPr>
          <w:p w14:paraId="5AC7BD16" w14:textId="7CBCB835" w:rsidR="00E86774" w:rsidRPr="00A47B8E" w:rsidRDefault="00E86774" w:rsidP="00E86774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Baseline score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3BADDE0B" w14:textId="65536431" w:rsidR="00E86774" w:rsidRPr="00A47B8E" w:rsidRDefault="00E86774" w:rsidP="00E86774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Post baseline score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182C18CD" w14:textId="78A6FEC7" w:rsidR="00E86774" w:rsidRPr="00A47B8E" w:rsidRDefault="00E86774" w:rsidP="00EE0E73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  <w:bCs/>
              </w:rPr>
              <w:t>Change from baseline</w:t>
            </w:r>
          </w:p>
        </w:tc>
      </w:tr>
      <w:tr w:rsidR="00305A85" w:rsidRPr="00A47B8E" w14:paraId="453B2030" w14:textId="77777777" w:rsidTr="00EE0E73">
        <w:trPr>
          <w:trHeight w:val="422"/>
        </w:trPr>
        <w:tc>
          <w:tcPr>
            <w:tcW w:w="1680" w:type="dxa"/>
            <w:vMerge w:val="restart"/>
            <w:tcBorders>
              <w:top w:val="single" w:sz="4" w:space="0" w:color="auto"/>
            </w:tcBorders>
            <w:hideMark/>
          </w:tcPr>
          <w:p w14:paraId="3428895B" w14:textId="77777777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NPI-10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14:paraId="122A3E28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Baseline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799F2CB1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118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hideMark/>
          </w:tcPr>
          <w:p w14:paraId="6A8269ED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 xml:space="preserve">11.43 (11.15)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28268B08" w14:textId="120B0357" w:rsidR="00E86774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31813781" w14:textId="4B8BD7AE" w:rsidR="00E86774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</w:tr>
      <w:tr w:rsidR="00305A85" w:rsidRPr="00A47B8E" w14:paraId="18EDDE4E" w14:textId="77777777" w:rsidTr="00EE0E73">
        <w:trPr>
          <w:trHeight w:val="247"/>
        </w:trPr>
        <w:tc>
          <w:tcPr>
            <w:tcW w:w="0" w:type="auto"/>
            <w:vMerge/>
            <w:hideMark/>
          </w:tcPr>
          <w:p w14:paraId="084EA07E" w14:textId="77777777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4B6FA716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8</w:t>
            </w:r>
          </w:p>
        </w:tc>
        <w:tc>
          <w:tcPr>
            <w:tcW w:w="709" w:type="dxa"/>
            <w:hideMark/>
          </w:tcPr>
          <w:p w14:paraId="1569E25E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116</w:t>
            </w:r>
          </w:p>
        </w:tc>
        <w:tc>
          <w:tcPr>
            <w:tcW w:w="1694" w:type="dxa"/>
            <w:hideMark/>
          </w:tcPr>
          <w:p w14:paraId="1A1DEECB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11.51 (11.19)</w:t>
            </w:r>
          </w:p>
        </w:tc>
        <w:tc>
          <w:tcPr>
            <w:tcW w:w="1701" w:type="dxa"/>
            <w:hideMark/>
          </w:tcPr>
          <w:p w14:paraId="095E8F88" w14:textId="4A9B456C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9.70 (11.42)</w:t>
            </w:r>
          </w:p>
        </w:tc>
        <w:tc>
          <w:tcPr>
            <w:tcW w:w="3119" w:type="dxa"/>
            <w:hideMark/>
          </w:tcPr>
          <w:p w14:paraId="3AE25BF0" w14:textId="0BB192EF" w:rsidR="00E86774" w:rsidRPr="00A47B8E" w:rsidRDefault="00E86774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</w:t>
            </w:r>
            <w:r w:rsidR="00231BF8" w:rsidRPr="00A47B8E">
              <w:rPr>
                <w:rFonts w:cs="Arial"/>
              </w:rPr>
              <w:t>1.81 (8.81)</w:t>
            </w:r>
            <w:r w:rsidR="00EE0E73" w:rsidRPr="00A47B8E">
              <w:rPr>
                <w:rFonts w:cs="Arial"/>
              </w:rPr>
              <w:t xml:space="preserve"> </w:t>
            </w:r>
            <w:r w:rsidRPr="00A47B8E">
              <w:rPr>
                <w:rFonts w:cs="Arial"/>
              </w:rPr>
              <w:t>[</w:t>
            </w:r>
            <w:r w:rsidR="00EE0E73" w:rsidRPr="00A47B8E">
              <w:rPr>
                <w:rFonts w:cs="Arial"/>
              </w:rPr>
              <w:t>−</w:t>
            </w:r>
            <w:r w:rsidRPr="00A47B8E">
              <w:rPr>
                <w:rFonts w:cs="Arial"/>
              </w:rPr>
              <w:t>3.43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</w:t>
            </w:r>
            <w:r w:rsidR="00EE0E73" w:rsidRPr="00A47B8E">
              <w:rPr>
                <w:rFonts w:cs="Arial"/>
              </w:rPr>
              <w:t>−</w:t>
            </w:r>
            <w:r w:rsidRPr="00A47B8E">
              <w:rPr>
                <w:rFonts w:cs="Arial"/>
              </w:rPr>
              <w:t>0.19]</w:t>
            </w:r>
          </w:p>
        </w:tc>
      </w:tr>
      <w:tr w:rsidR="00305A85" w:rsidRPr="00A47B8E" w14:paraId="6C8D7149" w14:textId="77777777" w:rsidTr="00EE0E73">
        <w:trPr>
          <w:trHeight w:val="247"/>
        </w:trPr>
        <w:tc>
          <w:tcPr>
            <w:tcW w:w="0" w:type="auto"/>
            <w:vMerge/>
            <w:hideMark/>
          </w:tcPr>
          <w:p w14:paraId="78762130" w14:textId="77777777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66E419E2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24</w:t>
            </w:r>
          </w:p>
        </w:tc>
        <w:tc>
          <w:tcPr>
            <w:tcW w:w="709" w:type="dxa"/>
            <w:hideMark/>
          </w:tcPr>
          <w:p w14:paraId="57C1DF39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102</w:t>
            </w:r>
          </w:p>
        </w:tc>
        <w:tc>
          <w:tcPr>
            <w:tcW w:w="1694" w:type="dxa"/>
            <w:hideMark/>
          </w:tcPr>
          <w:p w14:paraId="439D6BAB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10.97 (11.16)</w:t>
            </w:r>
          </w:p>
        </w:tc>
        <w:tc>
          <w:tcPr>
            <w:tcW w:w="1701" w:type="dxa"/>
            <w:hideMark/>
          </w:tcPr>
          <w:p w14:paraId="0938506C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10.08 (12.38)</w:t>
            </w:r>
          </w:p>
        </w:tc>
        <w:tc>
          <w:tcPr>
            <w:tcW w:w="3119" w:type="dxa"/>
            <w:hideMark/>
          </w:tcPr>
          <w:p w14:paraId="3EEEDC7D" w14:textId="7A8BFC5B" w:rsidR="00E86774" w:rsidRPr="00A47B8E" w:rsidRDefault="00E86774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−0.89 (11.10)</w:t>
            </w:r>
            <w:r w:rsidR="00EE0E73" w:rsidRPr="00A47B8E">
              <w:rPr>
                <w:rFonts w:cs="Arial"/>
              </w:rPr>
              <w:t xml:space="preserve"> </w:t>
            </w:r>
            <w:r w:rsidRPr="00A47B8E">
              <w:rPr>
                <w:rFonts w:cs="Arial"/>
              </w:rPr>
              <w:t>[</w:t>
            </w:r>
            <w:r w:rsidR="00EE0E73" w:rsidRPr="00A47B8E">
              <w:rPr>
                <w:rFonts w:cs="Arial"/>
              </w:rPr>
              <w:t>−</w:t>
            </w:r>
            <w:r w:rsidRPr="00A47B8E">
              <w:rPr>
                <w:rFonts w:cs="Arial"/>
              </w:rPr>
              <w:t>3.07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1.29]</w:t>
            </w:r>
          </w:p>
        </w:tc>
      </w:tr>
      <w:tr w:rsidR="00305A85" w:rsidRPr="00A47B8E" w14:paraId="7D209AE4" w14:textId="77777777" w:rsidTr="00EE0E73">
        <w:trPr>
          <w:trHeight w:val="247"/>
        </w:trPr>
        <w:tc>
          <w:tcPr>
            <w:tcW w:w="1680" w:type="dxa"/>
            <w:vMerge w:val="restart"/>
            <w:hideMark/>
          </w:tcPr>
          <w:p w14:paraId="09400179" w14:textId="4800C38C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QOL-AD Patient assessment</w:t>
            </w:r>
          </w:p>
        </w:tc>
        <w:tc>
          <w:tcPr>
            <w:tcW w:w="1297" w:type="dxa"/>
            <w:hideMark/>
          </w:tcPr>
          <w:p w14:paraId="77852D7C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Baseline</w:t>
            </w:r>
          </w:p>
        </w:tc>
        <w:tc>
          <w:tcPr>
            <w:tcW w:w="709" w:type="dxa"/>
            <w:hideMark/>
          </w:tcPr>
          <w:p w14:paraId="4B2EE688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118</w:t>
            </w:r>
          </w:p>
        </w:tc>
        <w:tc>
          <w:tcPr>
            <w:tcW w:w="1694" w:type="dxa"/>
            <w:hideMark/>
          </w:tcPr>
          <w:p w14:paraId="614ECC3E" w14:textId="41C3252A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34.37 (5.78)</w:t>
            </w:r>
          </w:p>
        </w:tc>
        <w:tc>
          <w:tcPr>
            <w:tcW w:w="1701" w:type="dxa"/>
            <w:hideMark/>
          </w:tcPr>
          <w:p w14:paraId="26FE4263" w14:textId="4EDE0098" w:rsidR="00E86774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  <w:tc>
          <w:tcPr>
            <w:tcW w:w="3119" w:type="dxa"/>
            <w:hideMark/>
          </w:tcPr>
          <w:p w14:paraId="20C9E9F2" w14:textId="35C9A93A" w:rsidR="00E86774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</w:tr>
      <w:tr w:rsidR="00305A85" w:rsidRPr="00A47B8E" w14:paraId="35E4AAE8" w14:textId="77777777" w:rsidTr="00EE0E73">
        <w:trPr>
          <w:trHeight w:val="430"/>
        </w:trPr>
        <w:tc>
          <w:tcPr>
            <w:tcW w:w="0" w:type="auto"/>
            <w:vMerge/>
            <w:hideMark/>
          </w:tcPr>
          <w:p w14:paraId="66E31396" w14:textId="77777777" w:rsidR="00E86774" w:rsidRPr="00A47B8E" w:rsidRDefault="00E86774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30735DF3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24</w:t>
            </w:r>
          </w:p>
        </w:tc>
        <w:tc>
          <w:tcPr>
            <w:tcW w:w="709" w:type="dxa"/>
            <w:hideMark/>
          </w:tcPr>
          <w:p w14:paraId="54E801CD" w14:textId="77777777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102</w:t>
            </w:r>
          </w:p>
        </w:tc>
        <w:tc>
          <w:tcPr>
            <w:tcW w:w="1694" w:type="dxa"/>
            <w:hideMark/>
          </w:tcPr>
          <w:p w14:paraId="6399FD19" w14:textId="7675896E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34.43 (5.92)</w:t>
            </w:r>
          </w:p>
        </w:tc>
        <w:tc>
          <w:tcPr>
            <w:tcW w:w="1701" w:type="dxa"/>
            <w:hideMark/>
          </w:tcPr>
          <w:p w14:paraId="258F89F1" w14:textId="23744F70" w:rsidR="00E86774" w:rsidRPr="00A47B8E" w:rsidRDefault="00E86774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34.09 (6.71)</w:t>
            </w:r>
          </w:p>
        </w:tc>
        <w:tc>
          <w:tcPr>
            <w:tcW w:w="3119" w:type="dxa"/>
            <w:hideMark/>
          </w:tcPr>
          <w:p w14:paraId="68EF0D78" w14:textId="4E213171" w:rsidR="00E86774" w:rsidRPr="00A47B8E" w:rsidRDefault="00E86774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−0.34 (5.32)</w:t>
            </w:r>
            <w:r w:rsidR="00EE0E73" w:rsidRPr="00A47B8E">
              <w:rPr>
                <w:rFonts w:cs="Arial"/>
              </w:rPr>
              <w:t xml:space="preserve"> </w:t>
            </w:r>
            <w:r w:rsidRPr="00A47B8E">
              <w:rPr>
                <w:rFonts w:cs="Arial"/>
              </w:rPr>
              <w:t>[</w:t>
            </w:r>
            <w:r w:rsidR="00EE0E73" w:rsidRPr="00A47B8E">
              <w:rPr>
                <w:rFonts w:cs="Arial"/>
              </w:rPr>
              <w:t>−</w:t>
            </w:r>
            <w:r w:rsidRPr="00A47B8E">
              <w:rPr>
                <w:rFonts w:cs="Arial"/>
              </w:rPr>
              <w:t>1.39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0.70]</w:t>
            </w:r>
          </w:p>
        </w:tc>
      </w:tr>
      <w:tr w:rsidR="00305A85" w:rsidRPr="00A47B8E" w14:paraId="4DBE6B9C" w14:textId="77777777" w:rsidTr="00EE0E73">
        <w:trPr>
          <w:trHeight w:val="247"/>
        </w:trPr>
        <w:tc>
          <w:tcPr>
            <w:tcW w:w="1680" w:type="dxa"/>
            <w:vMerge w:val="restart"/>
            <w:hideMark/>
          </w:tcPr>
          <w:p w14:paraId="207D58DB" w14:textId="10828ED3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QOL-AD Caregiver assessment</w:t>
            </w:r>
          </w:p>
        </w:tc>
        <w:tc>
          <w:tcPr>
            <w:tcW w:w="1297" w:type="dxa"/>
            <w:hideMark/>
          </w:tcPr>
          <w:p w14:paraId="03C6837B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Baseline</w:t>
            </w:r>
          </w:p>
        </w:tc>
        <w:tc>
          <w:tcPr>
            <w:tcW w:w="709" w:type="dxa"/>
            <w:hideMark/>
          </w:tcPr>
          <w:p w14:paraId="71AEC8D1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118</w:t>
            </w:r>
          </w:p>
        </w:tc>
        <w:tc>
          <w:tcPr>
            <w:tcW w:w="1694" w:type="dxa"/>
            <w:hideMark/>
          </w:tcPr>
          <w:p w14:paraId="595AF089" w14:textId="1626449D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28.75 (5.74)</w:t>
            </w:r>
          </w:p>
        </w:tc>
        <w:tc>
          <w:tcPr>
            <w:tcW w:w="1701" w:type="dxa"/>
            <w:hideMark/>
          </w:tcPr>
          <w:p w14:paraId="10CAA64B" w14:textId="146DE007" w:rsidR="00EE0E73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  <w:tc>
          <w:tcPr>
            <w:tcW w:w="3119" w:type="dxa"/>
            <w:hideMark/>
          </w:tcPr>
          <w:p w14:paraId="25AF362F" w14:textId="56382ABC" w:rsidR="00EE0E73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</w:tr>
      <w:tr w:rsidR="00305A85" w:rsidRPr="00A47B8E" w14:paraId="4015C85B" w14:textId="77777777" w:rsidTr="00EE0E73">
        <w:trPr>
          <w:trHeight w:val="430"/>
        </w:trPr>
        <w:tc>
          <w:tcPr>
            <w:tcW w:w="0" w:type="auto"/>
            <w:vMerge/>
            <w:hideMark/>
          </w:tcPr>
          <w:p w14:paraId="1D3324E7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4E1B749B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24</w:t>
            </w:r>
          </w:p>
        </w:tc>
        <w:tc>
          <w:tcPr>
            <w:tcW w:w="709" w:type="dxa"/>
            <w:hideMark/>
          </w:tcPr>
          <w:p w14:paraId="0E552B1D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103</w:t>
            </w:r>
          </w:p>
        </w:tc>
        <w:tc>
          <w:tcPr>
            <w:tcW w:w="1694" w:type="dxa"/>
            <w:hideMark/>
          </w:tcPr>
          <w:p w14:paraId="7463B1FA" w14:textId="5522F40E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28.79 (5.59)</w:t>
            </w:r>
          </w:p>
        </w:tc>
        <w:tc>
          <w:tcPr>
            <w:tcW w:w="1701" w:type="dxa"/>
            <w:hideMark/>
          </w:tcPr>
          <w:p w14:paraId="2FAFB7BC" w14:textId="40182E6A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28.63 (6.52)</w:t>
            </w:r>
          </w:p>
        </w:tc>
        <w:tc>
          <w:tcPr>
            <w:tcW w:w="3119" w:type="dxa"/>
            <w:hideMark/>
          </w:tcPr>
          <w:p w14:paraId="43EEED63" w14:textId="39AD6A41" w:rsidR="00EE0E73" w:rsidRPr="00A47B8E" w:rsidRDefault="00EE0E73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−0.16 (5.42) [−1.21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0.90]</w:t>
            </w:r>
          </w:p>
        </w:tc>
      </w:tr>
      <w:tr w:rsidR="00305A85" w:rsidRPr="00A47B8E" w14:paraId="48395909" w14:textId="77777777" w:rsidTr="00EE0E73">
        <w:trPr>
          <w:trHeight w:val="247"/>
        </w:trPr>
        <w:tc>
          <w:tcPr>
            <w:tcW w:w="1680" w:type="dxa"/>
            <w:vMerge w:val="restart"/>
            <w:hideMark/>
          </w:tcPr>
          <w:p w14:paraId="1EB4304A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Modified Crichton scale</w:t>
            </w:r>
          </w:p>
        </w:tc>
        <w:tc>
          <w:tcPr>
            <w:tcW w:w="1297" w:type="dxa"/>
            <w:hideMark/>
          </w:tcPr>
          <w:p w14:paraId="01AD4993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Baseline</w:t>
            </w:r>
          </w:p>
        </w:tc>
        <w:tc>
          <w:tcPr>
            <w:tcW w:w="709" w:type="dxa"/>
            <w:hideMark/>
          </w:tcPr>
          <w:p w14:paraId="6FEC32D7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118</w:t>
            </w:r>
          </w:p>
        </w:tc>
        <w:tc>
          <w:tcPr>
            <w:tcW w:w="1694" w:type="dxa"/>
            <w:hideMark/>
          </w:tcPr>
          <w:p w14:paraId="536742EA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 xml:space="preserve">18.38 (9.41) </w:t>
            </w:r>
          </w:p>
        </w:tc>
        <w:tc>
          <w:tcPr>
            <w:tcW w:w="1701" w:type="dxa"/>
            <w:hideMark/>
          </w:tcPr>
          <w:p w14:paraId="3B7EEFA3" w14:textId="43CC3EFF" w:rsidR="00EE0E73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  <w:tc>
          <w:tcPr>
            <w:tcW w:w="3119" w:type="dxa"/>
            <w:hideMark/>
          </w:tcPr>
          <w:p w14:paraId="3DED0082" w14:textId="0D99882B" w:rsidR="00EE0E73" w:rsidRPr="00A47B8E" w:rsidRDefault="00DF0168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–</w:t>
            </w:r>
          </w:p>
        </w:tc>
      </w:tr>
      <w:tr w:rsidR="00305A85" w:rsidRPr="00A47B8E" w14:paraId="6DA7E6B6" w14:textId="77777777" w:rsidTr="00EE0E73">
        <w:trPr>
          <w:trHeight w:val="247"/>
        </w:trPr>
        <w:tc>
          <w:tcPr>
            <w:tcW w:w="0" w:type="auto"/>
            <w:vMerge/>
            <w:hideMark/>
          </w:tcPr>
          <w:p w14:paraId="5B1997FE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7FE8D06C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4</w:t>
            </w:r>
          </w:p>
        </w:tc>
        <w:tc>
          <w:tcPr>
            <w:tcW w:w="709" w:type="dxa"/>
            <w:hideMark/>
          </w:tcPr>
          <w:p w14:paraId="2190C7AE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117</w:t>
            </w:r>
          </w:p>
        </w:tc>
        <w:tc>
          <w:tcPr>
            <w:tcW w:w="1694" w:type="dxa"/>
            <w:hideMark/>
          </w:tcPr>
          <w:p w14:paraId="4A492F35" w14:textId="38F99FB1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18.39 (9.45)</w:t>
            </w:r>
          </w:p>
        </w:tc>
        <w:tc>
          <w:tcPr>
            <w:tcW w:w="1701" w:type="dxa"/>
            <w:hideMark/>
          </w:tcPr>
          <w:p w14:paraId="74A4EBA7" w14:textId="7AB97138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17.98 (9.41)</w:t>
            </w:r>
          </w:p>
        </w:tc>
        <w:tc>
          <w:tcPr>
            <w:tcW w:w="3119" w:type="dxa"/>
            <w:hideMark/>
          </w:tcPr>
          <w:p w14:paraId="46EF8401" w14:textId="001F85BA" w:rsidR="00EE0E73" w:rsidRPr="00A47B8E" w:rsidRDefault="00EE0E73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−0.41 (5.44) [−1.41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0.59]</w:t>
            </w:r>
          </w:p>
        </w:tc>
      </w:tr>
      <w:tr w:rsidR="00305A85" w:rsidRPr="00A47B8E" w14:paraId="21A325D4" w14:textId="77777777" w:rsidTr="00EE0E73">
        <w:trPr>
          <w:trHeight w:val="247"/>
        </w:trPr>
        <w:tc>
          <w:tcPr>
            <w:tcW w:w="0" w:type="auto"/>
            <w:vMerge/>
            <w:hideMark/>
          </w:tcPr>
          <w:p w14:paraId="5D4AD7D7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1B473989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8</w:t>
            </w:r>
          </w:p>
        </w:tc>
        <w:tc>
          <w:tcPr>
            <w:tcW w:w="709" w:type="dxa"/>
            <w:hideMark/>
          </w:tcPr>
          <w:p w14:paraId="1676FBDD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116</w:t>
            </w:r>
          </w:p>
        </w:tc>
        <w:tc>
          <w:tcPr>
            <w:tcW w:w="1694" w:type="dxa"/>
            <w:hideMark/>
          </w:tcPr>
          <w:p w14:paraId="6DA8FE83" w14:textId="5B7024A3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18.43 (9.48)</w:t>
            </w:r>
          </w:p>
        </w:tc>
        <w:tc>
          <w:tcPr>
            <w:tcW w:w="1701" w:type="dxa"/>
            <w:hideMark/>
          </w:tcPr>
          <w:p w14:paraId="0738CE65" w14:textId="373973F2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17.88 (9.89)</w:t>
            </w:r>
          </w:p>
        </w:tc>
        <w:tc>
          <w:tcPr>
            <w:tcW w:w="3119" w:type="dxa"/>
            <w:hideMark/>
          </w:tcPr>
          <w:p w14:paraId="64DA3153" w14:textId="514DA050" w:rsidR="00EE0E73" w:rsidRPr="00A47B8E" w:rsidRDefault="00EE0E73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−0.55 (6.58) [−1.76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0.66]</w:t>
            </w:r>
          </w:p>
        </w:tc>
      </w:tr>
      <w:tr w:rsidR="00305A85" w:rsidRPr="00A47B8E" w14:paraId="492A4623" w14:textId="77777777" w:rsidTr="00EE0E73">
        <w:trPr>
          <w:trHeight w:val="247"/>
        </w:trPr>
        <w:tc>
          <w:tcPr>
            <w:tcW w:w="0" w:type="auto"/>
            <w:vMerge/>
            <w:hideMark/>
          </w:tcPr>
          <w:p w14:paraId="0AEF0658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hideMark/>
          </w:tcPr>
          <w:p w14:paraId="0ED306A8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16</w:t>
            </w:r>
          </w:p>
        </w:tc>
        <w:tc>
          <w:tcPr>
            <w:tcW w:w="709" w:type="dxa"/>
            <w:hideMark/>
          </w:tcPr>
          <w:p w14:paraId="50B326B5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108</w:t>
            </w:r>
          </w:p>
        </w:tc>
        <w:tc>
          <w:tcPr>
            <w:tcW w:w="1694" w:type="dxa"/>
            <w:hideMark/>
          </w:tcPr>
          <w:p w14:paraId="03E0D921" w14:textId="783A6B29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18.29 (9.39)</w:t>
            </w:r>
          </w:p>
        </w:tc>
        <w:tc>
          <w:tcPr>
            <w:tcW w:w="1701" w:type="dxa"/>
            <w:hideMark/>
          </w:tcPr>
          <w:p w14:paraId="63F685A0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19.32 (10.65)</w:t>
            </w:r>
          </w:p>
        </w:tc>
        <w:tc>
          <w:tcPr>
            <w:tcW w:w="3119" w:type="dxa"/>
            <w:hideMark/>
          </w:tcPr>
          <w:p w14:paraId="2B893105" w14:textId="145C79F8" w:rsidR="00EE0E73" w:rsidRPr="00A47B8E" w:rsidRDefault="00EE0E73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1.04 (6.94) [−0.29</w:t>
            </w:r>
            <w:r w:rsidR="007A4724" w:rsidRPr="00A47B8E">
              <w:rPr>
                <w:rFonts w:cs="Arial"/>
              </w:rPr>
              <w:t xml:space="preserve"> to</w:t>
            </w:r>
            <w:r w:rsidRPr="00A47B8E">
              <w:rPr>
                <w:rFonts w:cs="Arial"/>
              </w:rPr>
              <w:t xml:space="preserve"> 2.36]</w:t>
            </w:r>
          </w:p>
        </w:tc>
      </w:tr>
      <w:tr w:rsidR="00305A85" w:rsidRPr="00A47B8E" w14:paraId="3027F0FB" w14:textId="77777777" w:rsidTr="00EE0E73">
        <w:trPr>
          <w:trHeight w:val="247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5D184D4" w14:textId="77777777" w:rsidR="00EE0E73" w:rsidRPr="00A47B8E" w:rsidRDefault="00EE0E73" w:rsidP="0059565A">
            <w:pPr>
              <w:widowControl/>
              <w:rPr>
                <w:rFonts w:cs="Arial"/>
                <w:b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14:paraId="01E1AA3D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Week 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494C84F5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103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hideMark/>
          </w:tcPr>
          <w:p w14:paraId="17957796" w14:textId="742DFDF3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18.00 (9.14)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5C197208" w14:textId="77777777" w:rsidR="00EE0E73" w:rsidRPr="00A47B8E" w:rsidRDefault="00EE0E73" w:rsidP="0059565A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20.23 (10.51)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30971C5D" w14:textId="66C202CE" w:rsidR="00EE0E73" w:rsidRPr="00A47B8E" w:rsidRDefault="00231BF8" w:rsidP="00EE0E73">
            <w:pPr>
              <w:widowControl/>
              <w:rPr>
                <w:rFonts w:cs="Arial"/>
              </w:rPr>
            </w:pPr>
            <w:r w:rsidRPr="00A47B8E">
              <w:rPr>
                <w:rFonts w:cs="Arial"/>
              </w:rPr>
              <w:t>2.23 (6.69)</w:t>
            </w:r>
            <w:r w:rsidR="00EE0E73" w:rsidRPr="00A47B8E">
              <w:rPr>
                <w:rFonts w:cs="Arial"/>
              </w:rPr>
              <w:t xml:space="preserve"> [0.93</w:t>
            </w:r>
            <w:r w:rsidR="007A4724" w:rsidRPr="00A47B8E">
              <w:rPr>
                <w:rFonts w:cs="Arial"/>
              </w:rPr>
              <w:t xml:space="preserve"> to</w:t>
            </w:r>
            <w:r w:rsidR="00EE0E73" w:rsidRPr="00A47B8E">
              <w:rPr>
                <w:rFonts w:cs="Arial"/>
              </w:rPr>
              <w:t xml:space="preserve"> 3.54]</w:t>
            </w:r>
          </w:p>
        </w:tc>
      </w:tr>
    </w:tbl>
    <w:p w14:paraId="34459704" w14:textId="54433F75" w:rsidR="003A48EF" w:rsidRPr="00A47B8E" w:rsidRDefault="003A48EF" w:rsidP="00E13724">
      <w:pPr>
        <w:widowControl/>
        <w:rPr>
          <w:rFonts w:cs="Arial"/>
        </w:rPr>
      </w:pPr>
    </w:p>
    <w:p w14:paraId="3DF4AE85" w14:textId="77777777" w:rsidR="007A4724" w:rsidRPr="00A47B8E" w:rsidRDefault="007A4724" w:rsidP="007A4724">
      <w:pPr>
        <w:rPr>
          <w:rFonts w:cs="Arial"/>
        </w:rPr>
      </w:pPr>
      <w:r w:rsidRPr="00A47B8E">
        <w:rPr>
          <w:rFonts w:cs="Arial"/>
        </w:rPr>
        <w:t xml:space="preserve">Values </w:t>
      </w:r>
      <w:proofErr w:type="gramStart"/>
      <w:r w:rsidRPr="00A47B8E">
        <w:rPr>
          <w:rFonts w:cs="Arial"/>
        </w:rPr>
        <w:t>are expressed</w:t>
      </w:r>
      <w:proofErr w:type="gramEnd"/>
      <w:r w:rsidRPr="00A47B8E">
        <w:rPr>
          <w:rFonts w:cs="Arial"/>
        </w:rPr>
        <w:t xml:space="preserve"> as the mean (standard deviation) or mean (standard deviation) [95% confidence interval]</w:t>
      </w:r>
    </w:p>
    <w:p w14:paraId="3E7622F3" w14:textId="77777777" w:rsidR="00120971" w:rsidRPr="00A47B8E" w:rsidRDefault="00DA343B" w:rsidP="00120971">
      <w:pPr>
        <w:widowControl/>
        <w:rPr>
          <w:rFonts w:cs="Arial"/>
        </w:rPr>
      </w:pPr>
      <w:r w:rsidRPr="00A47B8E">
        <w:rPr>
          <w:rFonts w:cs="Arial"/>
        </w:rPr>
        <w:t xml:space="preserve">SD, standard deviation; NPI-10, </w:t>
      </w:r>
      <w:r w:rsidR="00B3667A" w:rsidRPr="00A47B8E">
        <w:rPr>
          <w:rFonts w:cs="Arial"/>
        </w:rPr>
        <w:t xml:space="preserve">Neuropsychiatric Inventory 10, </w:t>
      </w:r>
      <w:r w:rsidRPr="00A47B8E">
        <w:rPr>
          <w:rFonts w:cs="Arial"/>
        </w:rPr>
        <w:t xml:space="preserve">QOL-AD, </w:t>
      </w:r>
      <w:r w:rsidR="00B3667A" w:rsidRPr="00A47B8E">
        <w:rPr>
          <w:rFonts w:cs="Arial"/>
        </w:rPr>
        <w:t>Quality of Life–Alzheimer’s disease</w:t>
      </w:r>
    </w:p>
    <w:p w14:paraId="6CE0EB72" w14:textId="42C7743C" w:rsidR="00120971" w:rsidRPr="00A47B8E" w:rsidRDefault="00120971" w:rsidP="00120971">
      <w:pPr>
        <w:widowControl/>
        <w:rPr>
          <w:rFonts w:cs="Arial"/>
          <w:b/>
        </w:rPr>
      </w:pPr>
    </w:p>
    <w:p w14:paraId="3F464495" w14:textId="5527A48F" w:rsidR="00EE0E73" w:rsidRPr="00A47B8E" w:rsidRDefault="00EE0E73" w:rsidP="00120971">
      <w:pPr>
        <w:widowControl/>
        <w:rPr>
          <w:rFonts w:cs="Arial"/>
          <w:b/>
        </w:rPr>
      </w:pPr>
      <w:r w:rsidRPr="00A47B8E">
        <w:rPr>
          <w:rFonts w:cs="Arial"/>
          <w:b/>
        </w:rPr>
        <w:br w:type="page"/>
      </w:r>
    </w:p>
    <w:p w14:paraId="4044D5A1" w14:textId="4E8034B6" w:rsidR="007375BC" w:rsidRPr="00A47B8E" w:rsidRDefault="007375BC" w:rsidP="00E13724">
      <w:pPr>
        <w:widowControl/>
        <w:rPr>
          <w:rFonts w:cs="Arial"/>
        </w:rPr>
      </w:pPr>
      <w:r w:rsidRPr="00A47B8E">
        <w:rPr>
          <w:rFonts w:cs="Arial"/>
          <w:b/>
        </w:rPr>
        <w:lastRenderedPageBreak/>
        <w:t>Table S</w:t>
      </w:r>
      <w:r w:rsidR="00EE4173" w:rsidRPr="00A47B8E">
        <w:rPr>
          <w:rFonts w:cs="Arial"/>
          <w:b/>
        </w:rPr>
        <w:t>3</w:t>
      </w:r>
      <w:r w:rsidRPr="00A47B8E">
        <w:rPr>
          <w:rFonts w:cs="Arial"/>
          <w:b/>
        </w:rPr>
        <w:t>.</w:t>
      </w:r>
      <w:r w:rsidRPr="00A47B8E">
        <w:rPr>
          <w:rFonts w:cs="Arial"/>
        </w:rPr>
        <w:t xml:space="preserve"> </w:t>
      </w:r>
      <w:r w:rsidR="00E33D5B" w:rsidRPr="00A47B8E">
        <w:rPr>
          <w:rFonts w:cs="Arial"/>
        </w:rPr>
        <w:t xml:space="preserve">Changes in </w:t>
      </w:r>
      <w:r w:rsidR="0080711E" w:rsidRPr="00A47B8E">
        <w:rPr>
          <w:rFonts w:cs="Arial"/>
        </w:rPr>
        <w:t xml:space="preserve">Neuropsychiatric Inventory 10 </w:t>
      </w:r>
      <w:r w:rsidRPr="00A47B8E">
        <w:rPr>
          <w:rFonts w:cs="Arial"/>
        </w:rPr>
        <w:t>subdomains</w:t>
      </w:r>
      <w:r w:rsidR="00E33D5B" w:rsidRPr="00A47B8E">
        <w:rPr>
          <w:rFonts w:cs="Arial"/>
        </w:rPr>
        <w:t xml:space="preserve"> from baseline to Week 24 </w:t>
      </w:r>
      <w:r w:rsidR="00F77C7A" w:rsidRPr="00A47B8E">
        <w:rPr>
          <w:rFonts w:cs="Arial"/>
        </w:rPr>
        <w:br/>
      </w:r>
      <w:r w:rsidR="00E33D5B" w:rsidRPr="00A47B8E">
        <w:rPr>
          <w:rFonts w:cs="Arial"/>
        </w:rPr>
        <w:t>(</w:t>
      </w:r>
      <w:r w:rsidR="00D52ECD" w:rsidRPr="00A47B8E">
        <w:rPr>
          <w:rFonts w:cs="Arial"/>
        </w:rPr>
        <w:t>N</w:t>
      </w:r>
      <w:r w:rsidR="00F77C7A" w:rsidRPr="00A47B8E">
        <w:rPr>
          <w:rFonts w:cs="Arial"/>
        </w:rPr>
        <w:t xml:space="preserve"> </w:t>
      </w:r>
      <w:r w:rsidR="00E33D5B" w:rsidRPr="00A47B8E">
        <w:rPr>
          <w:rFonts w:cs="Arial"/>
        </w:rPr>
        <w:t>= 102)</w:t>
      </w:r>
    </w:p>
    <w:tbl>
      <w:tblPr>
        <w:tblStyle w:val="af1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33"/>
        <w:gridCol w:w="1584"/>
        <w:gridCol w:w="1584"/>
        <w:gridCol w:w="3458"/>
      </w:tblGrid>
      <w:tr w:rsidR="00305A85" w:rsidRPr="00A47B8E" w14:paraId="445AF0E3" w14:textId="77777777" w:rsidTr="004A2C53">
        <w:trPr>
          <w:trHeight w:val="171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CD96FB" w14:textId="0290E097" w:rsidR="00E33D5B" w:rsidRPr="00A47B8E" w:rsidRDefault="00E33D5B" w:rsidP="00E33D5B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Subdomain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DF25B5" w14:textId="39917911" w:rsidR="00E33D5B" w:rsidRPr="00A47B8E" w:rsidRDefault="00E33D5B" w:rsidP="00E33D5B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Baseline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6812CE" w14:textId="7AEB8D96" w:rsidR="00E33D5B" w:rsidRPr="00A47B8E" w:rsidRDefault="00E33D5B" w:rsidP="00E33D5B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Week 24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063CE6" w14:textId="47545EDB" w:rsidR="00E33D5B" w:rsidRPr="00A47B8E" w:rsidRDefault="00E33D5B" w:rsidP="00E33D5B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Change from baseline</w:t>
            </w:r>
          </w:p>
        </w:tc>
      </w:tr>
      <w:tr w:rsidR="00305A85" w:rsidRPr="00A47B8E" w14:paraId="0569020D" w14:textId="77777777" w:rsidTr="004A2C53">
        <w:trPr>
          <w:trHeight w:val="25"/>
        </w:trPr>
        <w:tc>
          <w:tcPr>
            <w:tcW w:w="2733" w:type="dxa"/>
            <w:tcBorders>
              <w:top w:val="single" w:sz="4" w:space="0" w:color="auto"/>
            </w:tcBorders>
            <w:hideMark/>
          </w:tcPr>
          <w:p w14:paraId="6FD80A2F" w14:textId="775A24C2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Delusions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hideMark/>
          </w:tcPr>
          <w:p w14:paraId="4E0B9620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0.69 (1.53)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hideMark/>
          </w:tcPr>
          <w:p w14:paraId="2D8B1694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0.94 (2.23)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hideMark/>
          </w:tcPr>
          <w:p w14:paraId="02BC1B1E" w14:textId="3084F309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0.25</w:t>
            </w:r>
            <w:r w:rsidR="00F77C7A" w:rsidRPr="00A47B8E">
              <w:rPr>
                <w:rFonts w:cs="Arial"/>
              </w:rPr>
              <w:t xml:space="preserve"> (1.71)</w:t>
            </w:r>
            <w:r w:rsidRPr="00A47B8E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−0.08 to 0.59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2867D658" w14:textId="77777777" w:rsidTr="004A2C53">
        <w:trPr>
          <w:trHeight w:val="25"/>
        </w:trPr>
        <w:tc>
          <w:tcPr>
            <w:tcW w:w="2733" w:type="dxa"/>
            <w:hideMark/>
          </w:tcPr>
          <w:p w14:paraId="28807063" w14:textId="2E39659B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Hallucinations</w:t>
            </w:r>
          </w:p>
        </w:tc>
        <w:tc>
          <w:tcPr>
            <w:tcW w:w="1584" w:type="dxa"/>
            <w:hideMark/>
          </w:tcPr>
          <w:p w14:paraId="62645142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0.15 (0.78)</w:t>
            </w:r>
          </w:p>
        </w:tc>
        <w:tc>
          <w:tcPr>
            <w:tcW w:w="1584" w:type="dxa"/>
            <w:hideMark/>
          </w:tcPr>
          <w:p w14:paraId="3D8E309F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0.36 (1.38)</w:t>
            </w:r>
          </w:p>
        </w:tc>
        <w:tc>
          <w:tcPr>
            <w:tcW w:w="3458" w:type="dxa"/>
            <w:hideMark/>
          </w:tcPr>
          <w:p w14:paraId="0951F670" w14:textId="1670230A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0.22 </w:t>
            </w:r>
            <w:r w:rsidR="00F77C7A" w:rsidRPr="00A47B8E">
              <w:rPr>
                <w:rFonts w:cs="Arial"/>
              </w:rPr>
              <w:t>(1.24)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−0.03 to 0.46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9E92E78" w14:textId="77777777" w:rsidTr="004A2C53">
        <w:trPr>
          <w:trHeight w:val="25"/>
        </w:trPr>
        <w:tc>
          <w:tcPr>
            <w:tcW w:w="2733" w:type="dxa"/>
            <w:hideMark/>
          </w:tcPr>
          <w:p w14:paraId="3296B587" w14:textId="178B792F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Agitation/aggression</w:t>
            </w:r>
          </w:p>
        </w:tc>
        <w:tc>
          <w:tcPr>
            <w:tcW w:w="1584" w:type="dxa"/>
            <w:hideMark/>
          </w:tcPr>
          <w:p w14:paraId="5ABEC16D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1.18 (2.07)</w:t>
            </w:r>
          </w:p>
        </w:tc>
        <w:tc>
          <w:tcPr>
            <w:tcW w:w="1584" w:type="dxa"/>
            <w:hideMark/>
          </w:tcPr>
          <w:p w14:paraId="630F5414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1.12 (2.39)</w:t>
            </w:r>
          </w:p>
        </w:tc>
        <w:tc>
          <w:tcPr>
            <w:tcW w:w="3458" w:type="dxa"/>
            <w:hideMark/>
          </w:tcPr>
          <w:p w14:paraId="0FE471AA" w14:textId="0F5D8978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−0.06 </w:t>
            </w:r>
            <w:r w:rsidR="00F77C7A" w:rsidRPr="00A47B8E">
              <w:rPr>
                <w:rFonts w:cs="Arial"/>
              </w:rPr>
              <w:t>(2.00)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−0.45 to 0.33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785C9FDA" w14:textId="77777777" w:rsidTr="004A2C53">
        <w:trPr>
          <w:trHeight w:val="25"/>
        </w:trPr>
        <w:tc>
          <w:tcPr>
            <w:tcW w:w="2733" w:type="dxa"/>
            <w:hideMark/>
          </w:tcPr>
          <w:p w14:paraId="11A895C7" w14:textId="3B55DB81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Depression/dysphoria</w:t>
            </w:r>
          </w:p>
        </w:tc>
        <w:tc>
          <w:tcPr>
            <w:tcW w:w="1584" w:type="dxa"/>
            <w:hideMark/>
          </w:tcPr>
          <w:p w14:paraId="0B86A127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0.78 (2.00)</w:t>
            </w:r>
          </w:p>
        </w:tc>
        <w:tc>
          <w:tcPr>
            <w:tcW w:w="1584" w:type="dxa"/>
            <w:hideMark/>
          </w:tcPr>
          <w:p w14:paraId="46E10EF0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0.77 (1.94)</w:t>
            </w:r>
          </w:p>
        </w:tc>
        <w:tc>
          <w:tcPr>
            <w:tcW w:w="3458" w:type="dxa"/>
            <w:hideMark/>
          </w:tcPr>
          <w:p w14:paraId="7B1BE63D" w14:textId="58BEE878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−0.01 </w:t>
            </w:r>
            <w:r w:rsidR="00F77C7A" w:rsidRPr="00A47B8E">
              <w:rPr>
                <w:rFonts w:cs="Arial"/>
              </w:rPr>
              <w:t>(2.08)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−0.42 to 0.40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9B8748C" w14:textId="77777777" w:rsidTr="004A2C53">
        <w:trPr>
          <w:trHeight w:val="25"/>
        </w:trPr>
        <w:tc>
          <w:tcPr>
            <w:tcW w:w="2733" w:type="dxa"/>
            <w:hideMark/>
          </w:tcPr>
          <w:p w14:paraId="146D6B67" w14:textId="21A63B5A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Anxiety</w:t>
            </w:r>
          </w:p>
        </w:tc>
        <w:tc>
          <w:tcPr>
            <w:tcW w:w="1584" w:type="dxa"/>
            <w:hideMark/>
          </w:tcPr>
          <w:p w14:paraId="44BE15F9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1.40 (2.68)</w:t>
            </w:r>
          </w:p>
        </w:tc>
        <w:tc>
          <w:tcPr>
            <w:tcW w:w="1584" w:type="dxa"/>
            <w:hideMark/>
          </w:tcPr>
          <w:p w14:paraId="4B5DDD34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1.09 (2.42)</w:t>
            </w:r>
          </w:p>
        </w:tc>
        <w:tc>
          <w:tcPr>
            <w:tcW w:w="3458" w:type="dxa"/>
            <w:hideMark/>
          </w:tcPr>
          <w:p w14:paraId="5F01236A" w14:textId="4145EF8C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−0.31 </w:t>
            </w:r>
            <w:r w:rsidR="00F77C7A" w:rsidRPr="00A47B8E">
              <w:rPr>
                <w:rFonts w:cs="Arial"/>
              </w:rPr>
              <w:t>(2.51)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−0.81 to 0.18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7179E68" w14:textId="77777777" w:rsidTr="004A2C53">
        <w:trPr>
          <w:trHeight w:val="309"/>
        </w:trPr>
        <w:tc>
          <w:tcPr>
            <w:tcW w:w="2733" w:type="dxa"/>
            <w:hideMark/>
          </w:tcPr>
          <w:p w14:paraId="445BECEF" w14:textId="1A4DA5ED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Elation/euphoria</w:t>
            </w:r>
          </w:p>
        </w:tc>
        <w:tc>
          <w:tcPr>
            <w:tcW w:w="1584" w:type="dxa"/>
            <w:hideMark/>
          </w:tcPr>
          <w:p w14:paraId="159D7102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0.10 (0.71)</w:t>
            </w:r>
          </w:p>
        </w:tc>
        <w:tc>
          <w:tcPr>
            <w:tcW w:w="1584" w:type="dxa"/>
            <w:hideMark/>
          </w:tcPr>
          <w:p w14:paraId="54050795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0.07 (0.60)</w:t>
            </w:r>
          </w:p>
        </w:tc>
        <w:tc>
          <w:tcPr>
            <w:tcW w:w="3458" w:type="dxa"/>
            <w:hideMark/>
          </w:tcPr>
          <w:p w14:paraId="17B648E8" w14:textId="2D371BDB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−0.03 </w:t>
            </w:r>
            <w:r w:rsidR="00F77C7A" w:rsidRPr="00A47B8E">
              <w:rPr>
                <w:rFonts w:cs="Arial"/>
              </w:rPr>
              <w:t>(0.94)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−0.21 to 0.15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2900F9D" w14:textId="77777777" w:rsidTr="004A2C53">
        <w:trPr>
          <w:trHeight w:val="546"/>
        </w:trPr>
        <w:tc>
          <w:tcPr>
            <w:tcW w:w="2733" w:type="dxa"/>
            <w:hideMark/>
          </w:tcPr>
          <w:p w14:paraId="7024E979" w14:textId="3878C27F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Apathy/indifference</w:t>
            </w:r>
          </w:p>
        </w:tc>
        <w:tc>
          <w:tcPr>
            <w:tcW w:w="1584" w:type="dxa"/>
            <w:hideMark/>
          </w:tcPr>
          <w:p w14:paraId="531DC429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3.29 (3.49)</w:t>
            </w:r>
          </w:p>
        </w:tc>
        <w:tc>
          <w:tcPr>
            <w:tcW w:w="1584" w:type="dxa"/>
            <w:hideMark/>
          </w:tcPr>
          <w:p w14:paraId="37FB46D1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2.72 (3.31)</w:t>
            </w:r>
          </w:p>
        </w:tc>
        <w:tc>
          <w:tcPr>
            <w:tcW w:w="3458" w:type="dxa"/>
            <w:hideMark/>
          </w:tcPr>
          <w:p w14:paraId="367F092F" w14:textId="16C6E70A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−0.58 </w:t>
            </w:r>
            <w:r w:rsidR="00F77C7A" w:rsidRPr="00A47B8E">
              <w:rPr>
                <w:rFonts w:cs="Arial"/>
              </w:rPr>
              <w:t>(3.32)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−1.23 to 0.07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B13C9E2" w14:textId="77777777" w:rsidTr="004A2C53">
        <w:trPr>
          <w:trHeight w:val="546"/>
        </w:trPr>
        <w:tc>
          <w:tcPr>
            <w:tcW w:w="2733" w:type="dxa"/>
            <w:hideMark/>
          </w:tcPr>
          <w:p w14:paraId="2BB3D513" w14:textId="22FE76C9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Disinhibition</w:t>
            </w:r>
          </w:p>
        </w:tc>
        <w:tc>
          <w:tcPr>
            <w:tcW w:w="1584" w:type="dxa"/>
            <w:hideMark/>
          </w:tcPr>
          <w:p w14:paraId="2D0207FB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0.33 (0.90)</w:t>
            </w:r>
          </w:p>
        </w:tc>
        <w:tc>
          <w:tcPr>
            <w:tcW w:w="1584" w:type="dxa"/>
            <w:hideMark/>
          </w:tcPr>
          <w:p w14:paraId="41F8E600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0.34 (1.15)</w:t>
            </w:r>
          </w:p>
        </w:tc>
        <w:tc>
          <w:tcPr>
            <w:tcW w:w="3458" w:type="dxa"/>
            <w:hideMark/>
          </w:tcPr>
          <w:p w14:paraId="7E70DE79" w14:textId="20031884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0.01 </w:t>
            </w:r>
            <w:r w:rsidR="00F77C7A" w:rsidRPr="00A47B8E">
              <w:rPr>
                <w:rFonts w:cs="Arial"/>
              </w:rPr>
              <w:t>(1.38)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−0.26 to 0.28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4AA01781" w14:textId="77777777" w:rsidTr="004A2C53">
        <w:trPr>
          <w:trHeight w:val="546"/>
        </w:trPr>
        <w:tc>
          <w:tcPr>
            <w:tcW w:w="2733" w:type="dxa"/>
            <w:hideMark/>
          </w:tcPr>
          <w:p w14:paraId="5134BBBE" w14:textId="6E316C3D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Irritability/lability</w:t>
            </w:r>
          </w:p>
        </w:tc>
        <w:tc>
          <w:tcPr>
            <w:tcW w:w="1584" w:type="dxa"/>
            <w:hideMark/>
          </w:tcPr>
          <w:p w14:paraId="6F133D4A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1.18 (2.31)</w:t>
            </w:r>
          </w:p>
        </w:tc>
        <w:tc>
          <w:tcPr>
            <w:tcW w:w="1584" w:type="dxa"/>
            <w:hideMark/>
          </w:tcPr>
          <w:p w14:paraId="502334D8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1.00 (2.37)</w:t>
            </w:r>
          </w:p>
        </w:tc>
        <w:tc>
          <w:tcPr>
            <w:tcW w:w="3458" w:type="dxa"/>
            <w:hideMark/>
          </w:tcPr>
          <w:p w14:paraId="68FCF06B" w14:textId="1EBBAD52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−0.18 </w:t>
            </w:r>
            <w:r w:rsidR="00F77C7A" w:rsidRPr="00A47B8E">
              <w:rPr>
                <w:rFonts w:cs="Arial"/>
              </w:rPr>
              <w:t>(2.81)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−0.73 to 0.38</w:t>
            </w:r>
            <w:r w:rsidR="00F77C7A" w:rsidRPr="00A47B8E">
              <w:rPr>
                <w:rFonts w:cs="Arial"/>
              </w:rPr>
              <w:t>]</w:t>
            </w:r>
          </w:p>
        </w:tc>
      </w:tr>
      <w:tr w:rsidR="00305A85" w:rsidRPr="00A47B8E" w14:paraId="0DB3161C" w14:textId="77777777" w:rsidTr="004A2C53">
        <w:trPr>
          <w:trHeight w:val="546"/>
        </w:trPr>
        <w:tc>
          <w:tcPr>
            <w:tcW w:w="2733" w:type="dxa"/>
            <w:tcBorders>
              <w:bottom w:val="single" w:sz="4" w:space="0" w:color="auto"/>
            </w:tcBorders>
            <w:hideMark/>
          </w:tcPr>
          <w:p w14:paraId="7AB29982" w14:textId="1D6A1DC4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Aberrant motor behavior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14:paraId="30B814C7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1.87 (3.68)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14:paraId="2101D636" w14:textId="77777777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>1.67 (3.55)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hideMark/>
          </w:tcPr>
          <w:p w14:paraId="76D61366" w14:textId="6DB56A63" w:rsidR="00E33D5B" w:rsidRPr="00A47B8E" w:rsidRDefault="00E33D5B" w:rsidP="00E33D5B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−0.21 </w:t>
            </w:r>
            <w:r w:rsidR="00F77C7A" w:rsidRPr="00A47B8E">
              <w:rPr>
                <w:rFonts w:cs="Arial"/>
              </w:rPr>
              <w:t>(3.89)</w:t>
            </w:r>
            <w:r w:rsidR="00F77C7A" w:rsidRPr="00A47B8E" w:rsidDel="00F77C7A">
              <w:rPr>
                <w:rFonts w:cs="Arial"/>
              </w:rPr>
              <w:t xml:space="preserve"> </w:t>
            </w:r>
            <w:r w:rsidR="00F77C7A" w:rsidRPr="00A47B8E">
              <w:rPr>
                <w:rFonts w:cs="Arial"/>
              </w:rPr>
              <w:t>[</w:t>
            </w:r>
            <w:r w:rsidRPr="00A47B8E">
              <w:rPr>
                <w:rFonts w:cs="Arial"/>
              </w:rPr>
              <w:t>−0.97 to 0.56</w:t>
            </w:r>
            <w:r w:rsidR="00F77C7A" w:rsidRPr="00A47B8E">
              <w:rPr>
                <w:rFonts w:cs="Arial"/>
              </w:rPr>
              <w:t>]</w:t>
            </w:r>
          </w:p>
        </w:tc>
      </w:tr>
    </w:tbl>
    <w:p w14:paraId="36E55FEC" w14:textId="7C079154" w:rsidR="003C21C8" w:rsidRPr="00A47B8E" w:rsidRDefault="00F77C7A" w:rsidP="00DA30A6">
      <w:pPr>
        <w:rPr>
          <w:rFonts w:cs="Arial"/>
        </w:rPr>
      </w:pPr>
      <w:r w:rsidRPr="00A47B8E">
        <w:rPr>
          <w:rFonts w:cs="Arial"/>
        </w:rPr>
        <w:t xml:space="preserve">Values </w:t>
      </w:r>
      <w:proofErr w:type="gramStart"/>
      <w:r w:rsidRPr="00A47B8E">
        <w:rPr>
          <w:rFonts w:cs="Arial"/>
        </w:rPr>
        <w:t>are expressed</w:t>
      </w:r>
      <w:proofErr w:type="gramEnd"/>
      <w:r w:rsidRPr="00A47B8E">
        <w:rPr>
          <w:rFonts w:cs="Arial"/>
        </w:rPr>
        <w:t xml:space="preserve"> as the mean (standard deviation) or mean (standard deviation) [95% confidence interval]</w:t>
      </w:r>
      <w:r w:rsidR="003C21C8" w:rsidRPr="00A47B8E">
        <w:rPr>
          <w:rFonts w:cs="Arial"/>
          <w:b/>
        </w:rPr>
        <w:br w:type="page"/>
      </w:r>
    </w:p>
    <w:p w14:paraId="64007F8A" w14:textId="11EF5B8D" w:rsidR="00F77C7A" w:rsidRPr="00A47B8E" w:rsidRDefault="00F77C7A" w:rsidP="00013A69">
      <w:pPr>
        <w:rPr>
          <w:rFonts w:cs="Arial"/>
        </w:rPr>
      </w:pPr>
      <w:r w:rsidRPr="00A47B8E">
        <w:rPr>
          <w:rFonts w:cs="Arial"/>
          <w:b/>
        </w:rPr>
        <w:lastRenderedPageBreak/>
        <w:t>Table S</w:t>
      </w:r>
      <w:r w:rsidR="00EE4173" w:rsidRPr="00A47B8E">
        <w:rPr>
          <w:rFonts w:cs="Arial"/>
          <w:b/>
        </w:rPr>
        <w:t>4</w:t>
      </w:r>
      <w:r w:rsidRPr="00A47B8E">
        <w:rPr>
          <w:rFonts w:cs="Arial"/>
          <w:b/>
        </w:rPr>
        <w:t>.</w:t>
      </w:r>
      <w:r w:rsidRPr="00A47B8E">
        <w:rPr>
          <w:rFonts w:cs="Arial"/>
        </w:rPr>
        <w:t xml:space="preserve"> Japanese Clinical Global Impression of Change</w:t>
      </w:r>
    </w:p>
    <w:tbl>
      <w:tblPr>
        <w:tblStyle w:val="af1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33"/>
        <w:gridCol w:w="1584"/>
        <w:gridCol w:w="1584"/>
        <w:gridCol w:w="1584"/>
        <w:gridCol w:w="1584"/>
      </w:tblGrid>
      <w:tr w:rsidR="00305A85" w:rsidRPr="00A47B8E" w14:paraId="3AF1557F" w14:textId="003D73D1" w:rsidTr="00E13724">
        <w:trPr>
          <w:trHeight w:val="171"/>
        </w:trPr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45B3AF" w14:textId="3366A44C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Change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C56D0B" w14:textId="77777777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 xml:space="preserve">Week 4 </w:t>
            </w:r>
          </w:p>
          <w:p w14:paraId="1C0B3431" w14:textId="085F845B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(</w:t>
            </w:r>
            <w:r w:rsidR="00D52ECD" w:rsidRPr="00A47B8E">
              <w:rPr>
                <w:rFonts w:cs="Arial"/>
                <w:b/>
              </w:rPr>
              <w:t>N</w:t>
            </w:r>
            <w:r w:rsidRPr="00A47B8E">
              <w:rPr>
                <w:rFonts w:cs="Arial"/>
                <w:b/>
              </w:rPr>
              <w:t xml:space="preserve"> = 117)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6DA3F4" w14:textId="77777777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 xml:space="preserve">Week 8 </w:t>
            </w:r>
          </w:p>
          <w:p w14:paraId="74DDF9B0" w14:textId="7070555C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(</w:t>
            </w:r>
            <w:r w:rsidR="00D52ECD" w:rsidRPr="00A47B8E">
              <w:rPr>
                <w:rFonts w:cs="Arial"/>
                <w:b/>
              </w:rPr>
              <w:t>N</w:t>
            </w:r>
            <w:r w:rsidRPr="00A47B8E">
              <w:rPr>
                <w:rFonts w:cs="Arial"/>
                <w:b/>
              </w:rPr>
              <w:t xml:space="preserve"> = 116)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36153A1" w14:textId="77777777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 xml:space="preserve">Week 16 </w:t>
            </w:r>
          </w:p>
          <w:p w14:paraId="5090D731" w14:textId="0F5071CF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(</w:t>
            </w:r>
            <w:r w:rsidR="00D52ECD" w:rsidRPr="00A47B8E">
              <w:rPr>
                <w:rFonts w:cs="Arial"/>
                <w:b/>
              </w:rPr>
              <w:t>N</w:t>
            </w:r>
            <w:r w:rsidRPr="00A47B8E">
              <w:rPr>
                <w:rFonts w:cs="Arial"/>
                <w:b/>
              </w:rPr>
              <w:t xml:space="preserve"> = 106)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722658A" w14:textId="77777777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 xml:space="preserve">Week 24 </w:t>
            </w:r>
          </w:p>
          <w:p w14:paraId="5F9C4A77" w14:textId="31C2DA71" w:rsidR="00F77C7A" w:rsidRPr="00A47B8E" w:rsidRDefault="00F77C7A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(</w:t>
            </w:r>
            <w:r w:rsidR="00D52ECD" w:rsidRPr="00A47B8E">
              <w:rPr>
                <w:rFonts w:cs="Arial"/>
                <w:b/>
              </w:rPr>
              <w:t>N</w:t>
            </w:r>
            <w:r w:rsidRPr="00A47B8E">
              <w:rPr>
                <w:rFonts w:cs="Arial"/>
                <w:b/>
              </w:rPr>
              <w:t xml:space="preserve"> = 103)</w:t>
            </w:r>
          </w:p>
        </w:tc>
      </w:tr>
      <w:tr w:rsidR="00305A85" w:rsidRPr="00A47B8E" w14:paraId="1FA8D29D" w14:textId="19797EEC" w:rsidTr="00E13724">
        <w:trPr>
          <w:trHeight w:val="25"/>
        </w:trPr>
        <w:tc>
          <w:tcPr>
            <w:tcW w:w="2733" w:type="dxa"/>
            <w:vAlign w:val="center"/>
          </w:tcPr>
          <w:p w14:paraId="2098F46A" w14:textId="55787CE4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Markedly improved</w:t>
            </w:r>
          </w:p>
        </w:tc>
        <w:tc>
          <w:tcPr>
            <w:tcW w:w="1584" w:type="dxa"/>
            <w:vAlign w:val="center"/>
          </w:tcPr>
          <w:p w14:paraId="26E541C7" w14:textId="454777AA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(0.9)</w:t>
            </w:r>
          </w:p>
        </w:tc>
        <w:tc>
          <w:tcPr>
            <w:tcW w:w="1584" w:type="dxa"/>
            <w:vAlign w:val="center"/>
          </w:tcPr>
          <w:p w14:paraId="44193CC5" w14:textId="40244CE2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2 (1.7)</w:t>
            </w:r>
          </w:p>
        </w:tc>
        <w:tc>
          <w:tcPr>
            <w:tcW w:w="1584" w:type="dxa"/>
            <w:vAlign w:val="center"/>
          </w:tcPr>
          <w:p w14:paraId="6506D735" w14:textId="535A3B4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2 (1.9)</w:t>
            </w:r>
          </w:p>
        </w:tc>
        <w:tc>
          <w:tcPr>
            <w:tcW w:w="1584" w:type="dxa"/>
            <w:vAlign w:val="center"/>
          </w:tcPr>
          <w:p w14:paraId="527B044A" w14:textId="7A440592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3 (2.9)</w:t>
            </w:r>
          </w:p>
        </w:tc>
      </w:tr>
      <w:tr w:rsidR="00305A85" w:rsidRPr="00A47B8E" w14:paraId="14BB23D7" w14:textId="77777777" w:rsidTr="00E13724">
        <w:trPr>
          <w:trHeight w:val="25"/>
        </w:trPr>
        <w:tc>
          <w:tcPr>
            <w:tcW w:w="2733" w:type="dxa"/>
            <w:vAlign w:val="center"/>
          </w:tcPr>
          <w:p w14:paraId="4EAC73DF" w14:textId="5CB930D3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Improved</w:t>
            </w:r>
          </w:p>
        </w:tc>
        <w:tc>
          <w:tcPr>
            <w:tcW w:w="1584" w:type="dxa"/>
            <w:vAlign w:val="center"/>
          </w:tcPr>
          <w:p w14:paraId="48E61332" w14:textId="474FB1CF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8 (6.8)</w:t>
            </w:r>
          </w:p>
        </w:tc>
        <w:tc>
          <w:tcPr>
            <w:tcW w:w="1584" w:type="dxa"/>
            <w:vAlign w:val="center"/>
          </w:tcPr>
          <w:p w14:paraId="3D7B2F32" w14:textId="7D63EB94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8 (6.9)</w:t>
            </w:r>
          </w:p>
        </w:tc>
        <w:tc>
          <w:tcPr>
            <w:tcW w:w="1584" w:type="dxa"/>
            <w:vAlign w:val="center"/>
          </w:tcPr>
          <w:p w14:paraId="39CE5653" w14:textId="6C99246E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7 (6.6)</w:t>
            </w:r>
          </w:p>
        </w:tc>
        <w:tc>
          <w:tcPr>
            <w:tcW w:w="1584" w:type="dxa"/>
            <w:vAlign w:val="center"/>
          </w:tcPr>
          <w:p w14:paraId="3BD27ABB" w14:textId="1F11CFF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6 (5.8)</w:t>
            </w:r>
          </w:p>
        </w:tc>
      </w:tr>
      <w:tr w:rsidR="00305A85" w:rsidRPr="00A47B8E" w14:paraId="5F7A36E2" w14:textId="6D40BBC8" w:rsidTr="00E13724">
        <w:trPr>
          <w:trHeight w:val="25"/>
        </w:trPr>
        <w:tc>
          <w:tcPr>
            <w:tcW w:w="2733" w:type="dxa"/>
            <w:vAlign w:val="center"/>
          </w:tcPr>
          <w:p w14:paraId="2AA487CF" w14:textId="6134EFE5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Slightly improved</w:t>
            </w:r>
          </w:p>
        </w:tc>
        <w:tc>
          <w:tcPr>
            <w:tcW w:w="1584" w:type="dxa"/>
            <w:vAlign w:val="center"/>
          </w:tcPr>
          <w:p w14:paraId="04FAE193" w14:textId="53F13C4F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34 (29.1)</w:t>
            </w:r>
          </w:p>
        </w:tc>
        <w:tc>
          <w:tcPr>
            <w:tcW w:w="1584" w:type="dxa"/>
            <w:vAlign w:val="center"/>
          </w:tcPr>
          <w:p w14:paraId="27AC81EC" w14:textId="614231D3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40 (34.5)</w:t>
            </w:r>
          </w:p>
        </w:tc>
        <w:tc>
          <w:tcPr>
            <w:tcW w:w="1584" w:type="dxa"/>
            <w:vAlign w:val="center"/>
          </w:tcPr>
          <w:p w14:paraId="6770D9FF" w14:textId="4CD5032A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33 (31.1)</w:t>
            </w:r>
          </w:p>
        </w:tc>
        <w:tc>
          <w:tcPr>
            <w:tcW w:w="1584" w:type="dxa"/>
            <w:vAlign w:val="center"/>
          </w:tcPr>
          <w:p w14:paraId="6F67ECAB" w14:textId="3F1DB4BC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39 (37.9)</w:t>
            </w:r>
          </w:p>
        </w:tc>
      </w:tr>
      <w:tr w:rsidR="00305A85" w:rsidRPr="00A47B8E" w14:paraId="060F5F74" w14:textId="46ADDA31" w:rsidTr="00E13724">
        <w:trPr>
          <w:trHeight w:val="25"/>
        </w:trPr>
        <w:tc>
          <w:tcPr>
            <w:tcW w:w="2733" w:type="dxa"/>
            <w:vAlign w:val="center"/>
          </w:tcPr>
          <w:p w14:paraId="6E98562A" w14:textId="19389233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No change</w:t>
            </w:r>
          </w:p>
        </w:tc>
        <w:tc>
          <w:tcPr>
            <w:tcW w:w="1584" w:type="dxa"/>
            <w:vAlign w:val="center"/>
          </w:tcPr>
          <w:p w14:paraId="652E6FD5" w14:textId="09E6F7F5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69 (59.0)</w:t>
            </w:r>
          </w:p>
        </w:tc>
        <w:tc>
          <w:tcPr>
            <w:tcW w:w="1584" w:type="dxa"/>
            <w:vAlign w:val="center"/>
          </w:tcPr>
          <w:p w14:paraId="418531D8" w14:textId="5E34C8B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59 (50.9)</w:t>
            </w:r>
          </w:p>
        </w:tc>
        <w:tc>
          <w:tcPr>
            <w:tcW w:w="1584" w:type="dxa"/>
            <w:vAlign w:val="center"/>
          </w:tcPr>
          <w:p w14:paraId="1698600C" w14:textId="4607C537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52 (49.1)</w:t>
            </w:r>
          </w:p>
        </w:tc>
        <w:tc>
          <w:tcPr>
            <w:tcW w:w="1584" w:type="dxa"/>
            <w:vAlign w:val="center"/>
          </w:tcPr>
          <w:p w14:paraId="6EA96275" w14:textId="1FEBA8B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43 (41.7)</w:t>
            </w:r>
          </w:p>
        </w:tc>
      </w:tr>
      <w:tr w:rsidR="00305A85" w:rsidRPr="00A47B8E" w14:paraId="274575B4" w14:textId="4B2F21D2" w:rsidTr="00E13724">
        <w:trPr>
          <w:trHeight w:val="25"/>
        </w:trPr>
        <w:tc>
          <w:tcPr>
            <w:tcW w:w="2733" w:type="dxa"/>
            <w:vAlign w:val="center"/>
          </w:tcPr>
          <w:p w14:paraId="16CD9A0B" w14:textId="04652596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Slightly aggravated</w:t>
            </w:r>
          </w:p>
        </w:tc>
        <w:tc>
          <w:tcPr>
            <w:tcW w:w="1584" w:type="dxa"/>
            <w:vAlign w:val="center"/>
          </w:tcPr>
          <w:p w14:paraId="689B549C" w14:textId="5A2ED4E0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5 (4.3)</w:t>
            </w:r>
          </w:p>
        </w:tc>
        <w:tc>
          <w:tcPr>
            <w:tcW w:w="1584" w:type="dxa"/>
            <w:vAlign w:val="center"/>
          </w:tcPr>
          <w:p w14:paraId="2A09E2DA" w14:textId="34D1CFF0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7 (6.0)</w:t>
            </w:r>
          </w:p>
        </w:tc>
        <w:tc>
          <w:tcPr>
            <w:tcW w:w="1584" w:type="dxa"/>
            <w:vAlign w:val="center"/>
          </w:tcPr>
          <w:p w14:paraId="6A316215" w14:textId="31F24FC6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10 (9.4)</w:t>
            </w:r>
          </w:p>
        </w:tc>
        <w:tc>
          <w:tcPr>
            <w:tcW w:w="1584" w:type="dxa"/>
            <w:vAlign w:val="center"/>
          </w:tcPr>
          <w:p w14:paraId="038CB5F2" w14:textId="70994E7D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11 (10.7)</w:t>
            </w:r>
          </w:p>
        </w:tc>
      </w:tr>
      <w:tr w:rsidR="00305A85" w:rsidRPr="00A47B8E" w14:paraId="3FB9D6DB" w14:textId="430107FF" w:rsidTr="00E13724">
        <w:trPr>
          <w:trHeight w:val="309"/>
        </w:trPr>
        <w:tc>
          <w:tcPr>
            <w:tcW w:w="2733" w:type="dxa"/>
            <w:vAlign w:val="center"/>
          </w:tcPr>
          <w:p w14:paraId="2EC13E80" w14:textId="1E72DAE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Aggravated</w:t>
            </w:r>
          </w:p>
        </w:tc>
        <w:tc>
          <w:tcPr>
            <w:tcW w:w="1584" w:type="dxa"/>
            <w:vAlign w:val="center"/>
          </w:tcPr>
          <w:p w14:paraId="4687929C" w14:textId="1D7A7DDC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0 (0.0)</w:t>
            </w:r>
          </w:p>
        </w:tc>
        <w:tc>
          <w:tcPr>
            <w:tcW w:w="1584" w:type="dxa"/>
            <w:vAlign w:val="center"/>
          </w:tcPr>
          <w:p w14:paraId="5A1049E8" w14:textId="158A7889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0 (0.0)</w:t>
            </w:r>
          </w:p>
        </w:tc>
        <w:tc>
          <w:tcPr>
            <w:tcW w:w="1584" w:type="dxa"/>
            <w:vAlign w:val="center"/>
          </w:tcPr>
          <w:p w14:paraId="199C91E3" w14:textId="2787A56A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(0.9)</w:t>
            </w:r>
          </w:p>
        </w:tc>
        <w:tc>
          <w:tcPr>
            <w:tcW w:w="1584" w:type="dxa"/>
            <w:vAlign w:val="center"/>
          </w:tcPr>
          <w:p w14:paraId="2695798C" w14:textId="66FC73EE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(1.0)</w:t>
            </w:r>
          </w:p>
        </w:tc>
      </w:tr>
      <w:tr w:rsidR="00305A85" w:rsidRPr="00A47B8E" w14:paraId="1B52DB9E" w14:textId="5791A411" w:rsidTr="00E13724">
        <w:trPr>
          <w:trHeight w:val="546"/>
        </w:trPr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14:paraId="577478C2" w14:textId="4ECD496C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Markedly aggravated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2A498537" w14:textId="2AB77A63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0 (0.0)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6188678B" w14:textId="51792D72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0 (0.0)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095008EE" w14:textId="64DFAAB5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(0.9)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5E734363" w14:textId="0C9EA586" w:rsidR="00F77C7A" w:rsidRPr="00A47B8E" w:rsidRDefault="00F77C7A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0 (0.0)</w:t>
            </w:r>
          </w:p>
        </w:tc>
      </w:tr>
    </w:tbl>
    <w:p w14:paraId="28814E07" w14:textId="4C87F179" w:rsidR="00F77C7A" w:rsidRPr="00A47B8E" w:rsidRDefault="00F77C7A" w:rsidP="003C21C8">
      <w:pPr>
        <w:rPr>
          <w:rFonts w:cs="Arial"/>
        </w:rPr>
      </w:pPr>
      <w:r w:rsidRPr="00A47B8E">
        <w:rPr>
          <w:rFonts w:cs="Arial"/>
        </w:rPr>
        <w:t>Values are expressed as the number (</w:t>
      </w:r>
      <w:proofErr w:type="gramStart"/>
      <w:r w:rsidRPr="00A47B8E">
        <w:rPr>
          <w:rFonts w:cs="Arial"/>
        </w:rPr>
        <w:t>%</w:t>
      </w:r>
      <w:proofErr w:type="gramEnd"/>
      <w:r w:rsidRPr="00A47B8E">
        <w:rPr>
          <w:rFonts w:cs="Arial"/>
        </w:rPr>
        <w:t>) of patients</w:t>
      </w:r>
    </w:p>
    <w:p w14:paraId="34D8D9F7" w14:textId="2697E832" w:rsidR="00E0136A" w:rsidRPr="00A47B8E" w:rsidRDefault="00E0136A" w:rsidP="00013A69">
      <w:pPr>
        <w:rPr>
          <w:rFonts w:cs="Arial"/>
        </w:rPr>
      </w:pPr>
    </w:p>
    <w:p w14:paraId="17D60AFD" w14:textId="77777777" w:rsidR="00665143" w:rsidRPr="00A47B8E" w:rsidRDefault="00665143">
      <w:pPr>
        <w:widowControl/>
        <w:spacing w:line="240" w:lineRule="auto"/>
        <w:rPr>
          <w:rFonts w:cs="Arial"/>
          <w:b/>
        </w:rPr>
      </w:pPr>
      <w:r w:rsidRPr="00A47B8E">
        <w:rPr>
          <w:rFonts w:cs="Arial"/>
          <w:b/>
        </w:rPr>
        <w:br w:type="page"/>
      </w:r>
    </w:p>
    <w:p w14:paraId="77B03A2A" w14:textId="191527FB" w:rsidR="00665143" w:rsidRPr="00A47B8E" w:rsidRDefault="00665143" w:rsidP="00665143">
      <w:pPr>
        <w:rPr>
          <w:rFonts w:cs="Arial"/>
        </w:rPr>
      </w:pPr>
      <w:r w:rsidRPr="00A47B8E">
        <w:rPr>
          <w:rFonts w:cs="Arial"/>
          <w:b/>
        </w:rPr>
        <w:lastRenderedPageBreak/>
        <w:t>Table S</w:t>
      </w:r>
      <w:r w:rsidR="00EE4173" w:rsidRPr="00A47B8E">
        <w:rPr>
          <w:rFonts w:cs="Arial"/>
          <w:b/>
        </w:rPr>
        <w:t>5</w:t>
      </w:r>
      <w:r w:rsidRPr="00A47B8E">
        <w:rPr>
          <w:rFonts w:cs="Arial"/>
          <w:b/>
        </w:rPr>
        <w:t>.</w:t>
      </w:r>
      <w:r w:rsidRPr="00A47B8E">
        <w:rPr>
          <w:rFonts w:cs="Arial"/>
        </w:rPr>
        <w:t xml:space="preserve"> AEs leading to dose reduction</w:t>
      </w:r>
    </w:p>
    <w:tbl>
      <w:tblPr>
        <w:tblStyle w:val="af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305A85" w:rsidRPr="00A47B8E" w14:paraId="3F72EA0D" w14:textId="77777777" w:rsidTr="00481DA1">
        <w:trPr>
          <w:trHeight w:val="622"/>
        </w:trPr>
        <w:tc>
          <w:tcPr>
            <w:tcW w:w="4678" w:type="dxa"/>
            <w:tcBorders>
              <w:top w:val="single" w:sz="4" w:space="0" w:color="auto"/>
            </w:tcBorders>
          </w:tcPr>
          <w:p w14:paraId="3EB461CE" w14:textId="77777777" w:rsidR="00416415" w:rsidRPr="00A47B8E" w:rsidRDefault="00416415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AE (by preferred term)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19021D" w14:textId="4D1FBE94" w:rsidR="00416415" w:rsidRPr="00A47B8E" w:rsidRDefault="00416415" w:rsidP="00F77C7A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Study period (N = 118)</w:t>
            </w:r>
          </w:p>
        </w:tc>
      </w:tr>
      <w:tr w:rsidR="00305A85" w:rsidRPr="00A47B8E" w14:paraId="32ED9706" w14:textId="77777777" w:rsidTr="00481DA1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476D8D6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Patients with AEs requiring dose reduction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E16FCD0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12 (10.2)</w:t>
            </w:r>
          </w:p>
        </w:tc>
      </w:tr>
      <w:tr w:rsidR="00305A85" w:rsidRPr="00A47B8E" w14:paraId="2B0ACF58" w14:textId="77777777" w:rsidTr="00481DA1">
        <w:tc>
          <w:tcPr>
            <w:tcW w:w="4678" w:type="dxa"/>
            <w:vAlign w:val="center"/>
          </w:tcPr>
          <w:p w14:paraId="5FC78464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erythema </w:t>
            </w:r>
          </w:p>
        </w:tc>
        <w:tc>
          <w:tcPr>
            <w:tcW w:w="2835" w:type="dxa"/>
            <w:vAlign w:val="center"/>
          </w:tcPr>
          <w:p w14:paraId="43478D76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2 (1.7)</w:t>
            </w:r>
          </w:p>
        </w:tc>
      </w:tr>
      <w:tr w:rsidR="00305A85" w:rsidRPr="00A47B8E" w14:paraId="334BC68B" w14:textId="77777777" w:rsidTr="00481DA1">
        <w:tc>
          <w:tcPr>
            <w:tcW w:w="4678" w:type="dxa"/>
            <w:vAlign w:val="center"/>
          </w:tcPr>
          <w:p w14:paraId="58C136E3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pruritus </w:t>
            </w:r>
          </w:p>
        </w:tc>
        <w:tc>
          <w:tcPr>
            <w:tcW w:w="2835" w:type="dxa"/>
            <w:vAlign w:val="center"/>
          </w:tcPr>
          <w:p w14:paraId="578563A0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2 (1.7)</w:t>
            </w:r>
          </w:p>
        </w:tc>
      </w:tr>
      <w:tr w:rsidR="00305A85" w:rsidRPr="00A47B8E" w14:paraId="5B71A7F9" w14:textId="77777777" w:rsidTr="00481DA1">
        <w:tc>
          <w:tcPr>
            <w:tcW w:w="4678" w:type="dxa"/>
            <w:vAlign w:val="center"/>
          </w:tcPr>
          <w:p w14:paraId="7D0C9F07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rash </w:t>
            </w:r>
          </w:p>
        </w:tc>
        <w:tc>
          <w:tcPr>
            <w:tcW w:w="2835" w:type="dxa"/>
            <w:vAlign w:val="center"/>
          </w:tcPr>
          <w:p w14:paraId="7B328051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7FF4AD25" w14:textId="77777777" w:rsidTr="00481DA1">
        <w:tc>
          <w:tcPr>
            <w:tcW w:w="4678" w:type="dxa"/>
            <w:vAlign w:val="center"/>
          </w:tcPr>
          <w:p w14:paraId="3245E1BC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Pneumonia </w:t>
            </w:r>
          </w:p>
        </w:tc>
        <w:tc>
          <w:tcPr>
            <w:tcW w:w="2835" w:type="dxa"/>
            <w:vAlign w:val="center"/>
          </w:tcPr>
          <w:p w14:paraId="614DC7BE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180C57ED" w14:textId="77777777" w:rsidTr="00481DA1">
        <w:tc>
          <w:tcPr>
            <w:tcW w:w="4678" w:type="dxa"/>
            <w:vAlign w:val="center"/>
          </w:tcPr>
          <w:p w14:paraId="68A35E93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Heat illness</w:t>
            </w:r>
          </w:p>
        </w:tc>
        <w:tc>
          <w:tcPr>
            <w:tcW w:w="2835" w:type="dxa"/>
            <w:vAlign w:val="center"/>
          </w:tcPr>
          <w:p w14:paraId="09658E2F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2DAD8A55" w14:textId="77777777" w:rsidTr="00481DA1">
        <w:tc>
          <w:tcPr>
            <w:tcW w:w="4678" w:type="dxa"/>
            <w:vAlign w:val="center"/>
          </w:tcPr>
          <w:p w14:paraId="2C95D114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</w:t>
            </w:r>
            <w:proofErr w:type="spellStart"/>
            <w:r w:rsidRPr="00A47B8E">
              <w:rPr>
                <w:rFonts w:cs="Arial"/>
              </w:rPr>
              <w:t>Asterixis</w:t>
            </w:r>
            <w:proofErr w:type="spellEnd"/>
          </w:p>
        </w:tc>
        <w:tc>
          <w:tcPr>
            <w:tcW w:w="2835" w:type="dxa"/>
            <w:vAlign w:val="center"/>
          </w:tcPr>
          <w:p w14:paraId="72CFEC6A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33E02019" w14:textId="77777777" w:rsidTr="00481DA1">
        <w:tc>
          <w:tcPr>
            <w:tcW w:w="4678" w:type="dxa"/>
            <w:vAlign w:val="center"/>
          </w:tcPr>
          <w:p w14:paraId="75A0A10A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Agitation</w:t>
            </w:r>
          </w:p>
        </w:tc>
        <w:tc>
          <w:tcPr>
            <w:tcW w:w="2835" w:type="dxa"/>
            <w:vAlign w:val="center"/>
          </w:tcPr>
          <w:p w14:paraId="001B56DE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493EA0CF" w14:textId="77777777" w:rsidTr="00481DA1">
        <w:tc>
          <w:tcPr>
            <w:tcW w:w="4678" w:type="dxa"/>
            <w:vAlign w:val="center"/>
          </w:tcPr>
          <w:p w14:paraId="383C2152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Irritability </w:t>
            </w:r>
          </w:p>
        </w:tc>
        <w:tc>
          <w:tcPr>
            <w:tcW w:w="2835" w:type="dxa"/>
            <w:vAlign w:val="center"/>
          </w:tcPr>
          <w:p w14:paraId="1C3F737F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3449F7F2" w14:textId="77777777" w:rsidTr="00481DA1">
        <w:tc>
          <w:tcPr>
            <w:tcW w:w="4678" w:type="dxa"/>
            <w:vAlign w:val="center"/>
          </w:tcPr>
          <w:p w14:paraId="02ABFE98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Dermatitis contact</w:t>
            </w:r>
          </w:p>
        </w:tc>
        <w:tc>
          <w:tcPr>
            <w:tcW w:w="2835" w:type="dxa"/>
            <w:vAlign w:val="center"/>
          </w:tcPr>
          <w:p w14:paraId="5C3D3C95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55317120" w14:textId="77777777" w:rsidTr="00481DA1">
        <w:tc>
          <w:tcPr>
            <w:tcW w:w="4678" w:type="dxa"/>
            <w:vAlign w:val="center"/>
          </w:tcPr>
          <w:p w14:paraId="14B9D443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Drug eruption </w:t>
            </w:r>
          </w:p>
        </w:tc>
        <w:tc>
          <w:tcPr>
            <w:tcW w:w="2835" w:type="dxa"/>
            <w:vAlign w:val="center"/>
          </w:tcPr>
          <w:p w14:paraId="5C557334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1816D664" w14:textId="77777777" w:rsidTr="00481DA1">
        <w:tc>
          <w:tcPr>
            <w:tcW w:w="4678" w:type="dxa"/>
            <w:vAlign w:val="center"/>
          </w:tcPr>
          <w:p w14:paraId="64CDAD4B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Erythema</w:t>
            </w:r>
          </w:p>
        </w:tc>
        <w:tc>
          <w:tcPr>
            <w:tcW w:w="2835" w:type="dxa"/>
            <w:vAlign w:val="center"/>
          </w:tcPr>
          <w:p w14:paraId="4A2211EF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61A403FA" w14:textId="77777777" w:rsidTr="00481DA1">
        <w:tc>
          <w:tcPr>
            <w:tcW w:w="4678" w:type="dxa"/>
            <w:vAlign w:val="center"/>
          </w:tcPr>
          <w:p w14:paraId="3F2B88A1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Rash</w:t>
            </w:r>
          </w:p>
        </w:tc>
        <w:tc>
          <w:tcPr>
            <w:tcW w:w="2835" w:type="dxa"/>
            <w:vAlign w:val="center"/>
          </w:tcPr>
          <w:p w14:paraId="45517937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  <w:tr w:rsidR="00305A85" w:rsidRPr="00A47B8E" w14:paraId="53887E38" w14:textId="77777777" w:rsidTr="00481DA1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C397538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Rash generalized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8ADE8B" w14:textId="77777777" w:rsidR="00416415" w:rsidRPr="00A47B8E" w:rsidRDefault="00416415" w:rsidP="00F77C7A">
            <w:pPr>
              <w:rPr>
                <w:rFonts w:cs="Arial"/>
              </w:rPr>
            </w:pPr>
            <w:r w:rsidRPr="00A47B8E">
              <w:rPr>
                <w:rFonts w:cs="Arial"/>
              </w:rPr>
              <w:t>1 (0.8)</w:t>
            </w:r>
          </w:p>
        </w:tc>
      </w:tr>
    </w:tbl>
    <w:p w14:paraId="365F10C6" w14:textId="77777777" w:rsidR="00665143" w:rsidRPr="00A47B8E" w:rsidRDefault="00665143" w:rsidP="00665143">
      <w:pPr>
        <w:rPr>
          <w:rFonts w:cs="Arial"/>
        </w:rPr>
      </w:pPr>
      <w:r w:rsidRPr="00A47B8E">
        <w:rPr>
          <w:rFonts w:cs="Arial"/>
        </w:rPr>
        <w:t>Values are expressed as number (</w:t>
      </w:r>
      <w:proofErr w:type="gramStart"/>
      <w:r w:rsidRPr="00A47B8E">
        <w:rPr>
          <w:rFonts w:cs="Arial"/>
        </w:rPr>
        <w:t>%</w:t>
      </w:r>
      <w:proofErr w:type="gramEnd"/>
      <w:r w:rsidRPr="00A47B8E">
        <w:rPr>
          <w:rFonts w:cs="Arial"/>
        </w:rPr>
        <w:t>) of patients</w:t>
      </w:r>
    </w:p>
    <w:p w14:paraId="0FDF724F" w14:textId="3DEE8631" w:rsidR="00143803" w:rsidRPr="00A47B8E" w:rsidRDefault="00665143" w:rsidP="00DA30A6">
      <w:pPr>
        <w:rPr>
          <w:rFonts w:cs="Arial"/>
        </w:rPr>
      </w:pPr>
      <w:r w:rsidRPr="00A47B8E">
        <w:rPr>
          <w:rFonts w:cs="Arial"/>
        </w:rPr>
        <w:t>AE, adverse event; SAE, serious adverse event</w:t>
      </w:r>
      <w:r w:rsidR="00143803" w:rsidRPr="00A47B8E">
        <w:rPr>
          <w:rFonts w:cs="Arial"/>
        </w:rPr>
        <w:br w:type="page"/>
      </w:r>
    </w:p>
    <w:p w14:paraId="5E3DD6F6" w14:textId="6B8762DD" w:rsidR="00E0136A" w:rsidRPr="00A47B8E" w:rsidRDefault="004F5055" w:rsidP="00013A69">
      <w:pPr>
        <w:rPr>
          <w:rFonts w:cs="Arial"/>
        </w:rPr>
      </w:pPr>
      <w:r w:rsidRPr="00A47B8E">
        <w:rPr>
          <w:rFonts w:cs="Arial"/>
          <w:b/>
        </w:rPr>
        <w:lastRenderedPageBreak/>
        <w:t>Table S</w:t>
      </w:r>
      <w:r w:rsidR="00EE4173" w:rsidRPr="00A47B8E">
        <w:rPr>
          <w:rFonts w:cs="Arial"/>
          <w:b/>
        </w:rPr>
        <w:t>6</w:t>
      </w:r>
      <w:r w:rsidRPr="00A47B8E">
        <w:rPr>
          <w:rFonts w:cs="Arial"/>
          <w:b/>
        </w:rPr>
        <w:t>.</w:t>
      </w:r>
      <w:r w:rsidRPr="00A47B8E">
        <w:rPr>
          <w:rFonts w:cs="Arial"/>
        </w:rPr>
        <w:t xml:space="preserve"> </w:t>
      </w:r>
      <w:r w:rsidR="00CB54AA" w:rsidRPr="00A47B8E">
        <w:rPr>
          <w:rFonts w:cs="Arial"/>
        </w:rPr>
        <w:t>Application site s</w:t>
      </w:r>
      <w:r w:rsidRPr="00A47B8E">
        <w:rPr>
          <w:rFonts w:cs="Arial"/>
        </w:rPr>
        <w:t>kin</w:t>
      </w:r>
      <w:r w:rsidR="00CB54AA" w:rsidRPr="00A47B8E">
        <w:rPr>
          <w:rFonts w:cs="Arial"/>
        </w:rPr>
        <w:t>-related</w:t>
      </w:r>
      <w:r w:rsidRPr="00A47B8E">
        <w:rPr>
          <w:rFonts w:cs="Arial"/>
        </w:rPr>
        <w:t xml:space="preserve"> or GI</w:t>
      </w:r>
      <w:r w:rsidR="00BB1C5C" w:rsidRPr="00A47B8E">
        <w:rPr>
          <w:rFonts w:cs="Arial"/>
        </w:rPr>
        <w:t>-related AEs in patients divided into</w:t>
      </w:r>
      <w:r w:rsidRPr="00A47B8E">
        <w:rPr>
          <w:rFonts w:cs="Arial"/>
        </w:rPr>
        <w:t xml:space="preserve"> body weight</w:t>
      </w:r>
      <w:r w:rsidR="00BB1C5C" w:rsidRPr="00A47B8E">
        <w:rPr>
          <w:rFonts w:cs="Arial"/>
        </w:rPr>
        <w:t xml:space="preserve"> bands (&lt;40 vs ≥40 kg and &lt;50 vs ≥50 kg)</w:t>
      </w:r>
    </w:p>
    <w:tbl>
      <w:tblPr>
        <w:tblStyle w:val="af1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49"/>
        <w:gridCol w:w="1318"/>
        <w:gridCol w:w="1318"/>
        <w:gridCol w:w="1318"/>
        <w:gridCol w:w="1319"/>
      </w:tblGrid>
      <w:tr w:rsidR="00305A85" w:rsidRPr="00A47B8E" w14:paraId="0761E5F2" w14:textId="77777777" w:rsidTr="00461CE4">
        <w:trPr>
          <w:trHeight w:val="260"/>
        </w:trPr>
        <w:tc>
          <w:tcPr>
            <w:tcW w:w="2949" w:type="dxa"/>
            <w:vMerge w:val="restart"/>
            <w:tcBorders>
              <w:top w:val="single" w:sz="4" w:space="0" w:color="auto"/>
            </w:tcBorders>
          </w:tcPr>
          <w:p w14:paraId="2BEBB30B" w14:textId="4C065597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AE (by preferred term)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</w:tcPr>
          <w:p w14:paraId="393D7FF0" w14:textId="460A0BB5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Body weight bands</w:t>
            </w:r>
          </w:p>
        </w:tc>
      </w:tr>
      <w:tr w:rsidR="00305A85" w:rsidRPr="00A47B8E" w14:paraId="32993629" w14:textId="77777777" w:rsidTr="00461CE4">
        <w:trPr>
          <w:trHeight w:val="451"/>
        </w:trPr>
        <w:tc>
          <w:tcPr>
            <w:tcW w:w="2949" w:type="dxa"/>
            <w:vMerge/>
            <w:tcBorders>
              <w:bottom w:val="single" w:sz="4" w:space="0" w:color="auto"/>
            </w:tcBorders>
            <w:hideMark/>
          </w:tcPr>
          <w:p w14:paraId="44250883" w14:textId="28C71530" w:rsidR="00BB1C5C" w:rsidRPr="00A47B8E" w:rsidRDefault="00BB1C5C" w:rsidP="008D52F7">
            <w:pPr>
              <w:rPr>
                <w:rFonts w:cs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5BC44FB9" w14:textId="09F557F6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&lt;40 kg</w:t>
            </w:r>
          </w:p>
          <w:p w14:paraId="6B2A0AFF" w14:textId="3EDFEB3B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=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46F4B76C" w14:textId="325F7B2B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≥40 kg</w:t>
            </w:r>
          </w:p>
          <w:p w14:paraId="2CE8ED52" w14:textId="2E8A13B9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=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105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7EE51F41" w14:textId="77777777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 xml:space="preserve">&lt;50 kg </w:t>
            </w:r>
          </w:p>
          <w:p w14:paraId="3AE0DF4B" w14:textId="2361CED0" w:rsidR="00BB1C5C" w:rsidRPr="00A47B8E" w:rsidRDefault="00BB1C5C" w:rsidP="00BB1C5C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=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43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hideMark/>
          </w:tcPr>
          <w:p w14:paraId="5FE32300" w14:textId="77777777" w:rsidR="00BB1C5C" w:rsidRPr="00A47B8E" w:rsidRDefault="00BB1C5C" w:rsidP="008D52F7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≥50 kg</w:t>
            </w:r>
          </w:p>
          <w:p w14:paraId="708B7F22" w14:textId="2F298495" w:rsidR="00BB1C5C" w:rsidRPr="00A47B8E" w:rsidRDefault="00BB1C5C" w:rsidP="00BB1C5C">
            <w:pPr>
              <w:rPr>
                <w:rFonts w:cs="Arial"/>
                <w:b/>
              </w:rPr>
            </w:pPr>
            <w:r w:rsidRPr="00A47B8E">
              <w:rPr>
                <w:rFonts w:cs="Arial"/>
                <w:b/>
              </w:rPr>
              <w:t>N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=</w:t>
            </w:r>
            <w:r w:rsidR="007237D6" w:rsidRPr="00A47B8E">
              <w:rPr>
                <w:rFonts w:cs="Arial"/>
                <w:b/>
              </w:rPr>
              <w:t xml:space="preserve"> </w:t>
            </w:r>
            <w:r w:rsidRPr="00A47B8E">
              <w:rPr>
                <w:rFonts w:cs="Arial"/>
                <w:b/>
              </w:rPr>
              <w:t>75</w:t>
            </w:r>
          </w:p>
        </w:tc>
      </w:tr>
      <w:tr w:rsidR="00305A85" w:rsidRPr="00A47B8E" w14:paraId="7F6F3160" w14:textId="77777777" w:rsidTr="00461CE4">
        <w:trPr>
          <w:trHeight w:val="355"/>
        </w:trPr>
        <w:tc>
          <w:tcPr>
            <w:tcW w:w="2949" w:type="dxa"/>
            <w:tcBorders>
              <w:top w:val="single" w:sz="4" w:space="0" w:color="auto"/>
            </w:tcBorders>
            <w:hideMark/>
          </w:tcPr>
          <w:p w14:paraId="2D8EFFE6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Application site skin reactions and irritations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61FBD3F3" w14:textId="47E62E8A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(15.4)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14FEF05D" w14:textId="21D09630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34 (32.4)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1357E685" w14:textId="6EA3E785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15 (34.9)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hideMark/>
          </w:tcPr>
          <w:p w14:paraId="2E3341C7" w14:textId="64BF4370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21 (28.0)</w:t>
            </w:r>
          </w:p>
        </w:tc>
      </w:tr>
      <w:tr w:rsidR="00CB54AA" w:rsidRPr="00A47B8E" w14:paraId="47E9862A" w14:textId="77777777" w:rsidTr="00461CE4">
        <w:trPr>
          <w:trHeight w:val="355"/>
        </w:trPr>
        <w:tc>
          <w:tcPr>
            <w:tcW w:w="2949" w:type="dxa"/>
            <w:tcBorders>
              <w:top w:val="single" w:sz="4" w:space="0" w:color="auto"/>
            </w:tcBorders>
          </w:tcPr>
          <w:p w14:paraId="6B848669" w14:textId="2E998EDF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Dermatitis contact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562565DA" w14:textId="540ACB31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73C131D6" w14:textId="3D21E9E6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17 (16.2)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55A1D02F" w14:textId="5916E0E3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9 (20.9)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3BBC7537" w14:textId="5DBE577A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9 (12.0)</w:t>
            </w:r>
          </w:p>
        </w:tc>
      </w:tr>
      <w:tr w:rsidR="00CB54AA" w:rsidRPr="00A47B8E" w14:paraId="77DB10CA" w14:textId="77777777" w:rsidTr="00461CE4">
        <w:trPr>
          <w:trHeight w:val="355"/>
        </w:trPr>
        <w:tc>
          <w:tcPr>
            <w:tcW w:w="2949" w:type="dxa"/>
          </w:tcPr>
          <w:p w14:paraId="66861B06" w14:textId="39DAE5E6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pruritus</w:t>
            </w:r>
          </w:p>
        </w:tc>
        <w:tc>
          <w:tcPr>
            <w:tcW w:w="1318" w:type="dxa"/>
          </w:tcPr>
          <w:p w14:paraId="41C79071" w14:textId="1DB279DB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8" w:type="dxa"/>
          </w:tcPr>
          <w:p w14:paraId="1FFD2209" w14:textId="62F97D1B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10 (9.5)</w:t>
            </w:r>
          </w:p>
        </w:tc>
        <w:tc>
          <w:tcPr>
            <w:tcW w:w="1318" w:type="dxa"/>
          </w:tcPr>
          <w:p w14:paraId="4D0F64B9" w14:textId="184157A4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2 (4.7) </w:t>
            </w:r>
          </w:p>
        </w:tc>
        <w:tc>
          <w:tcPr>
            <w:tcW w:w="1319" w:type="dxa"/>
          </w:tcPr>
          <w:p w14:paraId="6297E28C" w14:textId="1DCBF876" w:rsidR="00CB54AA" w:rsidRPr="00A47B8E" w:rsidRDefault="00CB54AA" w:rsidP="00CB54AA">
            <w:pPr>
              <w:rPr>
                <w:rFonts w:cs="Arial"/>
              </w:rPr>
            </w:pPr>
            <w:r w:rsidRPr="00A47B8E">
              <w:rPr>
                <w:rFonts w:cs="Arial"/>
              </w:rPr>
              <w:t>8 (10.7)</w:t>
            </w:r>
          </w:p>
        </w:tc>
      </w:tr>
      <w:tr w:rsidR="00305A85" w:rsidRPr="00A47B8E" w14:paraId="3DB5B2F9" w14:textId="77777777" w:rsidTr="00461CE4">
        <w:trPr>
          <w:trHeight w:val="355"/>
        </w:trPr>
        <w:tc>
          <w:tcPr>
            <w:tcW w:w="2949" w:type="dxa"/>
            <w:hideMark/>
          </w:tcPr>
          <w:p w14:paraId="67C63805" w14:textId="2D4FA4AD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erythema</w:t>
            </w:r>
          </w:p>
        </w:tc>
        <w:tc>
          <w:tcPr>
            <w:tcW w:w="1318" w:type="dxa"/>
            <w:hideMark/>
          </w:tcPr>
          <w:p w14:paraId="3A5FF34E" w14:textId="6494416B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hideMark/>
          </w:tcPr>
          <w:p w14:paraId="0E05C8DC" w14:textId="23E31F04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8 (7.6)</w:t>
            </w:r>
          </w:p>
        </w:tc>
        <w:tc>
          <w:tcPr>
            <w:tcW w:w="1318" w:type="dxa"/>
            <w:hideMark/>
          </w:tcPr>
          <w:p w14:paraId="0EF76B61" w14:textId="0F3F9C2D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3 (7.0)</w:t>
            </w:r>
          </w:p>
        </w:tc>
        <w:tc>
          <w:tcPr>
            <w:tcW w:w="1319" w:type="dxa"/>
            <w:hideMark/>
          </w:tcPr>
          <w:p w14:paraId="44DF1858" w14:textId="188B049E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6 (8.0)</w:t>
            </w:r>
          </w:p>
        </w:tc>
      </w:tr>
      <w:tr w:rsidR="00305A85" w:rsidRPr="00A47B8E" w14:paraId="55DB96D2" w14:textId="77777777" w:rsidTr="00461CE4">
        <w:trPr>
          <w:trHeight w:val="355"/>
        </w:trPr>
        <w:tc>
          <w:tcPr>
            <w:tcW w:w="2949" w:type="dxa"/>
            <w:hideMark/>
          </w:tcPr>
          <w:p w14:paraId="7E9FCD79" w14:textId="70FE547E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rash</w:t>
            </w:r>
          </w:p>
        </w:tc>
        <w:tc>
          <w:tcPr>
            <w:tcW w:w="1318" w:type="dxa"/>
            <w:hideMark/>
          </w:tcPr>
          <w:p w14:paraId="539AA50D" w14:textId="269E852F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hideMark/>
          </w:tcPr>
          <w:p w14:paraId="6EBAB491" w14:textId="06AC87D1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(1.9)</w:t>
            </w:r>
          </w:p>
        </w:tc>
        <w:tc>
          <w:tcPr>
            <w:tcW w:w="1318" w:type="dxa"/>
            <w:hideMark/>
          </w:tcPr>
          <w:p w14:paraId="0BAE1E82" w14:textId="751AE76E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(4.7)</w:t>
            </w:r>
          </w:p>
        </w:tc>
        <w:tc>
          <w:tcPr>
            <w:tcW w:w="1319" w:type="dxa"/>
            <w:hideMark/>
          </w:tcPr>
          <w:p w14:paraId="31D51035" w14:textId="44995AB0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(1.3)</w:t>
            </w:r>
          </w:p>
        </w:tc>
      </w:tr>
      <w:tr w:rsidR="00305A85" w:rsidRPr="00A47B8E" w14:paraId="04ACD740" w14:textId="77777777" w:rsidTr="00461CE4">
        <w:trPr>
          <w:trHeight w:val="355"/>
        </w:trPr>
        <w:tc>
          <w:tcPr>
            <w:tcW w:w="2949" w:type="dxa"/>
            <w:hideMark/>
          </w:tcPr>
          <w:p w14:paraId="06AA9BCC" w14:textId="309D06C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Dermatitis allergic</w:t>
            </w:r>
          </w:p>
        </w:tc>
        <w:tc>
          <w:tcPr>
            <w:tcW w:w="1318" w:type="dxa"/>
            <w:hideMark/>
          </w:tcPr>
          <w:p w14:paraId="5A279FF9" w14:textId="43E8B138" w:rsidR="008D52F7" w:rsidRPr="00A47B8E" w:rsidRDefault="00227DC0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8" w:type="dxa"/>
            <w:hideMark/>
          </w:tcPr>
          <w:p w14:paraId="3D30FC82" w14:textId="3D3230BE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2 (1.9) </w:t>
            </w:r>
          </w:p>
        </w:tc>
        <w:tc>
          <w:tcPr>
            <w:tcW w:w="1318" w:type="dxa"/>
            <w:hideMark/>
          </w:tcPr>
          <w:p w14:paraId="1B53D408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9" w:type="dxa"/>
            <w:hideMark/>
          </w:tcPr>
          <w:p w14:paraId="79F9F159" w14:textId="4A38F13F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(2.7)</w:t>
            </w:r>
          </w:p>
        </w:tc>
      </w:tr>
      <w:tr w:rsidR="00305A85" w:rsidRPr="00A47B8E" w14:paraId="5FBBC47F" w14:textId="77777777" w:rsidTr="00D8490B">
        <w:trPr>
          <w:trHeight w:val="355"/>
        </w:trPr>
        <w:tc>
          <w:tcPr>
            <w:tcW w:w="2949" w:type="dxa"/>
            <w:hideMark/>
          </w:tcPr>
          <w:p w14:paraId="75CA65B9" w14:textId="1319C934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dermatitis</w:t>
            </w:r>
          </w:p>
        </w:tc>
        <w:tc>
          <w:tcPr>
            <w:tcW w:w="1318" w:type="dxa"/>
            <w:hideMark/>
          </w:tcPr>
          <w:p w14:paraId="70AD623D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8" w:type="dxa"/>
            <w:hideMark/>
          </w:tcPr>
          <w:p w14:paraId="469EBE10" w14:textId="4984BF1E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(1.0)</w:t>
            </w:r>
          </w:p>
        </w:tc>
        <w:tc>
          <w:tcPr>
            <w:tcW w:w="1318" w:type="dxa"/>
            <w:hideMark/>
          </w:tcPr>
          <w:p w14:paraId="52EE480C" w14:textId="7C79CC66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(2.3)</w:t>
            </w:r>
          </w:p>
        </w:tc>
        <w:tc>
          <w:tcPr>
            <w:tcW w:w="1319" w:type="dxa"/>
            <w:hideMark/>
          </w:tcPr>
          <w:p w14:paraId="1A4EE534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</w:tr>
      <w:tr w:rsidR="00305A85" w:rsidRPr="00A47B8E" w14:paraId="1C5533FC" w14:textId="77777777" w:rsidTr="00D8490B">
        <w:trPr>
          <w:trHeight w:val="355"/>
        </w:trPr>
        <w:tc>
          <w:tcPr>
            <w:tcW w:w="2949" w:type="dxa"/>
            <w:tcBorders>
              <w:bottom w:val="single" w:sz="4" w:space="0" w:color="auto"/>
            </w:tcBorders>
            <w:hideMark/>
          </w:tcPr>
          <w:p w14:paraId="416E165A" w14:textId="5F487940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Application site eczema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375C48D9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6A63719D" w14:textId="04A4B06D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(1.0)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040A8A80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hideMark/>
          </w:tcPr>
          <w:p w14:paraId="23700AA5" w14:textId="058BD98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(1.3)</w:t>
            </w:r>
          </w:p>
        </w:tc>
      </w:tr>
      <w:tr w:rsidR="00305A85" w:rsidRPr="00A47B8E" w14:paraId="72CDC511" w14:textId="77777777" w:rsidTr="00D8490B">
        <w:trPr>
          <w:trHeight w:val="355"/>
        </w:trPr>
        <w:tc>
          <w:tcPr>
            <w:tcW w:w="2949" w:type="dxa"/>
            <w:tcBorders>
              <w:top w:val="single" w:sz="4" w:space="0" w:color="auto"/>
            </w:tcBorders>
            <w:hideMark/>
          </w:tcPr>
          <w:p w14:paraId="0BB80E6F" w14:textId="199568F2" w:rsidR="008D52F7" w:rsidRPr="00A47B8E" w:rsidRDefault="00461CE4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GI</w:t>
            </w:r>
            <w:r w:rsidR="008D52F7" w:rsidRPr="00A47B8E">
              <w:rPr>
                <w:rFonts w:cs="Arial"/>
              </w:rPr>
              <w:t xml:space="preserve"> symptoms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2F0E8188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(15.4)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5A8C03A4" w14:textId="3D1106DC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7 (6.7)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14:paraId="48747E1F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7 (16.3)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hideMark/>
          </w:tcPr>
          <w:p w14:paraId="38175968" w14:textId="6124C923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(2.7)</w:t>
            </w:r>
          </w:p>
        </w:tc>
      </w:tr>
      <w:tr w:rsidR="000F033F" w:rsidRPr="00A47B8E" w14:paraId="0D7B2800" w14:textId="77777777" w:rsidTr="00D8490B">
        <w:trPr>
          <w:trHeight w:val="355"/>
        </w:trPr>
        <w:tc>
          <w:tcPr>
            <w:tcW w:w="2949" w:type="dxa"/>
            <w:tcBorders>
              <w:top w:val="single" w:sz="4" w:space="0" w:color="auto"/>
            </w:tcBorders>
          </w:tcPr>
          <w:p w14:paraId="4A5FE164" w14:textId="7A06164C" w:rsidR="000F033F" w:rsidRPr="00A47B8E" w:rsidRDefault="000F033F" w:rsidP="000F033F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Nausea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5B569EC8" w14:textId="56924F61" w:rsidR="000F033F" w:rsidRPr="00A47B8E" w:rsidRDefault="000F033F" w:rsidP="000F033F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25163640" w14:textId="45FC1A20" w:rsidR="000F033F" w:rsidRPr="00A47B8E" w:rsidRDefault="000F033F" w:rsidP="000F033F">
            <w:pPr>
              <w:rPr>
                <w:rFonts w:cs="Arial"/>
              </w:rPr>
            </w:pPr>
            <w:r w:rsidRPr="00A47B8E">
              <w:rPr>
                <w:rFonts w:cs="Arial"/>
              </w:rPr>
              <w:t>4 (3.8)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602BF5B0" w14:textId="738307F3" w:rsidR="000F033F" w:rsidRPr="00A47B8E" w:rsidRDefault="000F033F" w:rsidP="000F033F">
            <w:pPr>
              <w:rPr>
                <w:rFonts w:cs="Arial"/>
              </w:rPr>
            </w:pPr>
            <w:r w:rsidRPr="00A47B8E">
              <w:rPr>
                <w:rFonts w:cs="Arial"/>
              </w:rPr>
              <w:t>3 (7.0)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117D42DF" w14:textId="04D4FCAD" w:rsidR="000F033F" w:rsidRPr="00A47B8E" w:rsidRDefault="000F033F" w:rsidP="000F033F">
            <w:pPr>
              <w:rPr>
                <w:rFonts w:cs="Arial"/>
              </w:rPr>
            </w:pPr>
            <w:r w:rsidRPr="00A47B8E">
              <w:rPr>
                <w:rFonts w:cs="Arial"/>
              </w:rPr>
              <w:t>2 (2.7)</w:t>
            </w:r>
          </w:p>
        </w:tc>
      </w:tr>
      <w:tr w:rsidR="00305A85" w:rsidRPr="00A47B8E" w14:paraId="4EC6CC92" w14:textId="77777777" w:rsidTr="00461CE4">
        <w:trPr>
          <w:trHeight w:val="355"/>
        </w:trPr>
        <w:tc>
          <w:tcPr>
            <w:tcW w:w="2949" w:type="dxa"/>
            <w:hideMark/>
          </w:tcPr>
          <w:p w14:paraId="5B0E18A8" w14:textId="03568D5F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Diarrhea</w:t>
            </w:r>
          </w:p>
        </w:tc>
        <w:tc>
          <w:tcPr>
            <w:tcW w:w="1318" w:type="dxa"/>
            <w:hideMark/>
          </w:tcPr>
          <w:p w14:paraId="46D4CC0F" w14:textId="26D0C8F5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hideMark/>
          </w:tcPr>
          <w:p w14:paraId="6CA52BEB" w14:textId="514107C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3 (2.9)</w:t>
            </w:r>
          </w:p>
        </w:tc>
        <w:tc>
          <w:tcPr>
            <w:tcW w:w="1318" w:type="dxa"/>
            <w:hideMark/>
          </w:tcPr>
          <w:p w14:paraId="1792D9B9" w14:textId="67A35E70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3 (7.0)</w:t>
            </w:r>
          </w:p>
        </w:tc>
        <w:tc>
          <w:tcPr>
            <w:tcW w:w="1319" w:type="dxa"/>
            <w:hideMark/>
          </w:tcPr>
          <w:p w14:paraId="77B751B7" w14:textId="5B452D4A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(1.3)</w:t>
            </w:r>
          </w:p>
        </w:tc>
      </w:tr>
      <w:tr w:rsidR="00305A85" w:rsidRPr="00A47B8E" w14:paraId="2D576AD2" w14:textId="77777777" w:rsidTr="00461CE4">
        <w:trPr>
          <w:trHeight w:val="355"/>
        </w:trPr>
        <w:tc>
          <w:tcPr>
            <w:tcW w:w="2949" w:type="dxa"/>
            <w:tcBorders>
              <w:bottom w:val="single" w:sz="4" w:space="0" w:color="auto"/>
            </w:tcBorders>
            <w:hideMark/>
          </w:tcPr>
          <w:p w14:paraId="3F82246C" w14:textId="4A74F136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 xml:space="preserve">  Vomiting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7EBC143A" w14:textId="2CC1CC8A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1 (7.7)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106102D6" w14:textId="06E1181C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2 (1.9)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14:paraId="74B698B1" w14:textId="7A1723A4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3 (7.0)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hideMark/>
          </w:tcPr>
          <w:p w14:paraId="1C0CAD0C" w14:textId="77777777" w:rsidR="008D52F7" w:rsidRPr="00A47B8E" w:rsidRDefault="008D52F7" w:rsidP="008D52F7">
            <w:pPr>
              <w:rPr>
                <w:rFonts w:cs="Arial"/>
              </w:rPr>
            </w:pPr>
            <w:r w:rsidRPr="00A47B8E">
              <w:rPr>
                <w:rFonts w:cs="Arial"/>
              </w:rPr>
              <w:t>0</w:t>
            </w:r>
          </w:p>
        </w:tc>
      </w:tr>
    </w:tbl>
    <w:p w14:paraId="04D3BCDA" w14:textId="118B5CAC" w:rsidR="00E0136A" w:rsidRPr="00A47B8E" w:rsidRDefault="00461CE4" w:rsidP="00013A69">
      <w:pPr>
        <w:rPr>
          <w:rFonts w:cs="Arial"/>
        </w:rPr>
      </w:pPr>
      <w:r w:rsidRPr="00A47B8E">
        <w:rPr>
          <w:rFonts w:cs="Arial"/>
        </w:rPr>
        <w:t>Values are expressed as the number (</w:t>
      </w:r>
      <w:proofErr w:type="gramStart"/>
      <w:r w:rsidRPr="00A47B8E">
        <w:rPr>
          <w:rFonts w:cs="Arial"/>
        </w:rPr>
        <w:t>%</w:t>
      </w:r>
      <w:proofErr w:type="gramEnd"/>
      <w:r w:rsidRPr="00A47B8E">
        <w:rPr>
          <w:rFonts w:cs="Arial"/>
        </w:rPr>
        <w:t>) of patients</w:t>
      </w:r>
    </w:p>
    <w:p w14:paraId="2A6EF639" w14:textId="2A82B9A0" w:rsidR="00461CE4" w:rsidRPr="00A47B8E" w:rsidRDefault="00461CE4" w:rsidP="00013A69">
      <w:pPr>
        <w:rPr>
          <w:rFonts w:cs="Arial"/>
        </w:rPr>
      </w:pPr>
      <w:r w:rsidRPr="00A47B8E">
        <w:rPr>
          <w:rFonts w:cs="Arial"/>
        </w:rPr>
        <w:t xml:space="preserve">GI, gastrointestinal </w:t>
      </w:r>
    </w:p>
    <w:p w14:paraId="4A3A9D78" w14:textId="45B7E507" w:rsidR="00310B6D" w:rsidRPr="00A47B8E" w:rsidRDefault="00310B6D" w:rsidP="00013A69">
      <w:pPr>
        <w:rPr>
          <w:rFonts w:cs="Arial"/>
        </w:rPr>
      </w:pPr>
    </w:p>
    <w:p w14:paraId="3ADA0E9E" w14:textId="77777777" w:rsidR="00310B6D" w:rsidRPr="00A47B8E" w:rsidRDefault="00310B6D" w:rsidP="00013A69">
      <w:pPr>
        <w:rPr>
          <w:rFonts w:cs="Arial"/>
        </w:rPr>
      </w:pPr>
    </w:p>
    <w:p w14:paraId="0A4ADBCF" w14:textId="3092263E" w:rsidR="005E34A4" w:rsidRPr="00A47B8E" w:rsidRDefault="005E34A4" w:rsidP="00BB1C5C">
      <w:pPr>
        <w:pStyle w:val="2"/>
        <w:pageBreakBefore/>
        <w:rPr>
          <w:rFonts w:cs="Arial"/>
        </w:rPr>
      </w:pPr>
      <w:r w:rsidRPr="00A47B8E">
        <w:rPr>
          <w:rFonts w:cs="Arial"/>
        </w:rPr>
        <w:lastRenderedPageBreak/>
        <w:t xml:space="preserve">Supplementary </w:t>
      </w:r>
      <w:r w:rsidR="00841DA6" w:rsidRPr="00A47B8E">
        <w:rPr>
          <w:rFonts w:cs="Arial"/>
        </w:rPr>
        <w:t>F</w:t>
      </w:r>
      <w:r w:rsidRPr="00A47B8E">
        <w:rPr>
          <w:rFonts w:cs="Arial"/>
        </w:rPr>
        <w:t>igure</w:t>
      </w:r>
      <w:r w:rsidR="00F15DDC" w:rsidRPr="00A47B8E">
        <w:rPr>
          <w:rFonts w:cs="Arial"/>
        </w:rPr>
        <w:t>s</w:t>
      </w:r>
    </w:p>
    <w:p w14:paraId="71D1F548" w14:textId="295DF439" w:rsidR="00893A86" w:rsidRPr="00A47B8E" w:rsidRDefault="00893A86" w:rsidP="00481DA1">
      <w:r w:rsidRPr="00A47B8E">
        <w:rPr>
          <w:rFonts w:cs="Arial"/>
          <w:b/>
        </w:rPr>
        <w:t xml:space="preserve">Figure S1. </w:t>
      </w:r>
      <w:r w:rsidRPr="00A47B8E">
        <w:rPr>
          <w:rFonts w:cs="Arial"/>
        </w:rPr>
        <w:t xml:space="preserve">Study design </w:t>
      </w:r>
    </w:p>
    <w:p w14:paraId="59C9BE70" w14:textId="08A1444B" w:rsidR="00936CC1" w:rsidRPr="00A47B8E" w:rsidRDefault="00BA2144" w:rsidP="00893A86">
      <w:pPr>
        <w:rPr>
          <w:rFonts w:cs="Arial"/>
          <w:b/>
        </w:rPr>
      </w:pPr>
      <w:r w:rsidRPr="00A47B8E">
        <w:rPr>
          <w:rFonts w:cs="Arial"/>
          <w:b/>
          <w:noProof/>
          <w:lang w:eastAsia="ja-JP"/>
        </w:rPr>
        <w:drawing>
          <wp:inline distT="0" distB="0" distL="0" distR="0" wp14:anchorId="301721F1" wp14:editId="1004F01C">
            <wp:extent cx="5767911" cy="3533086"/>
            <wp:effectExtent l="0" t="0" r="444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18" cy="353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3A86" w:rsidRPr="00A47B8E" w:rsidDel="00893A86">
        <w:rPr>
          <w:rFonts w:cs="Arial"/>
          <w:b/>
        </w:rPr>
        <w:t xml:space="preserve"> </w:t>
      </w:r>
    </w:p>
    <w:p w14:paraId="44E7537A" w14:textId="11ADF62C" w:rsidR="00936CC1" w:rsidRPr="00A47B8E" w:rsidRDefault="00936CC1" w:rsidP="00936CC1">
      <w:pPr>
        <w:rPr>
          <w:rFonts w:cs="Arial"/>
        </w:rPr>
      </w:pPr>
      <w:r w:rsidRPr="00A47B8E">
        <w:rPr>
          <w:rFonts w:cs="Arial"/>
          <w:b/>
        </w:rPr>
        <w:t>Screening period:</w:t>
      </w:r>
      <w:r w:rsidRPr="00A47B8E">
        <w:rPr>
          <w:rFonts w:cs="Arial"/>
        </w:rPr>
        <w:t xml:space="preserve"> 2–4 weeks (Week −4 [Day −28] to Week −2 [Day −14 to Day −1])</w:t>
      </w:r>
    </w:p>
    <w:p w14:paraId="797A475C" w14:textId="69D7FDBC" w:rsidR="00936CC1" w:rsidRPr="00A47B8E" w:rsidRDefault="00936CC1" w:rsidP="00936CC1">
      <w:pPr>
        <w:rPr>
          <w:rFonts w:cs="Arial"/>
        </w:rPr>
      </w:pPr>
      <w:r w:rsidRPr="00A47B8E">
        <w:rPr>
          <w:rFonts w:cs="Arial"/>
        </w:rPr>
        <w:t>Oral cholinesterase inhibitor (</w:t>
      </w:r>
      <w:proofErr w:type="spellStart"/>
      <w:r w:rsidRPr="00A47B8E">
        <w:rPr>
          <w:rFonts w:cs="Arial"/>
        </w:rPr>
        <w:t>ChEI</w:t>
      </w:r>
      <w:proofErr w:type="spellEnd"/>
      <w:r w:rsidRPr="00A47B8E">
        <w:rPr>
          <w:rFonts w:cs="Arial"/>
        </w:rPr>
        <w:t xml:space="preserve">; donepezil or </w:t>
      </w:r>
      <w:proofErr w:type="spellStart"/>
      <w:r w:rsidRPr="00A47B8E">
        <w:rPr>
          <w:rFonts w:cs="Arial"/>
        </w:rPr>
        <w:t>galantamine</w:t>
      </w:r>
      <w:proofErr w:type="spellEnd"/>
      <w:r w:rsidRPr="00A47B8E">
        <w:rPr>
          <w:rFonts w:cs="Arial"/>
        </w:rPr>
        <w:t xml:space="preserve">) </w:t>
      </w:r>
      <w:proofErr w:type="gramStart"/>
      <w:r w:rsidRPr="00A47B8E">
        <w:rPr>
          <w:rFonts w:cs="Arial"/>
        </w:rPr>
        <w:t>was continued</w:t>
      </w:r>
      <w:proofErr w:type="gramEnd"/>
      <w:r w:rsidRPr="00A47B8E">
        <w:rPr>
          <w:rFonts w:cs="Arial"/>
        </w:rPr>
        <w:t xml:space="preserve"> during screening period until the night before starting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</w:t>
      </w:r>
      <w:r w:rsidR="00BF42A4" w:rsidRPr="00A47B8E">
        <w:rPr>
          <w:rFonts w:cs="Arial"/>
        </w:rPr>
        <w:t xml:space="preserve">transdermal </w:t>
      </w:r>
      <w:r w:rsidRPr="00A47B8E">
        <w:rPr>
          <w:rFonts w:cs="Arial"/>
        </w:rPr>
        <w:t xml:space="preserve">patch. Day −1: oral </w:t>
      </w:r>
      <w:proofErr w:type="spellStart"/>
      <w:r w:rsidRPr="00A47B8E">
        <w:rPr>
          <w:rFonts w:cs="Arial"/>
        </w:rPr>
        <w:t>ChEI</w:t>
      </w:r>
      <w:proofErr w:type="spellEnd"/>
      <w:r w:rsidRPr="00A47B8E">
        <w:rPr>
          <w:rFonts w:cs="Arial"/>
        </w:rPr>
        <w:t xml:space="preserve"> discontinued. Day 1: start of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</w:t>
      </w:r>
      <w:r w:rsidR="00BF42A4" w:rsidRPr="00A47B8E">
        <w:rPr>
          <w:rFonts w:cs="Arial"/>
        </w:rPr>
        <w:t xml:space="preserve">transdermal </w:t>
      </w:r>
      <w:r w:rsidRPr="00A47B8E">
        <w:rPr>
          <w:rFonts w:cs="Arial"/>
        </w:rPr>
        <w:t>patch treatment at starting dose of 9 mg/day.</w:t>
      </w:r>
    </w:p>
    <w:p w14:paraId="63107EAB" w14:textId="77777777" w:rsidR="00936CC1" w:rsidRPr="00A47B8E" w:rsidRDefault="00936CC1" w:rsidP="00936CC1">
      <w:pPr>
        <w:rPr>
          <w:rFonts w:cs="Arial"/>
        </w:rPr>
      </w:pPr>
      <w:r w:rsidRPr="00A47B8E">
        <w:rPr>
          <w:rFonts w:cs="Arial"/>
          <w:b/>
        </w:rPr>
        <w:t>Titration period:</w:t>
      </w:r>
      <w:r w:rsidRPr="00A47B8E">
        <w:rPr>
          <w:rFonts w:cs="Arial"/>
        </w:rPr>
        <w:t xml:space="preserve"> 8 weeks (Week 1 [Day 1] to Week 8 [Day 56])</w:t>
      </w:r>
    </w:p>
    <w:p w14:paraId="0AD855D8" w14:textId="534290D1" w:rsidR="00936CC1" w:rsidRPr="00A47B8E" w:rsidRDefault="00936CC1" w:rsidP="00936CC1">
      <w:pPr>
        <w:rPr>
          <w:rFonts w:cs="Arial"/>
        </w:rPr>
      </w:pPr>
      <w:r w:rsidRPr="00A47B8E">
        <w:rPr>
          <w:rFonts w:cs="Arial"/>
        </w:rPr>
        <w:t xml:space="preserve">After 4 weeks of treatment, the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</w:t>
      </w:r>
      <w:r w:rsidR="00BF42A4" w:rsidRPr="00A47B8E">
        <w:rPr>
          <w:rFonts w:cs="Arial"/>
        </w:rPr>
        <w:t xml:space="preserve">transdermal patch </w:t>
      </w:r>
      <w:proofErr w:type="gramStart"/>
      <w:r w:rsidRPr="00A47B8E">
        <w:rPr>
          <w:rFonts w:cs="Arial"/>
        </w:rPr>
        <w:t>was increased</w:t>
      </w:r>
      <w:proofErr w:type="gramEnd"/>
      <w:r w:rsidRPr="00A47B8E">
        <w:rPr>
          <w:rFonts w:cs="Arial"/>
        </w:rPr>
        <w:t xml:space="preserve"> to the maintenance dose of 18 mg/day. In patients with tolerability issues, the investigator or </w:t>
      </w:r>
      <w:proofErr w:type="spellStart"/>
      <w:r w:rsidRPr="00A47B8E">
        <w:rPr>
          <w:rFonts w:cs="Arial"/>
        </w:rPr>
        <w:t>subinvestigator</w:t>
      </w:r>
      <w:proofErr w:type="spellEnd"/>
      <w:r w:rsidRPr="00A47B8E">
        <w:rPr>
          <w:rFonts w:cs="Arial"/>
        </w:rPr>
        <w:t xml:space="preserve"> could temporarily interrupt the study treatment or reduce the dose. Investigators </w:t>
      </w:r>
      <w:proofErr w:type="gramStart"/>
      <w:r w:rsidRPr="00A47B8E">
        <w:rPr>
          <w:rFonts w:cs="Arial"/>
        </w:rPr>
        <w:t>were permitted</w:t>
      </w:r>
      <w:proofErr w:type="gramEnd"/>
      <w:r w:rsidRPr="00A47B8E">
        <w:rPr>
          <w:rFonts w:cs="Arial"/>
        </w:rPr>
        <w:t xml:space="preserve"> to switch to a three-step titration method in order to achieve the 18 mg/day dose or to explore the maximum tolerable dose in individual patients.</w:t>
      </w:r>
    </w:p>
    <w:p w14:paraId="2861EC47" w14:textId="77777777" w:rsidR="00936CC1" w:rsidRPr="00A47B8E" w:rsidRDefault="00936CC1" w:rsidP="00936CC1">
      <w:pPr>
        <w:rPr>
          <w:rFonts w:cs="Arial"/>
        </w:rPr>
      </w:pPr>
      <w:r w:rsidRPr="00A47B8E">
        <w:rPr>
          <w:rFonts w:cs="Arial"/>
          <w:b/>
        </w:rPr>
        <w:t>Maintenance period:</w:t>
      </w:r>
      <w:r w:rsidRPr="00A47B8E">
        <w:rPr>
          <w:rFonts w:cs="Arial"/>
        </w:rPr>
        <w:t xml:space="preserve"> 16 weeks (Week 9 [Day 57] to Week 24 [Day 168])</w:t>
      </w:r>
    </w:p>
    <w:p w14:paraId="53DB312E" w14:textId="1B4981AE" w:rsidR="00F15DDC" w:rsidRPr="00A47B8E" w:rsidRDefault="00936CC1" w:rsidP="00936CC1">
      <w:pPr>
        <w:rPr>
          <w:rFonts w:cs="Arial"/>
        </w:rPr>
      </w:pPr>
      <w:r w:rsidRPr="00A47B8E">
        <w:rPr>
          <w:rFonts w:cs="Arial"/>
        </w:rPr>
        <w:lastRenderedPageBreak/>
        <w:t xml:space="preserve">Treatment with </w:t>
      </w:r>
      <w:proofErr w:type="spellStart"/>
      <w:r w:rsidRPr="00A47B8E">
        <w:rPr>
          <w:rFonts w:cs="Arial"/>
        </w:rPr>
        <w:t>rivastigmine</w:t>
      </w:r>
      <w:proofErr w:type="spellEnd"/>
      <w:r w:rsidRPr="00A47B8E">
        <w:rPr>
          <w:rFonts w:cs="Arial"/>
        </w:rPr>
        <w:t xml:space="preserve"> </w:t>
      </w:r>
      <w:r w:rsidR="003F06C6" w:rsidRPr="00A47B8E">
        <w:rPr>
          <w:rFonts w:cs="Arial"/>
        </w:rPr>
        <w:t xml:space="preserve">transdermal </w:t>
      </w:r>
      <w:r w:rsidRPr="00A47B8E">
        <w:rPr>
          <w:rFonts w:cs="Arial"/>
        </w:rPr>
        <w:t>patch was continued at 18 mg/day (or at the maximum tolerable dose) to evaluate the safety and efficacy according to the study protocol. In patients who did not achieved the 18 mg/day dose in the titration period, the investigators could attempt to increase the dose to 18 mg/day if tolerability was acceptable. If the dose of 18 mg/day was not tolerable, the patient could continue the study at the maximum tolerable dose.</w:t>
      </w:r>
    </w:p>
    <w:p w14:paraId="0CCF5FA1" w14:textId="1FA8C623" w:rsidR="00A52268" w:rsidRPr="00A47B8E" w:rsidRDefault="00A52268" w:rsidP="00936CC1">
      <w:pPr>
        <w:rPr>
          <w:rFonts w:cs="Arial"/>
        </w:rPr>
      </w:pPr>
      <w:r w:rsidRPr="00A47B8E">
        <w:rPr>
          <w:rFonts w:cs="Arial"/>
        </w:rPr>
        <w:t xml:space="preserve">AD, Alzheimer’s disease; AE, adverse event; </w:t>
      </w:r>
      <w:proofErr w:type="spellStart"/>
      <w:r w:rsidRPr="00A47B8E">
        <w:rPr>
          <w:rFonts w:cs="Arial"/>
        </w:rPr>
        <w:t>ChEI</w:t>
      </w:r>
      <w:proofErr w:type="spellEnd"/>
      <w:r w:rsidRPr="00A47B8E">
        <w:rPr>
          <w:rFonts w:cs="Arial"/>
        </w:rPr>
        <w:t>, cholinesterase inhibitor; J-CGIC, Japanese Clinical Global Impression of Change; MMSE, Mini-Mental State Examination; NPI-10, Neuropsychiatric Inventory 10; QOL-AD, Quality of Life–Alzheimer’s Disease questionnaire</w:t>
      </w:r>
    </w:p>
    <w:p w14:paraId="783C2643" w14:textId="77777777" w:rsidR="00A52268" w:rsidRPr="00A47B8E" w:rsidRDefault="00A52268" w:rsidP="00936CC1">
      <w:pPr>
        <w:rPr>
          <w:rFonts w:cs="Arial"/>
        </w:rPr>
      </w:pPr>
    </w:p>
    <w:p w14:paraId="670834FE" w14:textId="26E897E2" w:rsidR="0080094E" w:rsidRPr="00A47B8E" w:rsidRDefault="0080094E" w:rsidP="00E13724">
      <w:pPr>
        <w:rPr>
          <w:rFonts w:cs="Arial"/>
          <w:b/>
        </w:rPr>
      </w:pPr>
      <w:r w:rsidRPr="00A47B8E">
        <w:rPr>
          <w:rFonts w:cs="Arial"/>
          <w:b/>
        </w:rPr>
        <w:br w:type="page"/>
      </w:r>
    </w:p>
    <w:p w14:paraId="43C562C2" w14:textId="6107100B" w:rsidR="00C955EE" w:rsidRPr="00A47B8E" w:rsidRDefault="0069127B" w:rsidP="00481DA1">
      <w:pPr>
        <w:rPr>
          <w:rFonts w:cs="Arial"/>
        </w:rPr>
      </w:pPr>
      <w:r w:rsidRPr="00A47B8E">
        <w:rPr>
          <w:rFonts w:cs="Arial"/>
          <w:b/>
        </w:rPr>
        <w:lastRenderedPageBreak/>
        <w:t>Figure S</w:t>
      </w:r>
      <w:r w:rsidR="0080094E" w:rsidRPr="00A47B8E">
        <w:rPr>
          <w:rFonts w:cs="Arial"/>
          <w:b/>
        </w:rPr>
        <w:t>2</w:t>
      </w:r>
      <w:r w:rsidRPr="00A47B8E">
        <w:rPr>
          <w:rFonts w:cs="Arial"/>
          <w:b/>
        </w:rPr>
        <w:t>.</w:t>
      </w:r>
      <w:r w:rsidRPr="00A47B8E">
        <w:rPr>
          <w:rFonts w:cs="Arial"/>
        </w:rPr>
        <w:t xml:space="preserve"> Change</w:t>
      </w:r>
      <w:r w:rsidR="00D93830" w:rsidRPr="00A47B8E">
        <w:rPr>
          <w:rFonts w:cs="Arial"/>
        </w:rPr>
        <w:t>s</w:t>
      </w:r>
      <w:r w:rsidRPr="00A47B8E">
        <w:rPr>
          <w:rFonts w:cs="Arial"/>
        </w:rPr>
        <w:t xml:space="preserve"> </w:t>
      </w:r>
      <w:r w:rsidR="00D93830" w:rsidRPr="00A47B8E">
        <w:rPr>
          <w:rFonts w:cs="Arial"/>
        </w:rPr>
        <w:t xml:space="preserve">in MMSE total scores </w:t>
      </w:r>
      <w:r w:rsidRPr="00A47B8E">
        <w:rPr>
          <w:rFonts w:cs="Arial"/>
        </w:rPr>
        <w:t xml:space="preserve">from baseline </w:t>
      </w:r>
      <w:r w:rsidR="00D93830" w:rsidRPr="00A47B8E">
        <w:rPr>
          <w:rFonts w:cs="Arial"/>
        </w:rPr>
        <w:t xml:space="preserve">(Week 0) to Weeks 8 and 24 </w:t>
      </w:r>
      <w:r w:rsidR="00C476B7" w:rsidRPr="00A47B8E">
        <w:rPr>
          <w:rFonts w:cs="Arial"/>
        </w:rPr>
        <w:t xml:space="preserve">in </w:t>
      </w:r>
      <w:r w:rsidR="006811E8" w:rsidRPr="00A47B8E">
        <w:rPr>
          <w:rFonts w:cs="Arial"/>
        </w:rPr>
        <w:t>subgroups of patients</w:t>
      </w:r>
      <w:r w:rsidR="00884A52" w:rsidRPr="00A47B8E">
        <w:rPr>
          <w:rFonts w:cs="Arial"/>
        </w:rPr>
        <w:t xml:space="preserve">. </w:t>
      </w:r>
      <w:r w:rsidR="006811E8" w:rsidRPr="00A47B8E">
        <w:rPr>
          <w:rFonts w:cs="Arial"/>
        </w:rPr>
        <w:t xml:space="preserve">(A) </w:t>
      </w:r>
      <w:r w:rsidR="00884A52" w:rsidRPr="00A47B8E">
        <w:rPr>
          <w:rFonts w:cs="Arial"/>
        </w:rPr>
        <w:t>By eligibility criteria (</w:t>
      </w:r>
      <w:proofErr w:type="gramStart"/>
      <w:r w:rsidR="00884A52" w:rsidRPr="00A47B8E">
        <w:rPr>
          <w:rFonts w:cs="Arial"/>
        </w:rPr>
        <w:t>A</w:t>
      </w:r>
      <w:proofErr w:type="gramEnd"/>
      <w:r w:rsidR="00884A52" w:rsidRPr="00A47B8E">
        <w:rPr>
          <w:rFonts w:cs="Arial"/>
        </w:rPr>
        <w:t xml:space="preserve"> only vs B only). (B) By age (≤60 vs &gt;60 years old)</w:t>
      </w:r>
      <w:r w:rsidR="00F923FC" w:rsidRPr="00A47B8E">
        <w:rPr>
          <w:rFonts w:cs="Arial"/>
        </w:rPr>
        <w:t xml:space="preserve">. </w:t>
      </w:r>
      <w:proofErr w:type="gramStart"/>
      <w:r w:rsidR="00F923FC" w:rsidRPr="00A47B8E">
        <w:rPr>
          <w:rFonts w:cs="Arial"/>
        </w:rPr>
        <w:t>(C) By use of skin moisturizer</w:t>
      </w:r>
      <w:r w:rsidR="00A631A0" w:rsidRPr="00A47B8E">
        <w:rPr>
          <w:rFonts w:cs="Arial"/>
        </w:rPr>
        <w:t xml:space="preserve"> </w:t>
      </w:r>
      <w:r w:rsidR="00F923FC" w:rsidRPr="00A47B8E">
        <w:rPr>
          <w:rFonts w:cs="Arial"/>
        </w:rPr>
        <w:t>at baseline</w:t>
      </w:r>
      <w:proofErr w:type="gramEnd"/>
      <w:r w:rsidR="00F923FC" w:rsidRPr="00A47B8E">
        <w:rPr>
          <w:rFonts w:cs="Arial"/>
        </w:rPr>
        <w:t xml:space="preserve"> (yes vs no). (D) </w:t>
      </w:r>
      <w:r w:rsidR="00E80335" w:rsidRPr="00A47B8E">
        <w:rPr>
          <w:rFonts w:cs="Arial"/>
        </w:rPr>
        <w:t xml:space="preserve">By compliance (&lt;75% vs </w:t>
      </w:r>
      <w:r w:rsidR="00D93830" w:rsidRPr="00A47B8E">
        <w:rPr>
          <w:rFonts w:cs="Arial"/>
        </w:rPr>
        <w:t>75</w:t>
      </w:r>
      <w:r w:rsidR="00E80335" w:rsidRPr="00A47B8E">
        <w:rPr>
          <w:rFonts w:cs="Arial"/>
        </w:rPr>
        <w:t>-100</w:t>
      </w:r>
      <w:r w:rsidR="00D93830" w:rsidRPr="00A47B8E">
        <w:rPr>
          <w:rFonts w:cs="Arial"/>
        </w:rPr>
        <w:t xml:space="preserve">%). </w:t>
      </w:r>
      <w:r w:rsidR="00F923FC" w:rsidRPr="00A47B8E">
        <w:rPr>
          <w:rFonts w:cs="Arial"/>
        </w:rPr>
        <w:t xml:space="preserve">For all </w:t>
      </w:r>
      <w:r w:rsidR="001801CC" w:rsidRPr="00A47B8E">
        <w:rPr>
          <w:rFonts w:cs="Arial"/>
        </w:rPr>
        <w:t xml:space="preserve">analyses, the mixed-effects model with repeated measures </w:t>
      </w:r>
      <w:proofErr w:type="gramStart"/>
      <w:r w:rsidR="001801CC" w:rsidRPr="00A47B8E">
        <w:rPr>
          <w:rFonts w:cs="Arial"/>
        </w:rPr>
        <w:t>was used</w:t>
      </w:r>
      <w:proofErr w:type="gramEnd"/>
      <w:r w:rsidR="001801CC" w:rsidRPr="00A47B8E">
        <w:rPr>
          <w:rFonts w:cs="Arial"/>
        </w:rPr>
        <w:t xml:space="preserve">. </w:t>
      </w:r>
      <w:r w:rsidR="00DA30A6" w:rsidRPr="00A47B8E">
        <w:rPr>
          <w:rFonts w:cs="Arial"/>
        </w:rPr>
        <w:t xml:space="preserve">Least-squared means of the changes </w:t>
      </w:r>
      <w:proofErr w:type="gramStart"/>
      <w:r w:rsidR="00DA30A6" w:rsidRPr="00A47B8E">
        <w:rPr>
          <w:rFonts w:cs="Arial"/>
        </w:rPr>
        <w:t>are shown</w:t>
      </w:r>
      <w:proofErr w:type="gramEnd"/>
      <w:r w:rsidR="00DA30A6" w:rsidRPr="00A47B8E">
        <w:rPr>
          <w:rFonts w:cs="Arial"/>
        </w:rPr>
        <w:t xml:space="preserve"> along with the 95% two-sided confidence interval. </w:t>
      </w:r>
      <w:r w:rsidR="002D00F2" w:rsidRPr="00A47B8E">
        <w:rPr>
          <w:rFonts w:cs="Arial"/>
        </w:rPr>
        <w:t>MMSE, Mini-Mental State Examination.</w:t>
      </w:r>
    </w:p>
    <w:p w14:paraId="55109B8B" w14:textId="66FF70A7" w:rsidR="00F77C7A" w:rsidRPr="00815EF7" w:rsidRDefault="00645307" w:rsidP="00A46DDF">
      <w:pPr>
        <w:rPr>
          <w:rFonts w:cs="Arial"/>
        </w:rPr>
      </w:pPr>
      <w:r w:rsidRPr="00A47B8E">
        <w:rPr>
          <w:rFonts w:cs="Arial"/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5A97DD5E" wp14:editId="2D027BA5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6639560" cy="4244340"/>
            <wp:effectExtent l="0" t="0" r="0" b="0"/>
            <wp:wrapSquare wrapText="bothSides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7C7A" w:rsidRPr="00815EF7" w:rsidSect="00A47B8E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45E49" w16cid:durableId="1FB907B8"/>
  <w16cid:commentId w16cid:paraId="39B36E00" w16cid:durableId="1FB90813"/>
  <w16cid:commentId w16cid:paraId="662C4856" w16cid:durableId="20028CFE"/>
  <w16cid:commentId w16cid:paraId="63E1BDA5" w16cid:durableId="20028D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2A86" w14:textId="77777777" w:rsidR="00501288" w:rsidRDefault="00501288" w:rsidP="00013A69">
      <w:pPr>
        <w:spacing w:line="240" w:lineRule="auto"/>
      </w:pPr>
      <w:r>
        <w:separator/>
      </w:r>
    </w:p>
  </w:endnote>
  <w:endnote w:type="continuationSeparator" w:id="0">
    <w:p w14:paraId="237F2376" w14:textId="77777777" w:rsidR="00501288" w:rsidRDefault="00501288" w:rsidP="0001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25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2FFF5" w14:textId="25BED2FD" w:rsidR="005E2194" w:rsidRDefault="005E21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E9083" w14:textId="3430FAD5" w:rsidR="005E2194" w:rsidRPr="00F760AC" w:rsidRDefault="005E2194" w:rsidP="00F760A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F51D" w14:textId="77777777" w:rsidR="00501288" w:rsidRDefault="00501288" w:rsidP="00013A69">
      <w:pPr>
        <w:spacing w:line="240" w:lineRule="auto"/>
      </w:pPr>
      <w:r>
        <w:separator/>
      </w:r>
    </w:p>
  </w:footnote>
  <w:footnote w:type="continuationSeparator" w:id="0">
    <w:p w14:paraId="6068443A" w14:textId="77777777" w:rsidR="00501288" w:rsidRDefault="00501288" w:rsidP="00013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B38"/>
    <w:multiLevelType w:val="hybridMultilevel"/>
    <w:tmpl w:val="29D63BBA"/>
    <w:lvl w:ilvl="0" w:tplc="C8BA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D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E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0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4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4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EB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4252D"/>
    <w:multiLevelType w:val="hybridMultilevel"/>
    <w:tmpl w:val="BE8441A0"/>
    <w:lvl w:ilvl="0" w:tplc="E34C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E9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A09C2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8D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AB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EB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04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F2959"/>
    <w:multiLevelType w:val="hybridMultilevel"/>
    <w:tmpl w:val="D326F860"/>
    <w:lvl w:ilvl="0" w:tplc="44ACD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68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0E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CA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4F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A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22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CC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82254"/>
    <w:multiLevelType w:val="multilevel"/>
    <w:tmpl w:val="984E6566"/>
    <w:numStyleLink w:val="Style1"/>
  </w:abstractNum>
  <w:abstractNum w:abstractNumId="4" w15:restartNumberingAfterBreak="0">
    <w:nsid w:val="1F5113D7"/>
    <w:multiLevelType w:val="multilevel"/>
    <w:tmpl w:val="B64E86B0"/>
    <w:styleLink w:val="Styl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20396C10"/>
    <w:multiLevelType w:val="multilevel"/>
    <w:tmpl w:val="B64E86B0"/>
    <w:numStyleLink w:val="Style2"/>
  </w:abstractNum>
  <w:abstractNum w:abstractNumId="6" w15:restartNumberingAfterBreak="0">
    <w:nsid w:val="30B3748A"/>
    <w:multiLevelType w:val="multilevel"/>
    <w:tmpl w:val="984E6566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8677618"/>
    <w:multiLevelType w:val="hybridMultilevel"/>
    <w:tmpl w:val="B2E8034C"/>
    <w:lvl w:ilvl="0" w:tplc="DFB4A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67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0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0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6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25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5B6BB7"/>
    <w:multiLevelType w:val="hybridMultilevel"/>
    <w:tmpl w:val="1B5A9F8E"/>
    <w:lvl w:ilvl="0" w:tplc="A9C6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40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03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8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A6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A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02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C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54247"/>
    <w:multiLevelType w:val="multilevel"/>
    <w:tmpl w:val="B64E86B0"/>
    <w:numStyleLink w:val="Style2"/>
  </w:abstractNum>
  <w:abstractNum w:abstractNumId="10" w15:restartNumberingAfterBreak="0">
    <w:nsid w:val="4B7C0EC5"/>
    <w:multiLevelType w:val="hybridMultilevel"/>
    <w:tmpl w:val="35C2C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70012"/>
    <w:multiLevelType w:val="hybridMultilevel"/>
    <w:tmpl w:val="C2CA6808"/>
    <w:lvl w:ilvl="0" w:tplc="5694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E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0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06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4F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8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C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A4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2C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67675"/>
    <w:multiLevelType w:val="hybridMultilevel"/>
    <w:tmpl w:val="88385884"/>
    <w:lvl w:ilvl="0" w:tplc="32F8A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6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E1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68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3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E2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0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2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C4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94EB6"/>
    <w:multiLevelType w:val="multilevel"/>
    <w:tmpl w:val="B64E86B0"/>
    <w:numStyleLink w:val="Style2"/>
  </w:abstractNum>
  <w:abstractNum w:abstractNumId="14" w15:restartNumberingAfterBreak="0">
    <w:nsid w:val="707E6051"/>
    <w:multiLevelType w:val="multilevel"/>
    <w:tmpl w:val="B64E86B0"/>
    <w:numStyleLink w:val="Style2"/>
  </w:abstractNum>
  <w:abstractNum w:abstractNumId="15" w15:restartNumberingAfterBreak="0">
    <w:nsid w:val="7276592C"/>
    <w:multiLevelType w:val="multilevel"/>
    <w:tmpl w:val="B64E86B0"/>
    <w:numStyleLink w:val="Style2"/>
  </w:abstractNum>
  <w:abstractNum w:abstractNumId="16" w15:restartNumberingAfterBreak="0">
    <w:nsid w:val="79726CEA"/>
    <w:multiLevelType w:val="multilevel"/>
    <w:tmpl w:val="B64E86B0"/>
    <w:numStyleLink w:val="Style2"/>
  </w:abstractNum>
  <w:abstractNum w:abstractNumId="17" w15:restartNumberingAfterBreak="0">
    <w:nsid w:val="7B5A7188"/>
    <w:multiLevelType w:val="multilevel"/>
    <w:tmpl w:val="B64E86B0"/>
    <w:numStyleLink w:val="Style2"/>
  </w:abstractNum>
  <w:num w:numId="1">
    <w:abstractNumId w:val="6"/>
  </w:num>
  <w:num w:numId="2">
    <w:abstractNumId w:val="6"/>
  </w:num>
  <w:num w:numId="3">
    <w:abstractNumId w:val="4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17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mentia Ger Cog Diso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trrt5audrf03eeaev5fd292vrtpzdespfs&quot;&gt;Rivastigmine 24-week study&lt;record-ids&gt;&lt;item&gt;3&lt;/item&gt;&lt;item&gt;12&lt;/item&gt;&lt;item&gt;23&lt;/item&gt;&lt;item&gt;28&lt;/item&gt;&lt;item&gt;33&lt;/item&gt;&lt;item&gt;34&lt;/item&gt;&lt;item&gt;35&lt;/item&gt;&lt;item&gt;36&lt;/item&gt;&lt;item&gt;39&lt;/item&gt;&lt;item&gt;40&lt;/item&gt;&lt;item&gt;41&lt;/item&gt;&lt;item&gt;42&lt;/item&gt;&lt;item&gt;44&lt;/item&gt;&lt;/record-ids&gt;&lt;/item&gt;&lt;/Libraries&gt;"/>
  </w:docVars>
  <w:rsids>
    <w:rsidRoot w:val="005073ED"/>
    <w:rsid w:val="00001B30"/>
    <w:rsid w:val="00002B46"/>
    <w:rsid w:val="00002D9E"/>
    <w:rsid w:val="00003431"/>
    <w:rsid w:val="0000469F"/>
    <w:rsid w:val="00005E60"/>
    <w:rsid w:val="000100A1"/>
    <w:rsid w:val="000126AC"/>
    <w:rsid w:val="00013A69"/>
    <w:rsid w:val="0001499E"/>
    <w:rsid w:val="000200FA"/>
    <w:rsid w:val="000208E0"/>
    <w:rsid w:val="00024E7F"/>
    <w:rsid w:val="00025B7B"/>
    <w:rsid w:val="00026A79"/>
    <w:rsid w:val="00036426"/>
    <w:rsid w:val="0003683F"/>
    <w:rsid w:val="00041B98"/>
    <w:rsid w:val="00042D93"/>
    <w:rsid w:val="00044E83"/>
    <w:rsid w:val="00045C37"/>
    <w:rsid w:val="000465D1"/>
    <w:rsid w:val="00050ABB"/>
    <w:rsid w:val="0005186F"/>
    <w:rsid w:val="000527A6"/>
    <w:rsid w:val="000552C8"/>
    <w:rsid w:val="00055600"/>
    <w:rsid w:val="000557BE"/>
    <w:rsid w:val="0005743C"/>
    <w:rsid w:val="00057C58"/>
    <w:rsid w:val="00062C0F"/>
    <w:rsid w:val="000664FB"/>
    <w:rsid w:val="0007069C"/>
    <w:rsid w:val="000714C2"/>
    <w:rsid w:val="0007189E"/>
    <w:rsid w:val="00072360"/>
    <w:rsid w:val="000751E1"/>
    <w:rsid w:val="00076DC1"/>
    <w:rsid w:val="0008159D"/>
    <w:rsid w:val="00082A83"/>
    <w:rsid w:val="00084C8E"/>
    <w:rsid w:val="00085912"/>
    <w:rsid w:val="000915CF"/>
    <w:rsid w:val="00092506"/>
    <w:rsid w:val="000938A6"/>
    <w:rsid w:val="000939E8"/>
    <w:rsid w:val="00093FDF"/>
    <w:rsid w:val="000A0616"/>
    <w:rsid w:val="000A3C45"/>
    <w:rsid w:val="000A70F4"/>
    <w:rsid w:val="000B0D25"/>
    <w:rsid w:val="000B21B5"/>
    <w:rsid w:val="000B4B86"/>
    <w:rsid w:val="000B4DED"/>
    <w:rsid w:val="000C49AD"/>
    <w:rsid w:val="000C6BB8"/>
    <w:rsid w:val="000C730D"/>
    <w:rsid w:val="000D1B43"/>
    <w:rsid w:val="000D3703"/>
    <w:rsid w:val="000D5B37"/>
    <w:rsid w:val="000D61EA"/>
    <w:rsid w:val="000E50E7"/>
    <w:rsid w:val="000E785F"/>
    <w:rsid w:val="000F033F"/>
    <w:rsid w:val="000F046F"/>
    <w:rsid w:val="000F1BDF"/>
    <w:rsid w:val="000F4777"/>
    <w:rsid w:val="000F494E"/>
    <w:rsid w:val="000F4F7A"/>
    <w:rsid w:val="000F73CD"/>
    <w:rsid w:val="00102D09"/>
    <w:rsid w:val="001031E3"/>
    <w:rsid w:val="00105B3D"/>
    <w:rsid w:val="00110415"/>
    <w:rsid w:val="00117F27"/>
    <w:rsid w:val="001204CF"/>
    <w:rsid w:val="00120971"/>
    <w:rsid w:val="00121568"/>
    <w:rsid w:val="001272F8"/>
    <w:rsid w:val="001361A6"/>
    <w:rsid w:val="001414D4"/>
    <w:rsid w:val="00143540"/>
    <w:rsid w:val="00143803"/>
    <w:rsid w:val="00145696"/>
    <w:rsid w:val="0015067C"/>
    <w:rsid w:val="00151B6A"/>
    <w:rsid w:val="00151D63"/>
    <w:rsid w:val="001530DB"/>
    <w:rsid w:val="001533EA"/>
    <w:rsid w:val="00162728"/>
    <w:rsid w:val="00163C3B"/>
    <w:rsid w:val="00164D8B"/>
    <w:rsid w:val="0016650C"/>
    <w:rsid w:val="0016662E"/>
    <w:rsid w:val="00172CC7"/>
    <w:rsid w:val="001741E4"/>
    <w:rsid w:val="0017534E"/>
    <w:rsid w:val="0017582A"/>
    <w:rsid w:val="001764E1"/>
    <w:rsid w:val="001767B1"/>
    <w:rsid w:val="001801CC"/>
    <w:rsid w:val="001812BF"/>
    <w:rsid w:val="00181E9A"/>
    <w:rsid w:val="00182ACA"/>
    <w:rsid w:val="00184F80"/>
    <w:rsid w:val="00185CFF"/>
    <w:rsid w:val="001868DD"/>
    <w:rsid w:val="00194A59"/>
    <w:rsid w:val="001950A0"/>
    <w:rsid w:val="00195C75"/>
    <w:rsid w:val="001A3843"/>
    <w:rsid w:val="001A3DD2"/>
    <w:rsid w:val="001A4A7A"/>
    <w:rsid w:val="001B22C6"/>
    <w:rsid w:val="001B3EDF"/>
    <w:rsid w:val="001B53D3"/>
    <w:rsid w:val="001B5C0A"/>
    <w:rsid w:val="001B7E19"/>
    <w:rsid w:val="001C1837"/>
    <w:rsid w:val="001C34AB"/>
    <w:rsid w:val="001C3ACC"/>
    <w:rsid w:val="001D2539"/>
    <w:rsid w:val="001D39A7"/>
    <w:rsid w:val="001D4D6E"/>
    <w:rsid w:val="001D60FA"/>
    <w:rsid w:val="001D7727"/>
    <w:rsid w:val="001E1C41"/>
    <w:rsid w:val="001E3606"/>
    <w:rsid w:val="001E4B00"/>
    <w:rsid w:val="00213777"/>
    <w:rsid w:val="002148A8"/>
    <w:rsid w:val="00214F8B"/>
    <w:rsid w:val="002172DF"/>
    <w:rsid w:val="002244DE"/>
    <w:rsid w:val="00227DC0"/>
    <w:rsid w:val="00231348"/>
    <w:rsid w:val="00231BF8"/>
    <w:rsid w:val="002354C0"/>
    <w:rsid w:val="00236054"/>
    <w:rsid w:val="002414C8"/>
    <w:rsid w:val="00242012"/>
    <w:rsid w:val="00244FCE"/>
    <w:rsid w:val="00245A48"/>
    <w:rsid w:val="00246E05"/>
    <w:rsid w:val="00247389"/>
    <w:rsid w:val="002474F9"/>
    <w:rsid w:val="00254F70"/>
    <w:rsid w:val="0025538C"/>
    <w:rsid w:val="00255F02"/>
    <w:rsid w:val="0025695D"/>
    <w:rsid w:val="002627BE"/>
    <w:rsid w:val="00264ADE"/>
    <w:rsid w:val="00274F75"/>
    <w:rsid w:val="00275E46"/>
    <w:rsid w:val="00275FB4"/>
    <w:rsid w:val="00283032"/>
    <w:rsid w:val="00284110"/>
    <w:rsid w:val="002853E4"/>
    <w:rsid w:val="00286BD6"/>
    <w:rsid w:val="00287D6F"/>
    <w:rsid w:val="00290328"/>
    <w:rsid w:val="002910F8"/>
    <w:rsid w:val="002928D4"/>
    <w:rsid w:val="00293635"/>
    <w:rsid w:val="00294632"/>
    <w:rsid w:val="002974F5"/>
    <w:rsid w:val="002A14AF"/>
    <w:rsid w:val="002A1E70"/>
    <w:rsid w:val="002A347C"/>
    <w:rsid w:val="002A38C8"/>
    <w:rsid w:val="002A43B0"/>
    <w:rsid w:val="002A443C"/>
    <w:rsid w:val="002B1EE5"/>
    <w:rsid w:val="002B2B02"/>
    <w:rsid w:val="002B2B21"/>
    <w:rsid w:val="002B2B33"/>
    <w:rsid w:val="002B3DE1"/>
    <w:rsid w:val="002B5F51"/>
    <w:rsid w:val="002B6C42"/>
    <w:rsid w:val="002C1E35"/>
    <w:rsid w:val="002C30FD"/>
    <w:rsid w:val="002C5217"/>
    <w:rsid w:val="002D00F2"/>
    <w:rsid w:val="002D0260"/>
    <w:rsid w:val="002D2560"/>
    <w:rsid w:val="002E1D7A"/>
    <w:rsid w:val="002E32BA"/>
    <w:rsid w:val="002E7F4B"/>
    <w:rsid w:val="002E7F70"/>
    <w:rsid w:val="002F04FA"/>
    <w:rsid w:val="002F0805"/>
    <w:rsid w:val="002F3C4E"/>
    <w:rsid w:val="002F6B72"/>
    <w:rsid w:val="003001B4"/>
    <w:rsid w:val="00302811"/>
    <w:rsid w:val="003036F1"/>
    <w:rsid w:val="00305A85"/>
    <w:rsid w:val="003103F0"/>
    <w:rsid w:val="00310B6D"/>
    <w:rsid w:val="00311567"/>
    <w:rsid w:val="00313A64"/>
    <w:rsid w:val="0031595A"/>
    <w:rsid w:val="0031649A"/>
    <w:rsid w:val="00316A05"/>
    <w:rsid w:val="00317627"/>
    <w:rsid w:val="00320DDC"/>
    <w:rsid w:val="0032484C"/>
    <w:rsid w:val="00324E41"/>
    <w:rsid w:val="00327FDE"/>
    <w:rsid w:val="00331CC3"/>
    <w:rsid w:val="003379FA"/>
    <w:rsid w:val="0034101C"/>
    <w:rsid w:val="00342424"/>
    <w:rsid w:val="00342BE6"/>
    <w:rsid w:val="0034780C"/>
    <w:rsid w:val="0035040D"/>
    <w:rsid w:val="0035051A"/>
    <w:rsid w:val="00351E2C"/>
    <w:rsid w:val="003535D9"/>
    <w:rsid w:val="00360283"/>
    <w:rsid w:val="00360E57"/>
    <w:rsid w:val="003630CD"/>
    <w:rsid w:val="003654B0"/>
    <w:rsid w:val="00370EA1"/>
    <w:rsid w:val="003735E2"/>
    <w:rsid w:val="0037412C"/>
    <w:rsid w:val="0037524E"/>
    <w:rsid w:val="0037542B"/>
    <w:rsid w:val="00375561"/>
    <w:rsid w:val="00375F79"/>
    <w:rsid w:val="00380FB1"/>
    <w:rsid w:val="00381558"/>
    <w:rsid w:val="003816CE"/>
    <w:rsid w:val="00381E5C"/>
    <w:rsid w:val="00384310"/>
    <w:rsid w:val="003845B7"/>
    <w:rsid w:val="00390FC1"/>
    <w:rsid w:val="003910C5"/>
    <w:rsid w:val="00391721"/>
    <w:rsid w:val="0039369B"/>
    <w:rsid w:val="00394AAC"/>
    <w:rsid w:val="003962BE"/>
    <w:rsid w:val="00397864"/>
    <w:rsid w:val="003979F1"/>
    <w:rsid w:val="003A0232"/>
    <w:rsid w:val="003A0EC2"/>
    <w:rsid w:val="003A2691"/>
    <w:rsid w:val="003A48EF"/>
    <w:rsid w:val="003A552B"/>
    <w:rsid w:val="003B051F"/>
    <w:rsid w:val="003B10AC"/>
    <w:rsid w:val="003B41EB"/>
    <w:rsid w:val="003B590A"/>
    <w:rsid w:val="003B60DC"/>
    <w:rsid w:val="003B717D"/>
    <w:rsid w:val="003C1CE3"/>
    <w:rsid w:val="003C21C8"/>
    <w:rsid w:val="003C310C"/>
    <w:rsid w:val="003C5BF6"/>
    <w:rsid w:val="003C625C"/>
    <w:rsid w:val="003D01C7"/>
    <w:rsid w:val="003D0BE1"/>
    <w:rsid w:val="003D2347"/>
    <w:rsid w:val="003D2B58"/>
    <w:rsid w:val="003D2F7B"/>
    <w:rsid w:val="003D572B"/>
    <w:rsid w:val="003E39FC"/>
    <w:rsid w:val="003E4AAD"/>
    <w:rsid w:val="003F06C6"/>
    <w:rsid w:val="003F553B"/>
    <w:rsid w:val="003F74A7"/>
    <w:rsid w:val="003F7B3E"/>
    <w:rsid w:val="004027C0"/>
    <w:rsid w:val="0040454F"/>
    <w:rsid w:val="00404E42"/>
    <w:rsid w:val="0040558E"/>
    <w:rsid w:val="004141D3"/>
    <w:rsid w:val="0041554B"/>
    <w:rsid w:val="00416415"/>
    <w:rsid w:val="00416A8A"/>
    <w:rsid w:val="0042246C"/>
    <w:rsid w:val="00425BCA"/>
    <w:rsid w:val="00426E96"/>
    <w:rsid w:val="00432397"/>
    <w:rsid w:val="00433805"/>
    <w:rsid w:val="00440A15"/>
    <w:rsid w:val="00441741"/>
    <w:rsid w:val="004435F0"/>
    <w:rsid w:val="00443A9E"/>
    <w:rsid w:val="00445251"/>
    <w:rsid w:val="00447606"/>
    <w:rsid w:val="00447E1D"/>
    <w:rsid w:val="00450C46"/>
    <w:rsid w:val="00452504"/>
    <w:rsid w:val="00454404"/>
    <w:rsid w:val="00454428"/>
    <w:rsid w:val="004566F0"/>
    <w:rsid w:val="00457B23"/>
    <w:rsid w:val="0046044B"/>
    <w:rsid w:val="00461CE4"/>
    <w:rsid w:val="00461D2A"/>
    <w:rsid w:val="004624C4"/>
    <w:rsid w:val="00470580"/>
    <w:rsid w:val="00471B62"/>
    <w:rsid w:val="00474F88"/>
    <w:rsid w:val="004757EE"/>
    <w:rsid w:val="00477C16"/>
    <w:rsid w:val="00480BDD"/>
    <w:rsid w:val="00481DA1"/>
    <w:rsid w:val="00482B6D"/>
    <w:rsid w:val="004845F3"/>
    <w:rsid w:val="0049036F"/>
    <w:rsid w:val="00491EF6"/>
    <w:rsid w:val="004948EA"/>
    <w:rsid w:val="0049576C"/>
    <w:rsid w:val="00495E7F"/>
    <w:rsid w:val="004A0494"/>
    <w:rsid w:val="004A20A0"/>
    <w:rsid w:val="004A2C53"/>
    <w:rsid w:val="004A3CAE"/>
    <w:rsid w:val="004A443D"/>
    <w:rsid w:val="004A673E"/>
    <w:rsid w:val="004B1921"/>
    <w:rsid w:val="004B2C8E"/>
    <w:rsid w:val="004B63D8"/>
    <w:rsid w:val="004B77DB"/>
    <w:rsid w:val="004C28C1"/>
    <w:rsid w:val="004C4346"/>
    <w:rsid w:val="004C68ED"/>
    <w:rsid w:val="004C6D58"/>
    <w:rsid w:val="004D5A4E"/>
    <w:rsid w:val="004D768E"/>
    <w:rsid w:val="004D7F3E"/>
    <w:rsid w:val="004E0E7D"/>
    <w:rsid w:val="004E2061"/>
    <w:rsid w:val="004E22D9"/>
    <w:rsid w:val="004E2896"/>
    <w:rsid w:val="004E3FD3"/>
    <w:rsid w:val="004E473D"/>
    <w:rsid w:val="004E7C1F"/>
    <w:rsid w:val="004F0B75"/>
    <w:rsid w:val="004F12D9"/>
    <w:rsid w:val="004F1B85"/>
    <w:rsid w:val="004F4758"/>
    <w:rsid w:val="004F5055"/>
    <w:rsid w:val="004F7FEC"/>
    <w:rsid w:val="00501288"/>
    <w:rsid w:val="00503B6A"/>
    <w:rsid w:val="0050448D"/>
    <w:rsid w:val="00504760"/>
    <w:rsid w:val="005061F4"/>
    <w:rsid w:val="005063A2"/>
    <w:rsid w:val="005073ED"/>
    <w:rsid w:val="00512D8A"/>
    <w:rsid w:val="00515A32"/>
    <w:rsid w:val="00517F2F"/>
    <w:rsid w:val="00521E4A"/>
    <w:rsid w:val="00524698"/>
    <w:rsid w:val="00524F6A"/>
    <w:rsid w:val="00525F76"/>
    <w:rsid w:val="00526929"/>
    <w:rsid w:val="00530B40"/>
    <w:rsid w:val="005310C1"/>
    <w:rsid w:val="0053434B"/>
    <w:rsid w:val="00541F4A"/>
    <w:rsid w:val="005445E7"/>
    <w:rsid w:val="00546549"/>
    <w:rsid w:val="005468C0"/>
    <w:rsid w:val="00546CCB"/>
    <w:rsid w:val="00547006"/>
    <w:rsid w:val="005505A1"/>
    <w:rsid w:val="0055342E"/>
    <w:rsid w:val="00555552"/>
    <w:rsid w:val="00560643"/>
    <w:rsid w:val="0056298B"/>
    <w:rsid w:val="005652B2"/>
    <w:rsid w:val="00565DD2"/>
    <w:rsid w:val="00567DF9"/>
    <w:rsid w:val="005717D1"/>
    <w:rsid w:val="00574B60"/>
    <w:rsid w:val="00576272"/>
    <w:rsid w:val="00577061"/>
    <w:rsid w:val="00577C5D"/>
    <w:rsid w:val="00581653"/>
    <w:rsid w:val="00584906"/>
    <w:rsid w:val="005861C2"/>
    <w:rsid w:val="005864E2"/>
    <w:rsid w:val="00586CEC"/>
    <w:rsid w:val="00587643"/>
    <w:rsid w:val="0059565A"/>
    <w:rsid w:val="00595F21"/>
    <w:rsid w:val="005A01E3"/>
    <w:rsid w:val="005A0D79"/>
    <w:rsid w:val="005A30C9"/>
    <w:rsid w:val="005A3FAF"/>
    <w:rsid w:val="005B1276"/>
    <w:rsid w:val="005B144E"/>
    <w:rsid w:val="005C3A02"/>
    <w:rsid w:val="005C4332"/>
    <w:rsid w:val="005D31FE"/>
    <w:rsid w:val="005D7442"/>
    <w:rsid w:val="005D7C8D"/>
    <w:rsid w:val="005D7E0D"/>
    <w:rsid w:val="005D7F4D"/>
    <w:rsid w:val="005E087C"/>
    <w:rsid w:val="005E2194"/>
    <w:rsid w:val="005E34A4"/>
    <w:rsid w:val="005E363E"/>
    <w:rsid w:val="005E7E7C"/>
    <w:rsid w:val="005E7FB9"/>
    <w:rsid w:val="005F0FDC"/>
    <w:rsid w:val="005F3B78"/>
    <w:rsid w:val="005F3EAD"/>
    <w:rsid w:val="0060022F"/>
    <w:rsid w:val="006006C0"/>
    <w:rsid w:val="00601950"/>
    <w:rsid w:val="00605D07"/>
    <w:rsid w:val="006107CD"/>
    <w:rsid w:val="00615FA4"/>
    <w:rsid w:val="0062197F"/>
    <w:rsid w:val="00623A17"/>
    <w:rsid w:val="00627DDC"/>
    <w:rsid w:val="0063113D"/>
    <w:rsid w:val="00631BAA"/>
    <w:rsid w:val="00632527"/>
    <w:rsid w:val="00636D05"/>
    <w:rsid w:val="00637BDD"/>
    <w:rsid w:val="00641D06"/>
    <w:rsid w:val="00642128"/>
    <w:rsid w:val="00645307"/>
    <w:rsid w:val="00647C74"/>
    <w:rsid w:val="00650DD3"/>
    <w:rsid w:val="00650E5E"/>
    <w:rsid w:val="006514E0"/>
    <w:rsid w:val="00656BE2"/>
    <w:rsid w:val="006613CB"/>
    <w:rsid w:val="00661D3B"/>
    <w:rsid w:val="00662D2C"/>
    <w:rsid w:val="00662D56"/>
    <w:rsid w:val="00665121"/>
    <w:rsid w:val="00665143"/>
    <w:rsid w:val="00666F37"/>
    <w:rsid w:val="00671B8B"/>
    <w:rsid w:val="006730FF"/>
    <w:rsid w:val="00673CD1"/>
    <w:rsid w:val="006742DC"/>
    <w:rsid w:val="00674EEE"/>
    <w:rsid w:val="00675FEC"/>
    <w:rsid w:val="00680904"/>
    <w:rsid w:val="00680F38"/>
    <w:rsid w:val="006810BC"/>
    <w:rsid w:val="006811E8"/>
    <w:rsid w:val="006811F6"/>
    <w:rsid w:val="006817DD"/>
    <w:rsid w:val="00682729"/>
    <w:rsid w:val="006844DE"/>
    <w:rsid w:val="0068539A"/>
    <w:rsid w:val="0069127B"/>
    <w:rsid w:val="006938E3"/>
    <w:rsid w:val="00693AF9"/>
    <w:rsid w:val="00695D0D"/>
    <w:rsid w:val="00695F68"/>
    <w:rsid w:val="0069743E"/>
    <w:rsid w:val="006A1180"/>
    <w:rsid w:val="006A7BFF"/>
    <w:rsid w:val="006B1D3B"/>
    <w:rsid w:val="006B3452"/>
    <w:rsid w:val="006B784C"/>
    <w:rsid w:val="006C1EE2"/>
    <w:rsid w:val="006C2977"/>
    <w:rsid w:val="006C2B6E"/>
    <w:rsid w:val="006C346C"/>
    <w:rsid w:val="006C368F"/>
    <w:rsid w:val="006C5C34"/>
    <w:rsid w:val="006C7911"/>
    <w:rsid w:val="006D1D91"/>
    <w:rsid w:val="006D3861"/>
    <w:rsid w:val="006D3EBE"/>
    <w:rsid w:val="006D6DBD"/>
    <w:rsid w:val="006E03AA"/>
    <w:rsid w:val="006E1D48"/>
    <w:rsid w:val="006E3BE1"/>
    <w:rsid w:val="006E5F1A"/>
    <w:rsid w:val="006E7FEC"/>
    <w:rsid w:val="006F11E7"/>
    <w:rsid w:val="006F1DD0"/>
    <w:rsid w:val="006F2658"/>
    <w:rsid w:val="006F28F7"/>
    <w:rsid w:val="006F361C"/>
    <w:rsid w:val="006F37C0"/>
    <w:rsid w:val="006F44C8"/>
    <w:rsid w:val="006F7C51"/>
    <w:rsid w:val="0070099F"/>
    <w:rsid w:val="00703019"/>
    <w:rsid w:val="00706472"/>
    <w:rsid w:val="00710A7B"/>
    <w:rsid w:val="00710F92"/>
    <w:rsid w:val="00711801"/>
    <w:rsid w:val="00711DED"/>
    <w:rsid w:val="00722A7E"/>
    <w:rsid w:val="007237D6"/>
    <w:rsid w:val="007240C2"/>
    <w:rsid w:val="0073587E"/>
    <w:rsid w:val="007374F1"/>
    <w:rsid w:val="007375BC"/>
    <w:rsid w:val="007419EA"/>
    <w:rsid w:val="00742BD4"/>
    <w:rsid w:val="00746AC2"/>
    <w:rsid w:val="00747784"/>
    <w:rsid w:val="007532CA"/>
    <w:rsid w:val="007558A9"/>
    <w:rsid w:val="00755E93"/>
    <w:rsid w:val="0076274B"/>
    <w:rsid w:val="00763005"/>
    <w:rsid w:val="00763962"/>
    <w:rsid w:val="00763A3A"/>
    <w:rsid w:val="0076414C"/>
    <w:rsid w:val="00765944"/>
    <w:rsid w:val="00766F0A"/>
    <w:rsid w:val="0077065D"/>
    <w:rsid w:val="007712A7"/>
    <w:rsid w:val="00776194"/>
    <w:rsid w:val="00776D57"/>
    <w:rsid w:val="00785AA3"/>
    <w:rsid w:val="007878D7"/>
    <w:rsid w:val="00792C75"/>
    <w:rsid w:val="00792EA8"/>
    <w:rsid w:val="007933A0"/>
    <w:rsid w:val="00794625"/>
    <w:rsid w:val="0079558B"/>
    <w:rsid w:val="00796CB6"/>
    <w:rsid w:val="007979A0"/>
    <w:rsid w:val="007A01BA"/>
    <w:rsid w:val="007A1272"/>
    <w:rsid w:val="007A1ADE"/>
    <w:rsid w:val="007A37C7"/>
    <w:rsid w:val="007A3CC6"/>
    <w:rsid w:val="007A456B"/>
    <w:rsid w:val="007A4724"/>
    <w:rsid w:val="007A688C"/>
    <w:rsid w:val="007A7550"/>
    <w:rsid w:val="007B22DA"/>
    <w:rsid w:val="007B4616"/>
    <w:rsid w:val="007C34C0"/>
    <w:rsid w:val="007C3C3B"/>
    <w:rsid w:val="007C66CD"/>
    <w:rsid w:val="007D2932"/>
    <w:rsid w:val="007D2CD3"/>
    <w:rsid w:val="007D5415"/>
    <w:rsid w:val="007E033F"/>
    <w:rsid w:val="007E05C3"/>
    <w:rsid w:val="007E061F"/>
    <w:rsid w:val="007E1CB3"/>
    <w:rsid w:val="007E517F"/>
    <w:rsid w:val="007E54A9"/>
    <w:rsid w:val="007E55E4"/>
    <w:rsid w:val="007E62BE"/>
    <w:rsid w:val="007E67C6"/>
    <w:rsid w:val="007E7F17"/>
    <w:rsid w:val="007F3414"/>
    <w:rsid w:val="007F382D"/>
    <w:rsid w:val="007F4E98"/>
    <w:rsid w:val="007F7A6D"/>
    <w:rsid w:val="0080041D"/>
    <w:rsid w:val="0080094E"/>
    <w:rsid w:val="00803FEE"/>
    <w:rsid w:val="00805959"/>
    <w:rsid w:val="0080711E"/>
    <w:rsid w:val="00811863"/>
    <w:rsid w:val="00812618"/>
    <w:rsid w:val="00815EF7"/>
    <w:rsid w:val="00820E34"/>
    <w:rsid w:val="00822E45"/>
    <w:rsid w:val="0083035F"/>
    <w:rsid w:val="00831444"/>
    <w:rsid w:val="0083208D"/>
    <w:rsid w:val="008330C3"/>
    <w:rsid w:val="008330E3"/>
    <w:rsid w:val="0083743D"/>
    <w:rsid w:val="00837D2F"/>
    <w:rsid w:val="008415AC"/>
    <w:rsid w:val="00841D9D"/>
    <w:rsid w:val="00841DA6"/>
    <w:rsid w:val="0084364B"/>
    <w:rsid w:val="008448CB"/>
    <w:rsid w:val="008449BE"/>
    <w:rsid w:val="00844C44"/>
    <w:rsid w:val="00846D9C"/>
    <w:rsid w:val="0084733F"/>
    <w:rsid w:val="008509EE"/>
    <w:rsid w:val="0085109A"/>
    <w:rsid w:val="00852BC4"/>
    <w:rsid w:val="00853C88"/>
    <w:rsid w:val="00855300"/>
    <w:rsid w:val="00861C3D"/>
    <w:rsid w:val="00863E76"/>
    <w:rsid w:val="008673C1"/>
    <w:rsid w:val="00870D2E"/>
    <w:rsid w:val="00871AB8"/>
    <w:rsid w:val="0087443B"/>
    <w:rsid w:val="00880D18"/>
    <w:rsid w:val="008826F5"/>
    <w:rsid w:val="0088282A"/>
    <w:rsid w:val="00882EA2"/>
    <w:rsid w:val="00884A52"/>
    <w:rsid w:val="008854B3"/>
    <w:rsid w:val="00886D9D"/>
    <w:rsid w:val="00887296"/>
    <w:rsid w:val="00887F14"/>
    <w:rsid w:val="0089206B"/>
    <w:rsid w:val="0089367C"/>
    <w:rsid w:val="00893A86"/>
    <w:rsid w:val="0089662B"/>
    <w:rsid w:val="008A08A6"/>
    <w:rsid w:val="008A4DBE"/>
    <w:rsid w:val="008A592D"/>
    <w:rsid w:val="008B14C3"/>
    <w:rsid w:val="008B16B9"/>
    <w:rsid w:val="008B184A"/>
    <w:rsid w:val="008B1D67"/>
    <w:rsid w:val="008B72DD"/>
    <w:rsid w:val="008B7476"/>
    <w:rsid w:val="008C3A42"/>
    <w:rsid w:val="008C4AE1"/>
    <w:rsid w:val="008D0C6F"/>
    <w:rsid w:val="008D2FE5"/>
    <w:rsid w:val="008D52F7"/>
    <w:rsid w:val="008D6137"/>
    <w:rsid w:val="008E059B"/>
    <w:rsid w:val="008E0610"/>
    <w:rsid w:val="008E55B8"/>
    <w:rsid w:val="008E788D"/>
    <w:rsid w:val="008E7FEE"/>
    <w:rsid w:val="008F0B8D"/>
    <w:rsid w:val="008F7752"/>
    <w:rsid w:val="00900E13"/>
    <w:rsid w:val="00902C9B"/>
    <w:rsid w:val="009066A3"/>
    <w:rsid w:val="00907DAB"/>
    <w:rsid w:val="0091172D"/>
    <w:rsid w:val="0091184C"/>
    <w:rsid w:val="009154F5"/>
    <w:rsid w:val="00915A15"/>
    <w:rsid w:val="00924299"/>
    <w:rsid w:val="00925E4F"/>
    <w:rsid w:val="0092706A"/>
    <w:rsid w:val="00927231"/>
    <w:rsid w:val="00930282"/>
    <w:rsid w:val="009312AF"/>
    <w:rsid w:val="00931FDC"/>
    <w:rsid w:val="00934886"/>
    <w:rsid w:val="00934DC1"/>
    <w:rsid w:val="00934E52"/>
    <w:rsid w:val="00934F79"/>
    <w:rsid w:val="00935FF2"/>
    <w:rsid w:val="00936CC1"/>
    <w:rsid w:val="00937428"/>
    <w:rsid w:val="00937A9F"/>
    <w:rsid w:val="00937D0D"/>
    <w:rsid w:val="009401BB"/>
    <w:rsid w:val="00943FE9"/>
    <w:rsid w:val="009516CB"/>
    <w:rsid w:val="00953107"/>
    <w:rsid w:val="00954CD5"/>
    <w:rsid w:val="00962340"/>
    <w:rsid w:val="0096523B"/>
    <w:rsid w:val="009658E3"/>
    <w:rsid w:val="00967E5A"/>
    <w:rsid w:val="00977722"/>
    <w:rsid w:val="00985B8F"/>
    <w:rsid w:val="00986E04"/>
    <w:rsid w:val="009931EA"/>
    <w:rsid w:val="00997B11"/>
    <w:rsid w:val="00997B77"/>
    <w:rsid w:val="009A1633"/>
    <w:rsid w:val="009C1C43"/>
    <w:rsid w:val="009C3B97"/>
    <w:rsid w:val="009C4C51"/>
    <w:rsid w:val="009C6310"/>
    <w:rsid w:val="009C647C"/>
    <w:rsid w:val="009D0C0D"/>
    <w:rsid w:val="009D106B"/>
    <w:rsid w:val="009D1749"/>
    <w:rsid w:val="009D6266"/>
    <w:rsid w:val="009D766B"/>
    <w:rsid w:val="009E0A28"/>
    <w:rsid w:val="009E5D26"/>
    <w:rsid w:val="00A0161B"/>
    <w:rsid w:val="00A01C4D"/>
    <w:rsid w:val="00A038CB"/>
    <w:rsid w:val="00A04DCB"/>
    <w:rsid w:val="00A05068"/>
    <w:rsid w:val="00A0651A"/>
    <w:rsid w:val="00A1350A"/>
    <w:rsid w:val="00A14076"/>
    <w:rsid w:val="00A144B6"/>
    <w:rsid w:val="00A14B64"/>
    <w:rsid w:val="00A14D7E"/>
    <w:rsid w:val="00A1593D"/>
    <w:rsid w:val="00A176DA"/>
    <w:rsid w:val="00A20A60"/>
    <w:rsid w:val="00A22B5C"/>
    <w:rsid w:val="00A250E3"/>
    <w:rsid w:val="00A325B1"/>
    <w:rsid w:val="00A3355E"/>
    <w:rsid w:val="00A340F1"/>
    <w:rsid w:val="00A35F2F"/>
    <w:rsid w:val="00A36156"/>
    <w:rsid w:val="00A3641D"/>
    <w:rsid w:val="00A369B6"/>
    <w:rsid w:val="00A423E1"/>
    <w:rsid w:val="00A45A92"/>
    <w:rsid w:val="00A45D58"/>
    <w:rsid w:val="00A46B27"/>
    <w:rsid w:val="00A46DDF"/>
    <w:rsid w:val="00A46F75"/>
    <w:rsid w:val="00A4770D"/>
    <w:rsid w:val="00A47B8E"/>
    <w:rsid w:val="00A51048"/>
    <w:rsid w:val="00A52268"/>
    <w:rsid w:val="00A52B41"/>
    <w:rsid w:val="00A544CE"/>
    <w:rsid w:val="00A567D5"/>
    <w:rsid w:val="00A60AC2"/>
    <w:rsid w:val="00A61AE0"/>
    <w:rsid w:val="00A631A0"/>
    <w:rsid w:val="00A639A5"/>
    <w:rsid w:val="00A64379"/>
    <w:rsid w:val="00A64F13"/>
    <w:rsid w:val="00A65083"/>
    <w:rsid w:val="00A66FDE"/>
    <w:rsid w:val="00A70258"/>
    <w:rsid w:val="00A71194"/>
    <w:rsid w:val="00A736EB"/>
    <w:rsid w:val="00A73D15"/>
    <w:rsid w:val="00A77081"/>
    <w:rsid w:val="00A80174"/>
    <w:rsid w:val="00A818AA"/>
    <w:rsid w:val="00A85127"/>
    <w:rsid w:val="00A85EA6"/>
    <w:rsid w:val="00A86D78"/>
    <w:rsid w:val="00A87B30"/>
    <w:rsid w:val="00A90BAE"/>
    <w:rsid w:val="00A94850"/>
    <w:rsid w:val="00A95174"/>
    <w:rsid w:val="00A9566A"/>
    <w:rsid w:val="00A96E6C"/>
    <w:rsid w:val="00AA0CC3"/>
    <w:rsid w:val="00AA441D"/>
    <w:rsid w:val="00AA5028"/>
    <w:rsid w:val="00AA5752"/>
    <w:rsid w:val="00AA670F"/>
    <w:rsid w:val="00AA6A74"/>
    <w:rsid w:val="00AB0B1D"/>
    <w:rsid w:val="00AB11FE"/>
    <w:rsid w:val="00AB159E"/>
    <w:rsid w:val="00AB6149"/>
    <w:rsid w:val="00AC08B5"/>
    <w:rsid w:val="00AC6A41"/>
    <w:rsid w:val="00AD19BD"/>
    <w:rsid w:val="00AD59D9"/>
    <w:rsid w:val="00AE13D9"/>
    <w:rsid w:val="00AE3897"/>
    <w:rsid w:val="00AE604E"/>
    <w:rsid w:val="00AF07BC"/>
    <w:rsid w:val="00AF365D"/>
    <w:rsid w:val="00B00011"/>
    <w:rsid w:val="00B00425"/>
    <w:rsid w:val="00B0048F"/>
    <w:rsid w:val="00B0319C"/>
    <w:rsid w:val="00B04AA8"/>
    <w:rsid w:val="00B05381"/>
    <w:rsid w:val="00B179F0"/>
    <w:rsid w:val="00B31348"/>
    <w:rsid w:val="00B34D1A"/>
    <w:rsid w:val="00B35CE0"/>
    <w:rsid w:val="00B3667A"/>
    <w:rsid w:val="00B3774E"/>
    <w:rsid w:val="00B42B61"/>
    <w:rsid w:val="00B43243"/>
    <w:rsid w:val="00B45EEB"/>
    <w:rsid w:val="00B52B0E"/>
    <w:rsid w:val="00B534BD"/>
    <w:rsid w:val="00B54CAE"/>
    <w:rsid w:val="00B64C68"/>
    <w:rsid w:val="00B66BCB"/>
    <w:rsid w:val="00B67179"/>
    <w:rsid w:val="00B71368"/>
    <w:rsid w:val="00B80158"/>
    <w:rsid w:val="00B814DD"/>
    <w:rsid w:val="00B82427"/>
    <w:rsid w:val="00B83120"/>
    <w:rsid w:val="00B83DF9"/>
    <w:rsid w:val="00B849B1"/>
    <w:rsid w:val="00B868DF"/>
    <w:rsid w:val="00B90F7A"/>
    <w:rsid w:val="00B91002"/>
    <w:rsid w:val="00B950CE"/>
    <w:rsid w:val="00BA09A7"/>
    <w:rsid w:val="00BA18AA"/>
    <w:rsid w:val="00BA2144"/>
    <w:rsid w:val="00BA4B4A"/>
    <w:rsid w:val="00BA7C90"/>
    <w:rsid w:val="00BB1C5C"/>
    <w:rsid w:val="00BB25F6"/>
    <w:rsid w:val="00BB3823"/>
    <w:rsid w:val="00BB4E25"/>
    <w:rsid w:val="00BB5F25"/>
    <w:rsid w:val="00BC0703"/>
    <w:rsid w:val="00BC238E"/>
    <w:rsid w:val="00BC4693"/>
    <w:rsid w:val="00BC689E"/>
    <w:rsid w:val="00BD041A"/>
    <w:rsid w:val="00BD2745"/>
    <w:rsid w:val="00BD3F14"/>
    <w:rsid w:val="00BD6F10"/>
    <w:rsid w:val="00BD7973"/>
    <w:rsid w:val="00BD7E55"/>
    <w:rsid w:val="00BE06F5"/>
    <w:rsid w:val="00BE084A"/>
    <w:rsid w:val="00BE64C2"/>
    <w:rsid w:val="00BE69ED"/>
    <w:rsid w:val="00BF024C"/>
    <w:rsid w:val="00BF0303"/>
    <w:rsid w:val="00BF0EF7"/>
    <w:rsid w:val="00BF23BD"/>
    <w:rsid w:val="00BF42A4"/>
    <w:rsid w:val="00BF4E68"/>
    <w:rsid w:val="00C00497"/>
    <w:rsid w:val="00C02CA0"/>
    <w:rsid w:val="00C037F8"/>
    <w:rsid w:val="00C1159A"/>
    <w:rsid w:val="00C16445"/>
    <w:rsid w:val="00C17B03"/>
    <w:rsid w:val="00C17ED1"/>
    <w:rsid w:val="00C212B4"/>
    <w:rsid w:val="00C22E72"/>
    <w:rsid w:val="00C24A37"/>
    <w:rsid w:val="00C268F1"/>
    <w:rsid w:val="00C276B8"/>
    <w:rsid w:val="00C34DAE"/>
    <w:rsid w:val="00C350AD"/>
    <w:rsid w:val="00C36051"/>
    <w:rsid w:val="00C374C7"/>
    <w:rsid w:val="00C378F0"/>
    <w:rsid w:val="00C43380"/>
    <w:rsid w:val="00C43CFF"/>
    <w:rsid w:val="00C4734C"/>
    <w:rsid w:val="00C476B7"/>
    <w:rsid w:val="00C51214"/>
    <w:rsid w:val="00C613DA"/>
    <w:rsid w:val="00C62152"/>
    <w:rsid w:val="00C634DE"/>
    <w:rsid w:val="00C65D68"/>
    <w:rsid w:val="00C71986"/>
    <w:rsid w:val="00C7214E"/>
    <w:rsid w:val="00C724CF"/>
    <w:rsid w:val="00C725D0"/>
    <w:rsid w:val="00C74342"/>
    <w:rsid w:val="00C80E72"/>
    <w:rsid w:val="00C816BB"/>
    <w:rsid w:val="00C827F0"/>
    <w:rsid w:val="00C85511"/>
    <w:rsid w:val="00C955EE"/>
    <w:rsid w:val="00CA1239"/>
    <w:rsid w:val="00CA12B5"/>
    <w:rsid w:val="00CA51F4"/>
    <w:rsid w:val="00CB157E"/>
    <w:rsid w:val="00CB2E29"/>
    <w:rsid w:val="00CB3EA3"/>
    <w:rsid w:val="00CB54AA"/>
    <w:rsid w:val="00CB680A"/>
    <w:rsid w:val="00CB6A20"/>
    <w:rsid w:val="00CC15B5"/>
    <w:rsid w:val="00CC1DE3"/>
    <w:rsid w:val="00CC21AD"/>
    <w:rsid w:val="00CC4749"/>
    <w:rsid w:val="00CC67FE"/>
    <w:rsid w:val="00CC7F76"/>
    <w:rsid w:val="00CD2116"/>
    <w:rsid w:val="00CD37E3"/>
    <w:rsid w:val="00CD37FA"/>
    <w:rsid w:val="00CD560A"/>
    <w:rsid w:val="00CD5F1F"/>
    <w:rsid w:val="00CD7ED0"/>
    <w:rsid w:val="00CE599F"/>
    <w:rsid w:val="00CE5A3C"/>
    <w:rsid w:val="00CF18C3"/>
    <w:rsid w:val="00CF7E04"/>
    <w:rsid w:val="00D017D1"/>
    <w:rsid w:val="00D03063"/>
    <w:rsid w:val="00D04CA6"/>
    <w:rsid w:val="00D05ADB"/>
    <w:rsid w:val="00D1203F"/>
    <w:rsid w:val="00D120ED"/>
    <w:rsid w:val="00D125E9"/>
    <w:rsid w:val="00D15C6A"/>
    <w:rsid w:val="00D16DBA"/>
    <w:rsid w:val="00D217B0"/>
    <w:rsid w:val="00D23FE2"/>
    <w:rsid w:val="00D2756A"/>
    <w:rsid w:val="00D279DF"/>
    <w:rsid w:val="00D317A6"/>
    <w:rsid w:val="00D32F40"/>
    <w:rsid w:val="00D32FD9"/>
    <w:rsid w:val="00D34D2B"/>
    <w:rsid w:val="00D36CAF"/>
    <w:rsid w:val="00D40186"/>
    <w:rsid w:val="00D40914"/>
    <w:rsid w:val="00D45629"/>
    <w:rsid w:val="00D45818"/>
    <w:rsid w:val="00D477D5"/>
    <w:rsid w:val="00D47A84"/>
    <w:rsid w:val="00D52ECD"/>
    <w:rsid w:val="00D53BCF"/>
    <w:rsid w:val="00D625E7"/>
    <w:rsid w:val="00D62A9B"/>
    <w:rsid w:val="00D62DA2"/>
    <w:rsid w:val="00D71391"/>
    <w:rsid w:val="00D7538A"/>
    <w:rsid w:val="00D75CE1"/>
    <w:rsid w:val="00D77F47"/>
    <w:rsid w:val="00D80603"/>
    <w:rsid w:val="00D80D95"/>
    <w:rsid w:val="00D816CF"/>
    <w:rsid w:val="00D82449"/>
    <w:rsid w:val="00D8490B"/>
    <w:rsid w:val="00D93830"/>
    <w:rsid w:val="00D953A3"/>
    <w:rsid w:val="00DA0BC4"/>
    <w:rsid w:val="00DA30A6"/>
    <w:rsid w:val="00DA337C"/>
    <w:rsid w:val="00DA343B"/>
    <w:rsid w:val="00DA5942"/>
    <w:rsid w:val="00DA657D"/>
    <w:rsid w:val="00DA735A"/>
    <w:rsid w:val="00DB2441"/>
    <w:rsid w:val="00DB3FF4"/>
    <w:rsid w:val="00DB6683"/>
    <w:rsid w:val="00DC234F"/>
    <w:rsid w:val="00DD0290"/>
    <w:rsid w:val="00DD1131"/>
    <w:rsid w:val="00DD4ADE"/>
    <w:rsid w:val="00DE03DB"/>
    <w:rsid w:val="00DE2408"/>
    <w:rsid w:val="00DE3C8A"/>
    <w:rsid w:val="00DE47D2"/>
    <w:rsid w:val="00DE50E1"/>
    <w:rsid w:val="00DE7C23"/>
    <w:rsid w:val="00DF0168"/>
    <w:rsid w:val="00DF02DC"/>
    <w:rsid w:val="00DF168F"/>
    <w:rsid w:val="00DF1E77"/>
    <w:rsid w:val="00DF31DB"/>
    <w:rsid w:val="00DF3768"/>
    <w:rsid w:val="00DF56B2"/>
    <w:rsid w:val="00DF731F"/>
    <w:rsid w:val="00E0007E"/>
    <w:rsid w:val="00E0136A"/>
    <w:rsid w:val="00E014D7"/>
    <w:rsid w:val="00E020CE"/>
    <w:rsid w:val="00E020EE"/>
    <w:rsid w:val="00E02D55"/>
    <w:rsid w:val="00E065C7"/>
    <w:rsid w:val="00E12C7C"/>
    <w:rsid w:val="00E13724"/>
    <w:rsid w:val="00E13891"/>
    <w:rsid w:val="00E157AC"/>
    <w:rsid w:val="00E21301"/>
    <w:rsid w:val="00E22616"/>
    <w:rsid w:val="00E22E3C"/>
    <w:rsid w:val="00E23063"/>
    <w:rsid w:val="00E2318D"/>
    <w:rsid w:val="00E30B03"/>
    <w:rsid w:val="00E30FBD"/>
    <w:rsid w:val="00E3110B"/>
    <w:rsid w:val="00E326FF"/>
    <w:rsid w:val="00E33522"/>
    <w:rsid w:val="00E33D5B"/>
    <w:rsid w:val="00E34EC9"/>
    <w:rsid w:val="00E40AC6"/>
    <w:rsid w:val="00E42BBA"/>
    <w:rsid w:val="00E50BC7"/>
    <w:rsid w:val="00E50C16"/>
    <w:rsid w:val="00E510D1"/>
    <w:rsid w:val="00E54F9C"/>
    <w:rsid w:val="00E60A98"/>
    <w:rsid w:val="00E6152B"/>
    <w:rsid w:val="00E618FB"/>
    <w:rsid w:val="00E66ABD"/>
    <w:rsid w:val="00E67B41"/>
    <w:rsid w:val="00E70514"/>
    <w:rsid w:val="00E70DB6"/>
    <w:rsid w:val="00E742A0"/>
    <w:rsid w:val="00E74D0C"/>
    <w:rsid w:val="00E7590C"/>
    <w:rsid w:val="00E80325"/>
    <w:rsid w:val="00E80335"/>
    <w:rsid w:val="00E80889"/>
    <w:rsid w:val="00E811F3"/>
    <w:rsid w:val="00E81738"/>
    <w:rsid w:val="00E830B9"/>
    <w:rsid w:val="00E833F7"/>
    <w:rsid w:val="00E84CE6"/>
    <w:rsid w:val="00E85367"/>
    <w:rsid w:val="00E86774"/>
    <w:rsid w:val="00E90A4F"/>
    <w:rsid w:val="00E91583"/>
    <w:rsid w:val="00E91D93"/>
    <w:rsid w:val="00E91F2C"/>
    <w:rsid w:val="00E939BA"/>
    <w:rsid w:val="00E97A5D"/>
    <w:rsid w:val="00EA0FA5"/>
    <w:rsid w:val="00EA1704"/>
    <w:rsid w:val="00EA7A56"/>
    <w:rsid w:val="00EB058A"/>
    <w:rsid w:val="00EB0FAD"/>
    <w:rsid w:val="00EB3AF0"/>
    <w:rsid w:val="00EB4520"/>
    <w:rsid w:val="00EB4CE9"/>
    <w:rsid w:val="00EB7D83"/>
    <w:rsid w:val="00EC0376"/>
    <w:rsid w:val="00EC0BD3"/>
    <w:rsid w:val="00EC3D06"/>
    <w:rsid w:val="00EC523C"/>
    <w:rsid w:val="00ED294D"/>
    <w:rsid w:val="00ED39F4"/>
    <w:rsid w:val="00ED3AA2"/>
    <w:rsid w:val="00ED4208"/>
    <w:rsid w:val="00ED6E7C"/>
    <w:rsid w:val="00ED7168"/>
    <w:rsid w:val="00EE00F0"/>
    <w:rsid w:val="00EE0E73"/>
    <w:rsid w:val="00EE39B4"/>
    <w:rsid w:val="00EE3A32"/>
    <w:rsid w:val="00EE4173"/>
    <w:rsid w:val="00EE59C4"/>
    <w:rsid w:val="00EE59DA"/>
    <w:rsid w:val="00EE5A6F"/>
    <w:rsid w:val="00EE6BE6"/>
    <w:rsid w:val="00EF1144"/>
    <w:rsid w:val="00EF1A58"/>
    <w:rsid w:val="00EF1FC0"/>
    <w:rsid w:val="00EF3179"/>
    <w:rsid w:val="00F016B8"/>
    <w:rsid w:val="00F01A67"/>
    <w:rsid w:val="00F02794"/>
    <w:rsid w:val="00F0295F"/>
    <w:rsid w:val="00F14723"/>
    <w:rsid w:val="00F15140"/>
    <w:rsid w:val="00F159A0"/>
    <w:rsid w:val="00F15DDC"/>
    <w:rsid w:val="00F1795A"/>
    <w:rsid w:val="00F17DD6"/>
    <w:rsid w:val="00F217FC"/>
    <w:rsid w:val="00F27B5D"/>
    <w:rsid w:val="00F31987"/>
    <w:rsid w:val="00F33435"/>
    <w:rsid w:val="00F349E6"/>
    <w:rsid w:val="00F36480"/>
    <w:rsid w:val="00F410B3"/>
    <w:rsid w:val="00F411DB"/>
    <w:rsid w:val="00F41484"/>
    <w:rsid w:val="00F434DE"/>
    <w:rsid w:val="00F45CCB"/>
    <w:rsid w:val="00F465DA"/>
    <w:rsid w:val="00F54759"/>
    <w:rsid w:val="00F61BFE"/>
    <w:rsid w:val="00F62F26"/>
    <w:rsid w:val="00F6420A"/>
    <w:rsid w:val="00F65FD0"/>
    <w:rsid w:val="00F66149"/>
    <w:rsid w:val="00F677D0"/>
    <w:rsid w:val="00F67F5F"/>
    <w:rsid w:val="00F712C3"/>
    <w:rsid w:val="00F7412C"/>
    <w:rsid w:val="00F751A4"/>
    <w:rsid w:val="00F760AC"/>
    <w:rsid w:val="00F77C7A"/>
    <w:rsid w:val="00F820C1"/>
    <w:rsid w:val="00F830FC"/>
    <w:rsid w:val="00F83550"/>
    <w:rsid w:val="00F86C27"/>
    <w:rsid w:val="00F8738A"/>
    <w:rsid w:val="00F914B5"/>
    <w:rsid w:val="00F916B4"/>
    <w:rsid w:val="00F923FC"/>
    <w:rsid w:val="00F96E79"/>
    <w:rsid w:val="00FA283E"/>
    <w:rsid w:val="00FA2AB7"/>
    <w:rsid w:val="00FA352B"/>
    <w:rsid w:val="00FA5442"/>
    <w:rsid w:val="00FA740C"/>
    <w:rsid w:val="00FA7BA9"/>
    <w:rsid w:val="00FB08FA"/>
    <w:rsid w:val="00FB4CE7"/>
    <w:rsid w:val="00FC02C2"/>
    <w:rsid w:val="00FC44DB"/>
    <w:rsid w:val="00FC6071"/>
    <w:rsid w:val="00FC7647"/>
    <w:rsid w:val="00FD36A3"/>
    <w:rsid w:val="00FD3F4E"/>
    <w:rsid w:val="00FD4092"/>
    <w:rsid w:val="00FD4C13"/>
    <w:rsid w:val="00FE5805"/>
    <w:rsid w:val="00FE6E09"/>
    <w:rsid w:val="00FF093D"/>
    <w:rsid w:val="00FF19C7"/>
    <w:rsid w:val="00FF3397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D0134"/>
  <w15:chartTrackingRefBased/>
  <w15:docId w15:val="{6E1B7463-68F6-4323-8D87-AC877110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7A"/>
    <w:pPr>
      <w:widowControl w:val="0"/>
      <w:spacing w:line="480" w:lineRule="auto"/>
    </w:pPr>
    <w:rPr>
      <w:rFonts w:ascii="Arial" w:hAnsi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95F21"/>
    <w:pPr>
      <w:keepNext/>
      <w:outlineLvl w:val="0"/>
    </w:pPr>
    <w:rPr>
      <w:rFonts w:eastAsia="Times New Roman"/>
      <w:b/>
      <w:bCs/>
      <w:caps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5F21"/>
    <w:pPr>
      <w:keepNext/>
      <w:outlineLvl w:val="1"/>
    </w:pPr>
    <w:rPr>
      <w:rFonts w:eastAsia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5F21"/>
    <w:pPr>
      <w:keepNext/>
      <w:outlineLvl w:val="2"/>
    </w:pPr>
    <w:rPr>
      <w:rFonts w:eastAsia="Times New Roman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5F21"/>
    <w:rPr>
      <w:rFonts w:ascii="Arial" w:eastAsia="Times New Roman" w:hAnsi="Arial" w:cs="Times New Roman"/>
      <w:b/>
      <w:bCs/>
      <w:caps/>
      <w:sz w:val="24"/>
      <w:szCs w:val="32"/>
    </w:rPr>
  </w:style>
  <w:style w:type="character" w:customStyle="1" w:styleId="20">
    <w:name w:val="見出し 2 (文字)"/>
    <w:link w:val="2"/>
    <w:uiPriority w:val="9"/>
    <w:rsid w:val="00595F21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30">
    <w:name w:val="見出し 3 (文字)"/>
    <w:link w:val="3"/>
    <w:uiPriority w:val="9"/>
    <w:rsid w:val="00595F21"/>
    <w:rPr>
      <w:rFonts w:ascii="Arial" w:eastAsia="Times New Roman" w:hAnsi="Arial" w:cs="Times New Roman"/>
      <w:bCs/>
      <w:i/>
      <w:szCs w:val="26"/>
    </w:rPr>
  </w:style>
  <w:style w:type="numbering" w:customStyle="1" w:styleId="Style1">
    <w:name w:val="Style1"/>
    <w:uiPriority w:val="99"/>
    <w:rsid w:val="007C66CD"/>
    <w:pPr>
      <w:numPr>
        <w:numId w:val="1"/>
      </w:numPr>
    </w:pPr>
  </w:style>
  <w:style w:type="numbering" w:customStyle="1" w:styleId="Style2">
    <w:name w:val="Style2"/>
    <w:uiPriority w:val="99"/>
    <w:rsid w:val="004F12D9"/>
    <w:pPr>
      <w:numPr>
        <w:numId w:val="3"/>
      </w:numPr>
    </w:pPr>
  </w:style>
  <w:style w:type="paragraph" w:styleId="a3">
    <w:name w:val="No Spacing"/>
    <w:uiPriority w:val="1"/>
    <w:qFormat/>
    <w:rsid w:val="007C66CD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a4">
    <w:name w:val="List Paragraph"/>
    <w:basedOn w:val="a"/>
    <w:uiPriority w:val="34"/>
    <w:rsid w:val="005629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A69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013A69"/>
    <w:rPr>
      <w:rFonts w:ascii="Arial" w:hAnsi="Arial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13A6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013A69"/>
    <w:rPr>
      <w:rFonts w:ascii="Arial" w:hAnsi="Arial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13A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A69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Hyperlink"/>
    <w:basedOn w:val="a0"/>
    <w:uiPriority w:val="99"/>
    <w:unhideWhenUsed/>
    <w:rsid w:val="006514E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514E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725D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725D0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C725D0"/>
    <w:rPr>
      <w:rFonts w:ascii="Arial" w:hAnsi="Arial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5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25D0"/>
    <w:rPr>
      <w:rFonts w:ascii="Arial" w:hAnsi="Arial"/>
      <w:b/>
      <w:bCs/>
      <w:lang w:val="en-US" w:eastAsia="en-US"/>
    </w:rPr>
  </w:style>
  <w:style w:type="table" w:styleId="af1">
    <w:name w:val="Table Grid"/>
    <w:basedOn w:val="a1"/>
    <w:uiPriority w:val="59"/>
    <w:rsid w:val="005D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D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customStyle="1" w:styleId="EndNoteBibliographyTitle">
    <w:name w:val="EndNote Bibliography Title"/>
    <w:basedOn w:val="a"/>
    <w:link w:val="EndNoteBibliographyTitleChar"/>
    <w:rsid w:val="00C955EE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955EE"/>
    <w:rPr>
      <w:rFonts w:ascii="Arial" w:hAnsi="Arial" w:cs="Arial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a"/>
    <w:link w:val="EndNoteBibliographyChar"/>
    <w:rsid w:val="00C955EE"/>
    <w:pPr>
      <w:jc w:val="center"/>
    </w:pPr>
    <w:rPr>
      <w:rFonts w:cs="Arial"/>
      <w:noProof/>
    </w:rPr>
  </w:style>
  <w:style w:type="character" w:customStyle="1" w:styleId="EndNoteBibliographyChar">
    <w:name w:val="EndNote Bibliography Char"/>
    <w:basedOn w:val="a0"/>
    <w:link w:val="EndNoteBibliography"/>
    <w:rsid w:val="00C955EE"/>
    <w:rPr>
      <w:rFonts w:ascii="Arial" w:hAnsi="Arial" w:cs="Arial"/>
      <w:noProof/>
      <w:sz w:val="22"/>
      <w:szCs w:val="22"/>
      <w:lang w:val="en-US" w:eastAsia="en-US"/>
    </w:rPr>
  </w:style>
  <w:style w:type="paragraph" w:styleId="af2">
    <w:name w:val="Revision"/>
    <w:hidden/>
    <w:uiPriority w:val="99"/>
    <w:semiHidden/>
    <w:rsid w:val="004C68ED"/>
    <w:rPr>
      <w:rFonts w:ascii="Arial" w:hAnsi="Arial"/>
      <w:sz w:val="22"/>
      <w:szCs w:val="22"/>
      <w:lang w:val="en-US" w:eastAsia="en-US"/>
    </w:rPr>
  </w:style>
  <w:style w:type="paragraph" w:styleId="af3">
    <w:name w:val="Plain Text"/>
    <w:basedOn w:val="a"/>
    <w:link w:val="af4"/>
    <w:uiPriority w:val="99"/>
    <w:unhideWhenUsed/>
    <w:rsid w:val="00A340F1"/>
    <w:pPr>
      <w:widowControl/>
      <w:spacing w:line="240" w:lineRule="auto"/>
    </w:pPr>
    <w:rPr>
      <w:rFonts w:eastAsia="ＭＳ Ｐゴシック" w:cstheme="minorBidi"/>
      <w:sz w:val="20"/>
      <w:szCs w:val="21"/>
      <w:lang w:eastAsia="ja-JP"/>
    </w:rPr>
  </w:style>
  <w:style w:type="character" w:customStyle="1" w:styleId="af4">
    <w:name w:val="書式なし (文字)"/>
    <w:basedOn w:val="a0"/>
    <w:link w:val="af3"/>
    <w:uiPriority w:val="99"/>
    <w:rsid w:val="00A340F1"/>
    <w:rPr>
      <w:rFonts w:ascii="Arial" w:eastAsia="ＭＳ Ｐゴシック" w:hAnsi="Arial" w:cstheme="minorBidi"/>
      <w:szCs w:val="21"/>
      <w:lang w:val="en-US" w:eastAsia="ja-JP"/>
    </w:rPr>
  </w:style>
  <w:style w:type="character" w:styleId="af5">
    <w:name w:val="line number"/>
    <w:basedOn w:val="a0"/>
    <w:uiPriority w:val="99"/>
    <w:semiHidden/>
    <w:unhideWhenUsed/>
    <w:rsid w:val="005E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0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2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9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5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6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2535</Words>
  <Characters>14453</Characters>
  <Application>Microsoft Office Word</Application>
  <DocSecurity>0</DocSecurity>
  <Lines>120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D. Smith</dc:creator>
  <cp:keywords/>
  <cp:lastModifiedBy>Okawa, Haruhisa</cp:lastModifiedBy>
  <cp:revision>2</cp:revision>
  <cp:lastPrinted>2019-02-04T02:35:00Z</cp:lastPrinted>
  <dcterms:created xsi:type="dcterms:W3CDTF">2019-06-01T17:33:00Z</dcterms:created>
  <dcterms:modified xsi:type="dcterms:W3CDTF">2019-06-01T17:33:00Z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Application">
    <vt:lpwstr>Microsoft Azure Information Protection</vt:lpwstr>
  </property>
  <property fmtid="{D5CDD505-2E9C-101B-9397-08002B2CF9AE}" pid="4" name="MSIP_Label_4929bff8-5b33-42aa-95d2-28f72e792cb0_Enabled">
    <vt:lpwstr>True</vt:lpwstr>
  </property>
  <property fmtid="{D5CDD505-2E9C-101B-9397-08002B2CF9AE}" pid="5" name="MSIP_Label_4929bff8-5b33-42aa-95d2-28f72e792cb0_Extended_MSFT_Method">
    <vt:lpwstr>Automatic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Owner">
    <vt:lpwstr>UEDAKE2@novartis.net</vt:lpwstr>
  </property>
  <property fmtid="{D5CDD505-2E9C-101B-9397-08002B2CF9AE}" pid="8" name="MSIP_Label_4929bff8-5b33-42aa-95d2-28f72e792cb0_SetDate">
    <vt:lpwstr>2019-01-22T09:36:58.2162878Z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NXPowerLiteLastOptimized">
    <vt:lpwstr>501798</vt:lpwstr>
  </property>
  <property fmtid="{D5CDD505-2E9C-101B-9397-08002B2CF9AE}" pid="11" name="NXPowerLiteSettings">
    <vt:lpwstr>C7000400038000</vt:lpwstr>
  </property>
  <property fmtid="{D5CDD505-2E9C-101B-9397-08002B2CF9AE}" pid="12" name="NXPowerLiteVersion">
    <vt:lpwstr>D7.1.5</vt:lpwstr>
  </property>
</Properties>
</file>