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F88" w:rsidRPr="00AD154F" w:rsidRDefault="000A5F88" w:rsidP="000A5F88">
      <w:pPr>
        <w:spacing w:line="480" w:lineRule="auto"/>
        <w:rPr>
          <w:rFonts w:ascii="Times" w:hAnsi="Times"/>
          <w:b/>
          <w:color w:val="000000" w:themeColor="text1"/>
          <w:lang w:val="en-GB"/>
        </w:rPr>
      </w:pPr>
      <w:bookmarkStart w:id="0" w:name="_Hlk13822725"/>
      <w:r w:rsidRPr="00AD154F">
        <w:rPr>
          <w:rFonts w:ascii="Times" w:hAnsi="Times"/>
          <w:b/>
          <w:color w:val="000000" w:themeColor="text1"/>
          <w:lang w:val="en-GB"/>
        </w:rPr>
        <w:t>Methods</w:t>
      </w:r>
    </w:p>
    <w:p w:rsidR="000A5F88" w:rsidRPr="00AD154F" w:rsidRDefault="000A5F88" w:rsidP="000A5F88">
      <w:pPr>
        <w:spacing w:line="480" w:lineRule="auto"/>
        <w:jc w:val="both"/>
        <w:rPr>
          <w:rFonts w:ascii="Times" w:hAnsi="Times"/>
          <w:i/>
          <w:color w:val="000000" w:themeColor="text1"/>
          <w:lang w:val="en-GB"/>
        </w:rPr>
      </w:pPr>
      <w:r w:rsidRPr="00AD154F">
        <w:rPr>
          <w:rFonts w:ascii="Times" w:hAnsi="Times"/>
          <w:i/>
          <w:color w:val="000000" w:themeColor="text1"/>
          <w:lang w:val="en-GB"/>
        </w:rPr>
        <w:t>Patients</w:t>
      </w:r>
    </w:p>
    <w:p w:rsidR="000A5F88" w:rsidRPr="00AD154F" w:rsidRDefault="000A5F88" w:rsidP="000A5F88">
      <w:pPr>
        <w:spacing w:line="480" w:lineRule="auto"/>
        <w:jc w:val="both"/>
        <w:rPr>
          <w:rFonts w:ascii="Times" w:hAnsi="Times"/>
          <w:color w:val="000000" w:themeColor="text1"/>
          <w:lang w:val="en-GB"/>
        </w:rPr>
      </w:pPr>
      <w:r w:rsidRPr="00AD154F">
        <w:rPr>
          <w:rFonts w:ascii="Times" w:hAnsi="Times"/>
          <w:color w:val="000000" w:themeColor="text1"/>
          <w:lang w:val="en-GB"/>
        </w:rPr>
        <w:t xml:space="preserve">Patients were enrolled at the Section of Dermatology of the University of Ferrara from January </w:t>
      </w:r>
      <w:r w:rsidR="000D3E77">
        <w:rPr>
          <w:rFonts w:ascii="Times" w:hAnsi="Times"/>
          <w:color w:val="000000" w:themeColor="text1"/>
          <w:lang w:val="en-GB"/>
        </w:rPr>
        <w:t xml:space="preserve">1, </w:t>
      </w:r>
      <w:r w:rsidRPr="00AD154F">
        <w:rPr>
          <w:rFonts w:ascii="Times" w:hAnsi="Times"/>
          <w:color w:val="000000" w:themeColor="text1"/>
          <w:lang w:val="en-GB"/>
        </w:rPr>
        <w:t>2017</w:t>
      </w:r>
      <w:r w:rsidR="000D3E77">
        <w:rPr>
          <w:rFonts w:ascii="Times" w:hAnsi="Times"/>
          <w:color w:val="000000" w:themeColor="text1"/>
          <w:lang w:val="en-GB"/>
        </w:rPr>
        <w:t>,</w:t>
      </w:r>
      <w:r w:rsidRPr="00AD154F">
        <w:rPr>
          <w:rFonts w:ascii="Times" w:hAnsi="Times"/>
          <w:color w:val="000000" w:themeColor="text1"/>
          <w:lang w:val="en-GB"/>
        </w:rPr>
        <w:t xml:space="preserve"> to August </w:t>
      </w:r>
      <w:r w:rsidR="000D3E77">
        <w:rPr>
          <w:rFonts w:ascii="Times" w:hAnsi="Times"/>
          <w:color w:val="000000" w:themeColor="text1"/>
          <w:lang w:val="en-GB"/>
        </w:rPr>
        <w:t xml:space="preserve">1, </w:t>
      </w:r>
      <w:r w:rsidRPr="00AD154F">
        <w:rPr>
          <w:rFonts w:ascii="Times" w:hAnsi="Times"/>
          <w:color w:val="000000" w:themeColor="text1"/>
          <w:lang w:val="en-GB"/>
        </w:rPr>
        <w:t xml:space="preserve">2017. Eligible candidates did not receive any systemic or topical therapy for at least </w:t>
      </w:r>
      <w:r w:rsidR="000D3E77">
        <w:rPr>
          <w:rFonts w:ascii="Times" w:hAnsi="Times"/>
          <w:color w:val="000000" w:themeColor="text1"/>
          <w:lang w:val="en-GB"/>
        </w:rPr>
        <w:t>2</w:t>
      </w:r>
      <w:r w:rsidRPr="00AD154F">
        <w:rPr>
          <w:rFonts w:ascii="Times" w:hAnsi="Times"/>
          <w:color w:val="000000" w:themeColor="text1"/>
          <w:lang w:val="en-GB"/>
        </w:rPr>
        <w:t xml:space="preserve"> months before surgical procedure. All subjects were Caucasian. </w:t>
      </w:r>
    </w:p>
    <w:p w:rsidR="000A5F88" w:rsidRPr="00AD154F" w:rsidRDefault="000D3E77" w:rsidP="000A5F88">
      <w:pPr>
        <w:spacing w:line="480" w:lineRule="auto"/>
        <w:jc w:val="both"/>
        <w:rPr>
          <w:rFonts w:ascii="Times" w:hAnsi="Times"/>
          <w:color w:val="000000" w:themeColor="text1"/>
          <w:lang w:val="en-GB"/>
        </w:rPr>
      </w:pPr>
      <w:r>
        <w:rPr>
          <w:rFonts w:ascii="Times" w:hAnsi="Times"/>
          <w:color w:val="000000" w:themeColor="text1"/>
          <w:lang w:val="en-GB"/>
        </w:rPr>
        <w:t>Hidradenitis suppurativa (</w:t>
      </w:r>
      <w:r w:rsidR="000A5F88" w:rsidRPr="00AD154F">
        <w:rPr>
          <w:rFonts w:ascii="Times" w:hAnsi="Times"/>
          <w:color w:val="000000" w:themeColor="text1"/>
          <w:lang w:val="en-GB"/>
        </w:rPr>
        <w:t>HS</w:t>
      </w:r>
      <w:r>
        <w:rPr>
          <w:rFonts w:ascii="Times" w:hAnsi="Times"/>
          <w:color w:val="000000" w:themeColor="text1"/>
          <w:lang w:val="en-GB"/>
        </w:rPr>
        <w:t>)</w:t>
      </w:r>
      <w:r w:rsidR="000A5F88" w:rsidRPr="00AD154F">
        <w:rPr>
          <w:rFonts w:ascii="Times" w:hAnsi="Times"/>
          <w:color w:val="000000" w:themeColor="text1"/>
          <w:lang w:val="en-GB"/>
        </w:rPr>
        <w:t xml:space="preserve"> specimens were obtained from patients affected by HS that underwent surgery to excise single or multiple inflammatory nodule</w:t>
      </w:r>
      <w:r>
        <w:rPr>
          <w:rFonts w:ascii="Times" w:hAnsi="Times"/>
          <w:color w:val="000000" w:themeColor="text1"/>
          <w:lang w:val="en-GB"/>
        </w:rPr>
        <w:t>s</w:t>
      </w:r>
      <w:r w:rsidR="000A5F88" w:rsidRPr="00AD154F">
        <w:rPr>
          <w:rFonts w:ascii="Times" w:hAnsi="Times"/>
          <w:color w:val="000000" w:themeColor="text1"/>
          <w:lang w:val="en-GB"/>
        </w:rPr>
        <w:t xml:space="preserve"> in HS</w:t>
      </w:r>
      <w:r>
        <w:rPr>
          <w:rFonts w:ascii="Times" w:hAnsi="Times"/>
          <w:color w:val="000000" w:themeColor="text1"/>
          <w:lang w:val="en-GB"/>
        </w:rPr>
        <w:t>-</w:t>
      </w:r>
      <w:r w:rsidR="000A5F88" w:rsidRPr="00AD154F">
        <w:rPr>
          <w:rFonts w:ascii="Times" w:hAnsi="Times"/>
          <w:color w:val="000000" w:themeColor="text1"/>
          <w:lang w:val="en-GB"/>
        </w:rPr>
        <w:t>bearing skin areas. The diagnosis of HS was always made by a dermatologist specialized in HS management (V</w:t>
      </w:r>
      <w:r>
        <w:rPr>
          <w:rFonts w:ascii="Times" w:hAnsi="Times"/>
          <w:color w:val="000000" w:themeColor="text1"/>
          <w:lang w:val="en-GB"/>
        </w:rPr>
        <w:t>.</w:t>
      </w:r>
      <w:r w:rsidR="000A5F88" w:rsidRPr="00AD154F">
        <w:rPr>
          <w:rFonts w:ascii="Times" w:hAnsi="Times"/>
          <w:color w:val="000000" w:themeColor="text1"/>
          <w:lang w:val="en-GB"/>
        </w:rPr>
        <w:t>B</w:t>
      </w:r>
      <w:r>
        <w:rPr>
          <w:rFonts w:ascii="Times" w:hAnsi="Times"/>
          <w:color w:val="000000" w:themeColor="text1"/>
          <w:lang w:val="en-GB"/>
        </w:rPr>
        <w:t>.</w:t>
      </w:r>
      <w:r w:rsidR="000A5F88" w:rsidRPr="00AD154F">
        <w:rPr>
          <w:rFonts w:ascii="Times" w:hAnsi="Times"/>
          <w:color w:val="000000" w:themeColor="text1"/>
          <w:lang w:val="en-GB"/>
        </w:rPr>
        <w:t xml:space="preserve">) and confirmed by the pathology reports of the excised specimens. The </w:t>
      </w:r>
      <w:r>
        <w:rPr>
          <w:rFonts w:ascii="Times" w:hAnsi="Times"/>
          <w:color w:val="000000" w:themeColor="text1"/>
          <w:lang w:val="en-GB"/>
        </w:rPr>
        <w:t>healthy control (</w:t>
      </w:r>
      <w:r w:rsidR="000A5F88" w:rsidRPr="00AD154F">
        <w:rPr>
          <w:rFonts w:ascii="Times" w:hAnsi="Times"/>
          <w:color w:val="000000" w:themeColor="text1"/>
          <w:lang w:val="en-GB"/>
        </w:rPr>
        <w:t>HC</w:t>
      </w:r>
      <w:r>
        <w:rPr>
          <w:rFonts w:ascii="Times" w:hAnsi="Times"/>
          <w:color w:val="000000" w:themeColor="text1"/>
          <w:lang w:val="en-GB"/>
        </w:rPr>
        <w:t>)</w:t>
      </w:r>
      <w:r w:rsidR="000A5F88" w:rsidRPr="00AD154F">
        <w:rPr>
          <w:rFonts w:ascii="Times" w:hAnsi="Times"/>
          <w:color w:val="000000" w:themeColor="text1"/>
          <w:lang w:val="en-GB"/>
        </w:rPr>
        <w:t xml:space="preserve"> samples consisted of normally pigmented skin obtained from the distal portion of a lozenge performed for the excision of a histologically proven melanocytic nevus in patients </w:t>
      </w:r>
      <w:r>
        <w:rPr>
          <w:rFonts w:ascii="Times" w:hAnsi="Times"/>
          <w:color w:val="000000" w:themeColor="text1"/>
          <w:lang w:val="en-GB"/>
        </w:rPr>
        <w:t>who</w:t>
      </w:r>
      <w:r w:rsidR="000A5F88" w:rsidRPr="00AD154F">
        <w:rPr>
          <w:rFonts w:ascii="Times" w:hAnsi="Times"/>
          <w:color w:val="000000" w:themeColor="text1"/>
          <w:lang w:val="en-GB"/>
        </w:rPr>
        <w:t xml:space="preserve"> were not affected by any previous or active dermatological disease. The minimum distance between the nevus border and the skin sample was 4 mm, in order to minimize the effect of nevus-associated inflammation </w:t>
      </w:r>
      <w:r w:rsidR="000A5F88" w:rsidRPr="00AD154F">
        <w:rPr>
          <w:rFonts w:ascii="Times" w:hAnsi="Times"/>
          <w:color w:val="000000" w:themeColor="text1"/>
          <w:lang w:val="en-GB"/>
        </w:rPr>
        <w:fldChar w:fldCharType="begin" w:fldLock="1"/>
      </w:r>
      <w:r w:rsidR="000A5F88" w:rsidRPr="00AD154F">
        <w:rPr>
          <w:rFonts w:ascii="Times" w:hAnsi="Times"/>
          <w:color w:val="000000" w:themeColor="text1"/>
          <w:lang w:val="en-GB"/>
        </w:rPr>
        <w:instrText xml:space="preserve"> ADDIN ZOTERO_ITEM CSL_CITATION {"citationID":"GJrRhlPw","properties":{"formattedCitation":"[25]","plainCitation":"[25]","noteIndex":0},"citationItems":[{"id":"PxRgdmWk/A1niyhqq","uris":["http://www.mendeley.com/documents/?uuid=65f839ce-6aa1-4168-b5a0-2844eded39ad"],"uri":["http://www.mendeley.com/documents/?uuid=65f839ce-6aa1-4168-b5a0-2844eded39ad"],"itemData":{"ISSN":"1220-0522","PMID":"25611257","abstract":"Melanocytic nevi are frequently accompanied by inflammatory cells of different types, in varied amounts and distributed in different patterns. In the current report, we review the knowledge on inflammation seen in different types of melanocytic nevi. As an additional contribution, we studied the lymphocytic inflammatory component of Duperrat nevus, as well as the cytotoxic component of Sutton nevus, two contributions that we have not found in the literature. We conclude that: (a) Duperrat nevus has a mixed inflammatory reaction that includes histiocytes, foreign-body multinucleated giant cells, polymorphonuclears, lymphocytes (predominantly CD4+) and plasma cells (commonly abundant); (b) common melanocytic nevi with reactive inflammatory infiltrate usually show a CD4+ predominant population; (c) Meyerson nevus commonly shows an inflammatory infiltrate mainly made up of CD4+ T-cells; (d) Sutton nevus with halo phenomenon is accompanied by a dense inflammatory infiltrate with lymphocytes in a CD4:CD8 ratio varying from 1:1 to 1:3 and in which most of the CD8+ T-cells do not express cytotoxic markers; (e) Wiesner nevus commonly shows a spare lymphocytic infiltrate but the nature of the infiltrate has not yet been investigated.","author":[{"dropping-particle":"","family":"Fernandez-Flores","given":"Angel","non-dropping-particle":"","parse-names":false,"suffix":""},{"dropping-particle":"","family":"Saeb-Lima","given":"Marcela","non-dropping-particle":"","parse-names":false,"suffix":""}],"container-title":"Romanian journal of morphology and embryology = Revue roumaine de morphologie et embryologie","id":"ITEM-1","issue":"4","issued":{"date-parts":[["2014"]]},"page":"1277-85","title":"The inflammatory infiltrate of melanocytic nevus.","type":"article-journal","volume":"55"}}],"schema":"https://github.com/citation-style-language/schema/raw/master/csl-citation.json"} </w:instrText>
      </w:r>
      <w:r w:rsidR="000A5F88" w:rsidRPr="00AD154F">
        <w:rPr>
          <w:rFonts w:ascii="Times" w:hAnsi="Times"/>
          <w:color w:val="000000" w:themeColor="text1"/>
          <w:lang w:val="en-GB"/>
        </w:rPr>
        <w:fldChar w:fldCharType="separate"/>
      </w:r>
      <w:r w:rsidR="000A5F88" w:rsidRPr="00AD154F">
        <w:rPr>
          <w:rFonts w:ascii="Times" w:hAnsi="Times"/>
          <w:noProof/>
          <w:color w:val="000000" w:themeColor="text1"/>
          <w:lang w:val="en-GB"/>
        </w:rPr>
        <w:t>[25]</w:t>
      </w:r>
      <w:r w:rsidR="000A5F88" w:rsidRPr="00AD154F">
        <w:rPr>
          <w:rFonts w:ascii="Times" w:hAnsi="Times"/>
          <w:color w:val="000000" w:themeColor="text1"/>
          <w:lang w:val="en-GB"/>
        </w:rPr>
        <w:fldChar w:fldCharType="end"/>
      </w:r>
      <w:r w:rsidR="000A5F88" w:rsidRPr="00AD154F">
        <w:rPr>
          <w:rFonts w:ascii="Times" w:hAnsi="Times"/>
          <w:color w:val="000000" w:themeColor="text1"/>
          <w:lang w:val="en-GB"/>
        </w:rPr>
        <w:t xml:space="preserve">. Epidemiologic and clinical data comprising age, sex, body weight, smoking habit, comorbidities, Hurley stage, </w:t>
      </w:r>
      <w:bookmarkStart w:id="1" w:name="_Hlk16584586"/>
      <w:r w:rsidR="000A5F88" w:rsidRPr="00AD154F">
        <w:rPr>
          <w:rFonts w:ascii="Times" w:hAnsi="Times"/>
          <w:color w:val="000000" w:themeColor="text1"/>
          <w:lang w:val="en-GB"/>
        </w:rPr>
        <w:t>modified Sartorius score</w:t>
      </w:r>
      <w:bookmarkEnd w:id="1"/>
      <w:r>
        <w:rPr>
          <w:rFonts w:ascii="Times" w:hAnsi="Times"/>
          <w:color w:val="000000" w:themeColor="text1"/>
          <w:lang w:val="en-GB"/>
        </w:rPr>
        <w:t>,</w:t>
      </w:r>
      <w:r w:rsidR="000A5F88" w:rsidRPr="00AD154F">
        <w:rPr>
          <w:rFonts w:ascii="Times" w:hAnsi="Times"/>
          <w:color w:val="000000" w:themeColor="text1"/>
          <w:lang w:val="en-GB"/>
        </w:rPr>
        <w:t xml:space="preserve"> and previous treatments were collected the day of the surgical procedure. A further control group consisted of 10 anonymous skin samples from abdominoplasties previously stored at the Pathological Anatomy Section of the University of Ferrara.</w:t>
      </w:r>
    </w:p>
    <w:p w:rsidR="000A5F88" w:rsidRPr="00AD154F" w:rsidRDefault="000A5F88" w:rsidP="000A5F88">
      <w:pPr>
        <w:spacing w:line="480" w:lineRule="auto"/>
        <w:jc w:val="both"/>
        <w:rPr>
          <w:rFonts w:ascii="Times" w:hAnsi="Times"/>
          <w:color w:val="000000" w:themeColor="text1"/>
          <w:lang w:val="en-GB"/>
        </w:rPr>
      </w:pPr>
      <w:r w:rsidRPr="00AD154F">
        <w:rPr>
          <w:rFonts w:ascii="Times" w:hAnsi="Times"/>
          <w:color w:val="000000" w:themeColor="text1"/>
          <w:lang w:val="en-GB"/>
        </w:rPr>
        <w:t xml:space="preserve"> </w:t>
      </w:r>
    </w:p>
    <w:p w:rsidR="000A5F88" w:rsidRPr="00AD154F" w:rsidRDefault="000A5F88" w:rsidP="000A5F88">
      <w:pPr>
        <w:spacing w:line="480" w:lineRule="auto"/>
        <w:jc w:val="both"/>
        <w:rPr>
          <w:rFonts w:ascii="Times" w:hAnsi="Times"/>
          <w:i/>
          <w:color w:val="000000" w:themeColor="text1"/>
          <w:lang w:val="en-GB"/>
        </w:rPr>
      </w:pPr>
      <w:r w:rsidRPr="00AD154F">
        <w:rPr>
          <w:rFonts w:ascii="Times" w:hAnsi="Times"/>
          <w:i/>
          <w:color w:val="000000" w:themeColor="text1"/>
          <w:lang w:val="en-GB"/>
        </w:rPr>
        <w:t>Immunohistochemistry</w:t>
      </w:r>
    </w:p>
    <w:p w:rsidR="000A5F88" w:rsidRPr="00AD154F" w:rsidRDefault="000A5F88" w:rsidP="000A5F88">
      <w:pPr>
        <w:spacing w:line="480" w:lineRule="auto"/>
        <w:jc w:val="both"/>
        <w:rPr>
          <w:rFonts w:ascii="Times" w:hAnsi="Times"/>
          <w:color w:val="000000" w:themeColor="text1"/>
          <w:lang w:val="en-GB"/>
        </w:rPr>
      </w:pPr>
      <w:r w:rsidRPr="00AD154F">
        <w:rPr>
          <w:rFonts w:ascii="Times" w:hAnsi="Times"/>
          <w:color w:val="000000" w:themeColor="text1"/>
          <w:lang w:val="en-GB"/>
        </w:rPr>
        <w:t xml:space="preserve">All skin samples were collected, fixed, and embedded according to standard procedures. </w:t>
      </w:r>
      <w:r w:rsidR="008E3633">
        <w:rPr>
          <w:rFonts w:ascii="Times" w:hAnsi="Times"/>
          <w:color w:val="000000" w:themeColor="text1"/>
          <w:lang w:val="en-GB"/>
        </w:rPr>
        <w:t>Sections of 4</w:t>
      </w:r>
      <w:r w:rsidR="0070494A">
        <w:rPr>
          <w:rFonts w:ascii="Times" w:hAnsi="Times"/>
          <w:color w:val="000000" w:themeColor="text1"/>
          <w:lang w:val="en-GB"/>
        </w:rPr>
        <w:t>-</w:t>
      </w:r>
      <w:r w:rsidRPr="008E3633">
        <w:rPr>
          <w:rFonts w:ascii="Times" w:hAnsi="Times"/>
          <w:color w:val="000000" w:themeColor="text1"/>
          <w:lang w:val="en-GB"/>
        </w:rPr>
        <w:sym w:font="Symbol" w:char="F06D"/>
      </w:r>
      <w:r w:rsidRPr="008E3633">
        <w:rPr>
          <w:rFonts w:ascii="Times" w:hAnsi="Times"/>
          <w:color w:val="000000" w:themeColor="text1"/>
          <w:lang w:val="en-GB"/>
        </w:rPr>
        <w:t>m thick</w:t>
      </w:r>
      <w:r w:rsidR="0070494A">
        <w:rPr>
          <w:rFonts w:ascii="Times" w:hAnsi="Times"/>
          <w:color w:val="000000" w:themeColor="text1"/>
          <w:lang w:val="en-GB"/>
        </w:rPr>
        <w:t>ness</w:t>
      </w:r>
      <w:r w:rsidRPr="00AD154F">
        <w:rPr>
          <w:rFonts w:ascii="Times" w:hAnsi="Times"/>
          <w:color w:val="000000" w:themeColor="text1"/>
          <w:lang w:val="en-GB"/>
        </w:rPr>
        <w:t xml:space="preserve"> were prepared. Slides were heated at 60°C for 20 min, </w:t>
      </w:r>
      <w:r w:rsidRPr="00AD154F">
        <w:rPr>
          <w:rFonts w:ascii="Times" w:hAnsi="Times"/>
          <w:bCs/>
          <w:color w:val="000000" w:themeColor="text1"/>
          <w:lang w:val="en-GB"/>
        </w:rPr>
        <w:t>de-paraffinized with xylene</w:t>
      </w:r>
      <w:r w:rsidR="000D3E77">
        <w:rPr>
          <w:rFonts w:ascii="Times" w:hAnsi="Times"/>
          <w:bCs/>
          <w:color w:val="000000" w:themeColor="text1"/>
          <w:lang w:val="en-GB"/>
        </w:rPr>
        <w:t>,</w:t>
      </w:r>
      <w:r w:rsidRPr="00AD154F">
        <w:rPr>
          <w:rFonts w:ascii="Times" w:hAnsi="Times"/>
          <w:bCs/>
          <w:color w:val="000000" w:themeColor="text1"/>
          <w:lang w:val="en-GB"/>
        </w:rPr>
        <w:t xml:space="preserve"> and rehydrated by sequential passages through decreasing concentrations of ethanol.</w:t>
      </w:r>
      <w:r w:rsidRPr="00AD154F">
        <w:rPr>
          <w:rFonts w:ascii="Times" w:hAnsi="Times"/>
          <w:color w:val="000000" w:themeColor="text1"/>
          <w:lang w:val="en-GB"/>
        </w:rPr>
        <w:t xml:space="preserve"> </w:t>
      </w:r>
      <w:r w:rsidRPr="00AD154F">
        <w:rPr>
          <w:rFonts w:ascii="Times" w:hAnsi="Times"/>
          <w:bCs/>
          <w:color w:val="000000" w:themeColor="text1"/>
          <w:lang w:val="en-GB"/>
        </w:rPr>
        <w:t xml:space="preserve">Endogenous peroxidase activity was blocked by 15 min </w:t>
      </w:r>
      <w:r w:rsidR="000D3E77">
        <w:rPr>
          <w:rFonts w:ascii="Times" w:hAnsi="Times"/>
          <w:bCs/>
          <w:color w:val="000000" w:themeColor="text1"/>
          <w:lang w:val="en-GB"/>
        </w:rPr>
        <w:t xml:space="preserve">of </w:t>
      </w:r>
      <w:r w:rsidRPr="00AD154F">
        <w:rPr>
          <w:rFonts w:ascii="Times" w:hAnsi="Times"/>
          <w:bCs/>
          <w:color w:val="000000" w:themeColor="text1"/>
          <w:lang w:val="en-GB"/>
        </w:rPr>
        <w:t>incubation at room temperature (RT) with 0.3% H</w:t>
      </w:r>
      <w:r w:rsidRPr="00AD154F">
        <w:rPr>
          <w:rFonts w:ascii="Times" w:hAnsi="Times"/>
          <w:bCs/>
          <w:color w:val="000000" w:themeColor="text1"/>
          <w:vertAlign w:val="subscript"/>
          <w:lang w:val="en-GB"/>
        </w:rPr>
        <w:t>2</w:t>
      </w:r>
      <w:r w:rsidRPr="00AD154F">
        <w:rPr>
          <w:rFonts w:ascii="Times" w:hAnsi="Times"/>
          <w:bCs/>
          <w:color w:val="000000" w:themeColor="text1"/>
          <w:lang w:val="en-GB"/>
        </w:rPr>
        <w:t>O</w:t>
      </w:r>
      <w:r w:rsidRPr="00AD154F">
        <w:rPr>
          <w:rFonts w:ascii="Times" w:hAnsi="Times"/>
          <w:bCs/>
          <w:color w:val="000000" w:themeColor="text1"/>
          <w:vertAlign w:val="subscript"/>
          <w:lang w:val="en-GB"/>
        </w:rPr>
        <w:t>2</w:t>
      </w:r>
      <w:r w:rsidRPr="00AD154F">
        <w:rPr>
          <w:rFonts w:ascii="Times" w:hAnsi="Times"/>
          <w:bCs/>
          <w:color w:val="000000" w:themeColor="text1"/>
          <w:lang w:val="en-GB"/>
        </w:rPr>
        <w:t xml:space="preserve"> in TBS (50 m</w:t>
      </w:r>
      <w:r w:rsidRPr="009D44AA">
        <w:rPr>
          <w:rFonts w:ascii="Times" w:hAnsi="Times"/>
          <w:bCs/>
          <w:smallCaps/>
          <w:color w:val="FF6600"/>
          <w:lang w:val="en-GB"/>
        </w:rPr>
        <w:t>M</w:t>
      </w:r>
      <w:r w:rsidRPr="00AD154F">
        <w:rPr>
          <w:rFonts w:ascii="Times" w:hAnsi="Times"/>
          <w:bCs/>
          <w:color w:val="000000" w:themeColor="text1"/>
          <w:lang w:val="en-GB"/>
        </w:rPr>
        <w:t xml:space="preserve"> Tris, 150 m</w:t>
      </w:r>
      <w:r w:rsidRPr="009D44AA">
        <w:rPr>
          <w:rFonts w:ascii="Times" w:hAnsi="Times"/>
          <w:bCs/>
          <w:smallCaps/>
          <w:color w:val="FF6600"/>
          <w:lang w:val="en-GB"/>
        </w:rPr>
        <w:t>M</w:t>
      </w:r>
      <w:r w:rsidRPr="00AD154F">
        <w:rPr>
          <w:rFonts w:ascii="Times" w:hAnsi="Times"/>
          <w:bCs/>
          <w:color w:val="000000" w:themeColor="text1"/>
          <w:lang w:val="en-GB"/>
        </w:rPr>
        <w:t xml:space="preserve"> NaCl, pH 7.6). After three rinses in wash buffer (0.025% Triton X-100 in TBS), tissue sections were kept for 2 h at </w:t>
      </w:r>
      <w:r w:rsidRPr="00AD154F">
        <w:rPr>
          <w:rFonts w:ascii="Times" w:hAnsi="Times"/>
          <w:bCs/>
          <w:color w:val="000000" w:themeColor="text1"/>
          <w:lang w:val="en-GB"/>
        </w:rPr>
        <w:lastRenderedPageBreak/>
        <w:t xml:space="preserve">RT with a blocking solution (1% BSA, 10% FBS in TBS), and then incubated overnight at 4°C in the presence of the antibody against the target molecule. </w:t>
      </w:r>
      <w:r w:rsidRPr="00AD154F">
        <w:rPr>
          <w:rFonts w:ascii="Times" w:hAnsi="Times"/>
          <w:color w:val="000000" w:themeColor="text1"/>
          <w:lang w:val="en-GB"/>
        </w:rPr>
        <w:t>For the IHC staining procedure,</w:t>
      </w:r>
      <w:r w:rsidRPr="00AD154F">
        <w:rPr>
          <w:rFonts w:ascii="Times" w:hAnsi="Times"/>
          <w:bCs/>
          <w:color w:val="000000" w:themeColor="text1"/>
          <w:lang w:val="en-GB"/>
        </w:rPr>
        <w:t xml:space="preserve"> the following rabbit primary antibodies were used  diluted in incubation solution (1% BSA in TBS): </w:t>
      </w:r>
      <w:r w:rsidRPr="00AD154F">
        <w:rPr>
          <w:rFonts w:ascii="Times" w:hAnsi="Times"/>
          <w:color w:val="000000" w:themeColor="text1"/>
          <w:lang w:val="en-GB"/>
        </w:rPr>
        <w:t>anti-P2X7R (1:100 dilution</w:t>
      </w:r>
      <w:r w:rsidR="009D44AA">
        <w:rPr>
          <w:rFonts w:ascii="Times" w:hAnsi="Times"/>
          <w:color w:val="000000" w:themeColor="text1"/>
          <w:lang w:val="en-GB"/>
        </w:rPr>
        <w:t>;</w:t>
      </w:r>
      <w:r w:rsidRPr="00AD154F">
        <w:rPr>
          <w:rFonts w:ascii="Times" w:hAnsi="Times"/>
          <w:color w:val="000000" w:themeColor="text1"/>
          <w:lang w:val="en-GB"/>
        </w:rPr>
        <w:t xml:space="preserve"> Sigma-Aldrich, St. Louis, MO, USA) </w:t>
      </w:r>
      <w:r w:rsidRPr="00AD154F">
        <w:rPr>
          <w:rFonts w:ascii="Times" w:hAnsi="Times"/>
          <w:color w:val="000000" w:themeColor="text1"/>
          <w:vertAlign w:val="superscript"/>
          <w:lang w:val="en-GB"/>
        </w:rPr>
        <w:fldChar w:fldCharType="begin" w:fldLock="1"/>
      </w:r>
      <w:r w:rsidRPr="00AD154F">
        <w:rPr>
          <w:rFonts w:ascii="Times" w:hAnsi="Times"/>
          <w:color w:val="000000" w:themeColor="text1"/>
          <w:vertAlign w:val="superscript"/>
          <w:lang w:val="en-GB"/>
        </w:rPr>
        <w:instrText xml:space="preserve"> ADDIN ZOTERO_ITEM CSL_CITATION {"citationID":"A5eyu56q","properties":{"formattedCitation":"[26]","plainCitation":"[26]","noteIndex":0},"citationItems":[{"id":"PxRgdmWk/hqiWTNjM","uris":["http://www.mendeley.com/documents/?uuid=65d58c79-7ee0-4f95-9b19-761777fcf48e"],"uri":["http://www.mendeley.com/documents/?uuid=65d58c79-7ee0-4f95-9b19-761777fcf48e"],"itemData":{"DOI":"10.1371/journal.pone.0107224","ISSN":"1932-6203","PMID":"25226385","abstract":"The P2X7 receptor (P2X7R) is attracting increasing attention for its involvement in cancer. Several recent studies have shown a crucial role of P2X7R in tumour cell growth, angiogenesis and invasiveness. In this study, we investigated the role of the two known human P2X7R functional splice variants, the full length P2X7RA and the truncated P2X7RB, in osteosarcoma cell growth. Immunohistochemical analysis of a tissue array of human osteosarcomas showed that forty-four, of a total fifty-four tumours (81.4%), stained positive for both P2X7RA and B, thirty-one (57.4%) were positive using an anti-P2X7RA antibody, whereas fifteen of the total number (27.7%) expressed only P2X7RB. P2X7RB positive tumours showed increased cell density, at the expense of extracellular matrix. The human osteosarcoma cell line Te85, which lacks endogenous P2X7R expression, was stably transfected with either P2X7RA, P2X7RB, or both. Receptor expression was a powerful stimulus for cell growth, the most efficient growth-promoting isoform being P2X7RB alone. Growth stimulation was matched by increased Ca(2+) mobilization and enhanced NFATc1 activity. Te85 P2X7RA+B cells presented pore formation as well as spontaneous extracellular ATP release. The ATP release was sustained in all clones by P2X7R agonist (BzATP) and reduced following P2X7R antagonist (A740003) application. BzATP also increased cell growth and activated NFATc1 levels. On the other hand cyclosporin A (CSA) affected both NFATc1 activation and cell growth, definitively linking P2X7R stimulation to NFATc1 and cell proliferation. All transfected clones also showed reduced RANK-L expression, and an overall decreased RANK-L/OPG ratio. Mineralization was increased in Te85 P2X7RA+B cells while it was significantly diminished in Te85 P2X7RB clones, in agreement with immunohistochemical results. In summary, our data show that the majority of human osteosarcomas express P2X7RA and B and suggest that expression of either isoform is differently coupled to cell growth or activity.","author":[{"dropping-particle":"","family":"Giuliani","given":"Anna Lisa","non-dropping-particle":"","parse-names":false,"suffix":""},{"dropping-particle":"","family":"Colognesi","given":"Davide","non-dropping-particle":"","parse-names":false,"suffix":""},{"dropping-particle":"","family":"Ricco","given":"Tiziana","non-dropping-particle":"","parse-names":false,"suffix":""},{"dropping-particle":"","family":"Roncato","given":"Carlotta","non-dropping-particle":"","parse-names":false,"suffix":""},{"dropping-particle":"","family":"Capece","given":"Marina","non-dropping-particle":"","parse-names":false,"suffix":""},{"dropping-particle":"","family":"Amoroso","given":"Francesca","non-dropping-particle":"","parse-names":false,"suffix":""},{"dropping-particle":"","family":"Wang","given":"Qi Guang","non-dropping-particle":"","parse-names":false,"suffix":""},{"dropping-particle":"","family":"Marchi","given":"Elena","non-dropping-particle":"De","parse-names":false,"suffix":""},{"dropping-particle":"","family":"Gartland","given":"Allison","non-dropping-particle":"","parse-names":false,"suffix":""},{"dropping-particle":"","family":"Virgilio","given":"Francesco","non-dropping-particle":"Di","parse-names":false,"suffix":""},{"dropping-particle":"","family":"Adinolfi","given":"Elena","non-dropping-particle":"","parse-names":false,"suffix":""}],"container-title":"PloS one","id":"ITEM-1","issue":"9","issued":{"date-parts":[["2014"]]},"page":"e107224","title":"Trophic activity of human P2X7 receptor isoforms A and B in osteosarcoma.","type":"article-journal","volume":"9"}}],"schema":"https://github.com/citation-style-language/schema/raw/master/csl-citation.json"} </w:instrText>
      </w:r>
      <w:r w:rsidRPr="00AD154F">
        <w:rPr>
          <w:rFonts w:ascii="Times" w:hAnsi="Times"/>
          <w:color w:val="000000" w:themeColor="text1"/>
          <w:vertAlign w:val="superscript"/>
          <w:lang w:val="en-GB"/>
        </w:rPr>
        <w:fldChar w:fldCharType="separate"/>
      </w:r>
      <w:r w:rsidRPr="00AD154F">
        <w:rPr>
          <w:rFonts w:ascii="Times" w:hAnsi="Times"/>
          <w:noProof/>
          <w:color w:val="000000" w:themeColor="text1"/>
          <w:lang w:val="en-GB"/>
        </w:rPr>
        <w:t>[26]</w:t>
      </w:r>
      <w:r w:rsidRPr="00AD154F">
        <w:rPr>
          <w:rFonts w:ascii="Times" w:hAnsi="Times"/>
          <w:color w:val="000000" w:themeColor="text1"/>
          <w:vertAlign w:val="superscript"/>
          <w:lang w:val="en-GB"/>
        </w:rPr>
        <w:fldChar w:fldCharType="end"/>
      </w:r>
      <w:r w:rsidRPr="00AD154F">
        <w:rPr>
          <w:rFonts w:ascii="Times" w:hAnsi="Times"/>
          <w:color w:val="000000" w:themeColor="text1"/>
          <w:lang w:val="en-GB"/>
        </w:rPr>
        <w:t>,</w:t>
      </w:r>
      <w:r w:rsidRPr="00AD154F">
        <w:rPr>
          <w:rFonts w:ascii="Times" w:hAnsi="Times"/>
          <w:color w:val="000000" w:themeColor="text1"/>
          <w:vertAlign w:val="superscript"/>
          <w:lang w:val="en-GB"/>
        </w:rPr>
        <w:t xml:space="preserve"> </w:t>
      </w:r>
      <w:r w:rsidRPr="00AD154F">
        <w:rPr>
          <w:rFonts w:ascii="Times" w:hAnsi="Times"/>
          <w:color w:val="000000" w:themeColor="text1"/>
          <w:lang w:val="en-GB"/>
        </w:rPr>
        <w:t>anti-IL-1</w:t>
      </w:r>
      <w:r w:rsidRPr="00AD154F">
        <w:rPr>
          <w:rFonts w:ascii="Calibri" w:hAnsi="Calibri"/>
          <w:color w:val="000000" w:themeColor="text1"/>
          <w:lang w:val="en-GB"/>
        </w:rPr>
        <w:t>β</w:t>
      </w:r>
      <w:r w:rsidRPr="00AD154F">
        <w:rPr>
          <w:rFonts w:ascii="Times" w:hAnsi="Times"/>
          <w:color w:val="000000" w:themeColor="text1"/>
          <w:lang w:val="en-GB"/>
        </w:rPr>
        <w:t xml:space="preserve"> (1:20 dilution</w:t>
      </w:r>
      <w:r w:rsidR="009D44AA">
        <w:rPr>
          <w:rFonts w:ascii="Times" w:hAnsi="Times"/>
          <w:color w:val="000000" w:themeColor="text1"/>
          <w:lang w:val="en-GB"/>
        </w:rPr>
        <w:t>;</w:t>
      </w:r>
      <w:r w:rsidRPr="00AD154F">
        <w:rPr>
          <w:rFonts w:ascii="Times" w:hAnsi="Times"/>
          <w:color w:val="000000" w:themeColor="text1"/>
          <w:lang w:val="en-GB"/>
        </w:rPr>
        <w:t xml:space="preserve"> Novus Biologicals, </w:t>
      </w:r>
      <w:r w:rsidRPr="00AD154F">
        <w:rPr>
          <w:rFonts w:ascii="Times" w:hAnsi="Times"/>
          <w:color w:val="000000" w:themeColor="text1"/>
          <w:shd w:val="clear" w:color="auto" w:fill="FFFFFF"/>
          <w:lang w:val="en-GB"/>
        </w:rPr>
        <w:t>Centennial, CO, USA</w:t>
      </w:r>
      <w:r w:rsidRPr="00AD154F">
        <w:rPr>
          <w:rFonts w:ascii="Times" w:hAnsi="Times"/>
          <w:color w:val="000000" w:themeColor="text1"/>
          <w:lang w:val="en-GB"/>
        </w:rPr>
        <w:t xml:space="preserve">), </w:t>
      </w:r>
      <w:r w:rsidR="009D44AA">
        <w:rPr>
          <w:rFonts w:ascii="Times" w:hAnsi="Times"/>
          <w:color w:val="000000" w:themeColor="text1"/>
          <w:lang w:val="en-GB"/>
        </w:rPr>
        <w:t xml:space="preserve">and </w:t>
      </w:r>
      <w:r w:rsidRPr="00AD154F">
        <w:rPr>
          <w:rFonts w:ascii="Times" w:hAnsi="Times"/>
          <w:color w:val="000000" w:themeColor="text1"/>
          <w:lang w:val="en-GB"/>
        </w:rPr>
        <w:t>anti-NLRP3 (1:20 dilution</w:t>
      </w:r>
      <w:r w:rsidR="009D44AA">
        <w:rPr>
          <w:rFonts w:ascii="Times" w:hAnsi="Times"/>
          <w:color w:val="000000" w:themeColor="text1"/>
          <w:lang w:val="en-GB"/>
        </w:rPr>
        <w:t>;</w:t>
      </w:r>
      <w:r w:rsidRPr="00AD154F">
        <w:rPr>
          <w:rFonts w:ascii="Times" w:hAnsi="Times"/>
          <w:color w:val="000000" w:themeColor="text1"/>
          <w:lang w:val="en-GB"/>
        </w:rPr>
        <w:t xml:space="preserve"> Novus Biologicals). Normal rabbit serum (1:500 dilution</w:t>
      </w:r>
      <w:r w:rsidR="009D44AA">
        <w:rPr>
          <w:rFonts w:ascii="Times" w:hAnsi="Times"/>
          <w:color w:val="000000" w:themeColor="text1"/>
          <w:lang w:val="en-GB"/>
        </w:rPr>
        <w:t>;</w:t>
      </w:r>
      <w:r w:rsidRPr="00AD154F">
        <w:rPr>
          <w:rFonts w:ascii="Times" w:hAnsi="Times"/>
          <w:color w:val="000000" w:themeColor="text1"/>
          <w:lang w:val="en-GB"/>
        </w:rPr>
        <w:t xml:space="preserve"> Thermo-Fisher Scientific, Rockford, IL, USA) was used as control </w:t>
      </w:r>
      <w:r w:rsidR="009D44AA">
        <w:rPr>
          <w:rFonts w:ascii="Times" w:hAnsi="Times"/>
          <w:color w:val="000000" w:themeColor="text1"/>
          <w:lang w:val="en-GB"/>
        </w:rPr>
        <w:t>for</w:t>
      </w:r>
      <w:r w:rsidRPr="00AD154F">
        <w:rPr>
          <w:rFonts w:ascii="Times" w:hAnsi="Times"/>
          <w:color w:val="000000" w:themeColor="text1"/>
          <w:lang w:val="en-GB"/>
        </w:rPr>
        <w:t xml:space="preserve"> the rabbit primary antibodies. </w:t>
      </w:r>
      <w:r w:rsidRPr="00AD154F">
        <w:rPr>
          <w:rFonts w:ascii="Times" w:hAnsi="Times"/>
          <w:bCs/>
          <w:color w:val="000000" w:themeColor="text1"/>
          <w:lang w:val="en-GB"/>
        </w:rPr>
        <w:t>Sections were then rinsed twice in wash buffer, incubated for 60 min at RT with goat anti-rabbit HRP-conjugated secondary antibody (Dako, Glostrup, Denmark) (1:100 dilution in incubation solution), washed in TBS, and further incubated for 6</w:t>
      </w:r>
      <w:r w:rsidR="009D44AA">
        <w:rPr>
          <w:rFonts w:ascii="Times" w:hAnsi="Times"/>
          <w:bCs/>
          <w:color w:val="000000" w:themeColor="text1"/>
          <w:lang w:val="en-GB"/>
        </w:rPr>
        <w:t>–</w:t>
      </w:r>
      <w:r w:rsidRPr="00AD154F">
        <w:rPr>
          <w:rFonts w:ascii="Times" w:hAnsi="Times"/>
          <w:bCs/>
          <w:color w:val="000000" w:themeColor="text1"/>
          <w:lang w:val="en-GB"/>
        </w:rPr>
        <w:t xml:space="preserve">10 min at RT with DAB Substrate Chromogen System (Dako). Counterstaining was performed with Mayer’s haematoxylin. </w:t>
      </w:r>
      <w:r w:rsidRPr="00AD154F">
        <w:rPr>
          <w:rFonts w:ascii="Times" w:hAnsi="Times"/>
          <w:color w:val="000000" w:themeColor="text1"/>
          <w:lang w:val="en-GB"/>
        </w:rPr>
        <w:t xml:space="preserve">At least 9 slides per biopsy, 3 slides for each experimental condition, and 10 fields for each slide were examined with a Nikon Eclipse H550L microscope and analysed with NIS-Elements software (Nikon, Tokyo, Japan). </w:t>
      </w:r>
    </w:p>
    <w:p w:rsidR="000A5F88" w:rsidRPr="00AD154F" w:rsidRDefault="000A5F88" w:rsidP="000A5F88">
      <w:pPr>
        <w:spacing w:line="480" w:lineRule="auto"/>
        <w:jc w:val="both"/>
        <w:rPr>
          <w:rFonts w:ascii="Times" w:hAnsi="Times"/>
          <w:color w:val="000000" w:themeColor="text1"/>
          <w:lang w:val="en-GB"/>
        </w:rPr>
      </w:pPr>
      <w:r w:rsidRPr="00AD154F">
        <w:rPr>
          <w:rFonts w:ascii="Times" w:hAnsi="Times"/>
          <w:color w:val="000000" w:themeColor="text1"/>
          <w:lang w:val="en-GB"/>
        </w:rPr>
        <w:t xml:space="preserve">The intensity of immunostaining was graded semi-quantitatively for </w:t>
      </w:r>
      <w:r w:rsidR="009D44AA">
        <w:rPr>
          <w:rFonts w:ascii="Times" w:hAnsi="Times"/>
          <w:color w:val="000000" w:themeColor="text1"/>
          <w:lang w:val="en-GB"/>
        </w:rPr>
        <w:t>(</w:t>
      </w:r>
      <w:r w:rsidRPr="00AD154F">
        <w:rPr>
          <w:rFonts w:ascii="Times" w:hAnsi="Times"/>
          <w:color w:val="000000" w:themeColor="text1"/>
          <w:lang w:val="en-GB"/>
        </w:rPr>
        <w:t>1) keratinocytes</w:t>
      </w:r>
      <w:r w:rsidR="009D44AA">
        <w:rPr>
          <w:rFonts w:ascii="Times" w:hAnsi="Times"/>
          <w:color w:val="000000" w:themeColor="text1"/>
          <w:lang w:val="en-GB"/>
        </w:rPr>
        <w:t>,</w:t>
      </w:r>
      <w:r w:rsidRPr="00AD154F">
        <w:rPr>
          <w:rFonts w:ascii="Times" w:hAnsi="Times"/>
          <w:color w:val="000000" w:themeColor="text1"/>
          <w:lang w:val="en-GB"/>
        </w:rPr>
        <w:t xml:space="preserve"> </w:t>
      </w:r>
      <w:r w:rsidR="009D44AA">
        <w:rPr>
          <w:rFonts w:ascii="Times" w:hAnsi="Times"/>
          <w:color w:val="000000" w:themeColor="text1"/>
          <w:lang w:val="en-GB"/>
        </w:rPr>
        <w:t>(</w:t>
      </w:r>
      <w:r w:rsidRPr="00AD154F">
        <w:rPr>
          <w:rFonts w:ascii="Times" w:hAnsi="Times"/>
          <w:color w:val="000000" w:themeColor="text1"/>
          <w:lang w:val="en-GB"/>
        </w:rPr>
        <w:t>2) lymphocytes and monocytes</w:t>
      </w:r>
      <w:r w:rsidR="009D44AA">
        <w:rPr>
          <w:rFonts w:ascii="Times" w:hAnsi="Times"/>
          <w:color w:val="000000" w:themeColor="text1"/>
          <w:lang w:val="en-GB"/>
        </w:rPr>
        <w:t>,</w:t>
      </w:r>
      <w:r w:rsidRPr="00AD154F">
        <w:rPr>
          <w:rFonts w:ascii="Times" w:hAnsi="Times"/>
          <w:color w:val="000000" w:themeColor="text1"/>
          <w:lang w:val="en-GB"/>
        </w:rPr>
        <w:t xml:space="preserve"> and </w:t>
      </w:r>
      <w:r w:rsidR="009D44AA">
        <w:rPr>
          <w:rFonts w:ascii="Times" w:hAnsi="Times"/>
          <w:color w:val="000000" w:themeColor="text1"/>
          <w:lang w:val="en-GB"/>
        </w:rPr>
        <w:t>(</w:t>
      </w:r>
      <w:r w:rsidRPr="00AD154F">
        <w:rPr>
          <w:rFonts w:ascii="Times" w:hAnsi="Times"/>
          <w:color w:val="000000" w:themeColor="text1"/>
          <w:lang w:val="en-GB"/>
        </w:rPr>
        <w:t>3) neutrophils. Absent (0%), few (&lt;10%), moderate (10</w:t>
      </w:r>
      <w:r w:rsidR="009D44AA">
        <w:rPr>
          <w:rFonts w:ascii="Times" w:hAnsi="Times"/>
          <w:color w:val="000000" w:themeColor="text1"/>
          <w:lang w:val="en-GB"/>
        </w:rPr>
        <w:t>–</w:t>
      </w:r>
      <w:r w:rsidRPr="00AD154F">
        <w:rPr>
          <w:rFonts w:ascii="Times" w:hAnsi="Times"/>
          <w:color w:val="000000" w:themeColor="text1"/>
          <w:lang w:val="en-GB"/>
        </w:rPr>
        <w:t>60%), numerous (60</w:t>
      </w:r>
      <w:r w:rsidR="009D44AA">
        <w:rPr>
          <w:rFonts w:ascii="Times" w:hAnsi="Times"/>
          <w:color w:val="000000" w:themeColor="text1"/>
          <w:lang w:val="en-GB"/>
        </w:rPr>
        <w:t>–</w:t>
      </w:r>
      <w:r w:rsidRPr="00AD154F">
        <w:rPr>
          <w:rFonts w:ascii="Times" w:hAnsi="Times"/>
          <w:color w:val="000000" w:themeColor="text1"/>
          <w:lang w:val="en-GB"/>
        </w:rPr>
        <w:t>70%)</w:t>
      </w:r>
      <w:r w:rsidR="009D44AA">
        <w:rPr>
          <w:rFonts w:ascii="Times" w:hAnsi="Times"/>
          <w:color w:val="000000" w:themeColor="text1"/>
          <w:lang w:val="en-GB"/>
        </w:rPr>
        <w:t>,</w:t>
      </w:r>
      <w:r w:rsidRPr="00AD154F">
        <w:rPr>
          <w:rFonts w:ascii="Times" w:hAnsi="Times"/>
          <w:color w:val="000000" w:themeColor="text1"/>
          <w:lang w:val="en-GB"/>
        </w:rPr>
        <w:t xml:space="preserve"> and abundant</w:t>
      </w:r>
      <w:r w:rsidR="009D44AA" w:rsidRPr="00AD154F">
        <w:rPr>
          <w:rFonts w:ascii="Times" w:hAnsi="Times"/>
          <w:color w:val="000000" w:themeColor="text1"/>
          <w:lang w:val="en-GB"/>
        </w:rPr>
        <w:t xml:space="preserve"> (&gt;70%)</w:t>
      </w:r>
      <w:r w:rsidRPr="00AD154F">
        <w:rPr>
          <w:rFonts w:ascii="Times" w:hAnsi="Times"/>
          <w:color w:val="000000" w:themeColor="text1"/>
          <w:lang w:val="en-GB"/>
        </w:rPr>
        <w:t xml:space="preserve"> positive cells were graded</w:t>
      </w:r>
      <w:r w:rsidR="009D44AA">
        <w:rPr>
          <w:rFonts w:ascii="Times" w:hAnsi="Times"/>
          <w:color w:val="000000" w:themeColor="text1"/>
          <w:lang w:val="en-GB"/>
        </w:rPr>
        <w:t xml:space="preserve"> as</w:t>
      </w:r>
      <w:r w:rsidRPr="00AD154F">
        <w:rPr>
          <w:rFonts w:ascii="Times" w:hAnsi="Times"/>
          <w:color w:val="000000" w:themeColor="text1"/>
          <w:lang w:val="en-GB"/>
        </w:rPr>
        <w:t xml:space="preserve"> 0, 1, 2, 3, </w:t>
      </w:r>
      <w:r w:rsidR="009D44AA">
        <w:rPr>
          <w:rFonts w:ascii="Times" w:hAnsi="Times"/>
          <w:color w:val="000000" w:themeColor="text1"/>
          <w:lang w:val="en-GB"/>
        </w:rPr>
        <w:t xml:space="preserve">and </w:t>
      </w:r>
      <w:r w:rsidRPr="00AD154F">
        <w:rPr>
          <w:rFonts w:ascii="Times" w:hAnsi="Times"/>
          <w:color w:val="000000" w:themeColor="text1"/>
          <w:lang w:val="en-GB"/>
        </w:rPr>
        <w:t xml:space="preserve">4, respectively. </w:t>
      </w:r>
    </w:p>
    <w:p w:rsidR="000A5F88" w:rsidRPr="00AD154F" w:rsidRDefault="000A5F88" w:rsidP="000A5F88">
      <w:pPr>
        <w:spacing w:line="480" w:lineRule="auto"/>
        <w:jc w:val="both"/>
        <w:rPr>
          <w:rFonts w:ascii="Times" w:hAnsi="Times"/>
          <w:color w:val="000000" w:themeColor="text1"/>
          <w:lang w:val="en-GB"/>
        </w:rPr>
      </w:pPr>
    </w:p>
    <w:p w:rsidR="000A5F88" w:rsidRPr="00AD154F" w:rsidRDefault="000A5F88" w:rsidP="000A5F88">
      <w:pPr>
        <w:spacing w:line="480" w:lineRule="auto"/>
        <w:jc w:val="both"/>
        <w:rPr>
          <w:rFonts w:ascii="Times" w:hAnsi="Times"/>
          <w:i/>
          <w:color w:val="000000" w:themeColor="text1"/>
          <w:lang w:val="en-GB"/>
        </w:rPr>
      </w:pPr>
      <w:r w:rsidRPr="00AD154F">
        <w:rPr>
          <w:rFonts w:ascii="Times" w:hAnsi="Times"/>
          <w:i/>
          <w:color w:val="000000" w:themeColor="text1"/>
          <w:lang w:val="en-GB"/>
        </w:rPr>
        <w:t>Statistics</w:t>
      </w:r>
    </w:p>
    <w:p w:rsidR="00FF3EC8" w:rsidRPr="00AD154F" w:rsidRDefault="009D44AA" w:rsidP="000A5F88">
      <w:pPr>
        <w:rPr>
          <w:lang w:val="en-GB"/>
        </w:rPr>
      </w:pPr>
      <w:r>
        <w:rPr>
          <w:rFonts w:ascii="Times" w:hAnsi="Times"/>
          <w:color w:val="000000" w:themeColor="text1"/>
          <w:lang w:val="en-GB"/>
        </w:rPr>
        <w:t xml:space="preserve">The </w:t>
      </w:r>
      <w:r w:rsidR="000A5F88" w:rsidRPr="00AD154F">
        <w:rPr>
          <w:rFonts w:ascii="Times" w:hAnsi="Times"/>
          <w:color w:val="000000" w:themeColor="text1"/>
          <w:lang w:val="en-GB"/>
        </w:rPr>
        <w:t>Mann-W</w:t>
      </w:r>
      <w:r>
        <w:rPr>
          <w:rFonts w:ascii="Times" w:hAnsi="Times"/>
          <w:color w:val="000000" w:themeColor="text1"/>
          <w:lang w:val="en-GB"/>
        </w:rPr>
        <w:t>h</w:t>
      </w:r>
      <w:r w:rsidR="000A5F88" w:rsidRPr="00AD154F">
        <w:rPr>
          <w:rFonts w:ascii="Times" w:hAnsi="Times"/>
          <w:color w:val="000000" w:themeColor="text1"/>
          <w:lang w:val="en-GB"/>
        </w:rPr>
        <w:t xml:space="preserve">itney </w:t>
      </w:r>
      <w:r>
        <w:rPr>
          <w:rFonts w:ascii="Times" w:hAnsi="Times"/>
          <w:color w:val="000000" w:themeColor="text1"/>
          <w:lang w:val="en-GB"/>
        </w:rPr>
        <w:t xml:space="preserve">U </w:t>
      </w:r>
      <w:r w:rsidR="000A5F88" w:rsidRPr="00AD154F">
        <w:rPr>
          <w:rFonts w:ascii="Times" w:hAnsi="Times"/>
          <w:color w:val="000000" w:themeColor="text1"/>
          <w:lang w:val="en-GB"/>
        </w:rPr>
        <w:t xml:space="preserve">test was applied to compare </w:t>
      </w:r>
      <w:r>
        <w:rPr>
          <w:rFonts w:ascii="Times" w:hAnsi="Times"/>
          <w:color w:val="000000" w:themeColor="text1"/>
          <w:lang w:val="en-GB"/>
        </w:rPr>
        <w:t xml:space="preserve">the </w:t>
      </w:r>
      <w:r w:rsidR="000A5F88" w:rsidRPr="00AD154F">
        <w:rPr>
          <w:rFonts w:ascii="Times" w:hAnsi="Times"/>
          <w:color w:val="000000" w:themeColor="text1"/>
          <w:lang w:val="en-GB"/>
        </w:rPr>
        <w:t xml:space="preserve">HS and HC groups using SPSS v17.0 (SPSS </w:t>
      </w:r>
      <w:r w:rsidRPr="00AD154F">
        <w:rPr>
          <w:rFonts w:ascii="Times" w:hAnsi="Times"/>
          <w:color w:val="000000" w:themeColor="text1"/>
          <w:lang w:val="en-GB"/>
        </w:rPr>
        <w:t>Inc</w:t>
      </w:r>
      <w:r w:rsidR="000A5F88" w:rsidRPr="00AD154F">
        <w:rPr>
          <w:rFonts w:ascii="Times" w:hAnsi="Times"/>
          <w:color w:val="000000" w:themeColor="text1"/>
          <w:lang w:val="en-GB"/>
        </w:rPr>
        <w:t>.</w:t>
      </w:r>
      <w:r>
        <w:rPr>
          <w:rFonts w:ascii="Times" w:hAnsi="Times"/>
          <w:color w:val="000000" w:themeColor="text1"/>
          <w:lang w:val="en-GB"/>
        </w:rPr>
        <w:t>,</w:t>
      </w:r>
      <w:r w:rsidR="000A5F88" w:rsidRPr="00AD154F">
        <w:rPr>
          <w:rFonts w:ascii="Times" w:hAnsi="Times"/>
          <w:color w:val="000000" w:themeColor="text1"/>
          <w:lang w:val="en-GB"/>
        </w:rPr>
        <w:t xml:space="preserve"> Chicago, IL, USA). Benjamini-Hochberg correction was calculated for the </w:t>
      </w:r>
      <w:r w:rsidR="000A5F88" w:rsidRPr="009D44AA">
        <w:rPr>
          <w:rFonts w:ascii="Times" w:hAnsi="Times"/>
          <w:i/>
          <w:color w:val="000000" w:themeColor="text1"/>
          <w:lang w:val="en-GB"/>
        </w:rPr>
        <w:t>p</w:t>
      </w:r>
      <w:r w:rsidR="000A5F88" w:rsidRPr="00AD154F">
        <w:rPr>
          <w:rFonts w:ascii="Times" w:hAnsi="Times"/>
          <w:color w:val="000000" w:themeColor="text1"/>
          <w:lang w:val="en-GB"/>
        </w:rPr>
        <w:t xml:space="preserve"> values using a false discovery rate &lt;0.05. Cohen’s </w:t>
      </w:r>
      <w:r>
        <w:rPr>
          <w:rFonts w:ascii="Times" w:hAnsi="Times"/>
          <w:color w:val="000000" w:themeColor="text1"/>
          <w:lang w:val="en-GB"/>
        </w:rPr>
        <w:t>κ</w:t>
      </w:r>
      <w:r w:rsidR="000A5F88" w:rsidRPr="00AD154F">
        <w:rPr>
          <w:rFonts w:ascii="Times" w:hAnsi="Times"/>
          <w:color w:val="000000" w:themeColor="text1"/>
          <w:lang w:val="en-GB"/>
        </w:rPr>
        <w:t xml:space="preserve"> correlation coefficient was calculated to compare Hurley stage and P2X7R, NLRP3</w:t>
      </w:r>
      <w:r>
        <w:rPr>
          <w:rFonts w:ascii="Times" w:hAnsi="Times"/>
          <w:color w:val="000000" w:themeColor="text1"/>
          <w:lang w:val="en-GB"/>
        </w:rPr>
        <w:t>,</w:t>
      </w:r>
      <w:r w:rsidR="000A5F88" w:rsidRPr="00AD154F">
        <w:rPr>
          <w:rFonts w:ascii="Times" w:hAnsi="Times"/>
          <w:color w:val="000000" w:themeColor="text1"/>
          <w:lang w:val="en-GB"/>
        </w:rPr>
        <w:t xml:space="preserve"> and IL-1</w:t>
      </w:r>
      <w:r w:rsidR="000A5F88" w:rsidRPr="00AD154F">
        <w:rPr>
          <w:rFonts w:ascii="Calibri" w:hAnsi="Calibri"/>
          <w:color w:val="000000" w:themeColor="text1"/>
          <w:lang w:val="en-GB"/>
        </w:rPr>
        <w:t>β</w:t>
      </w:r>
      <w:r w:rsidR="000A5F88" w:rsidRPr="00AD154F">
        <w:rPr>
          <w:rFonts w:ascii="Times" w:hAnsi="Times"/>
          <w:color w:val="000000" w:themeColor="text1"/>
          <w:lang w:val="en-GB"/>
        </w:rPr>
        <w:t xml:space="preserve"> protein expression in skin keratinocytes in HS lesions. Cohen’s </w:t>
      </w:r>
      <w:r>
        <w:rPr>
          <w:rFonts w:ascii="Times" w:hAnsi="Times"/>
          <w:color w:val="000000" w:themeColor="text1"/>
          <w:lang w:val="en-GB"/>
        </w:rPr>
        <w:t>κ</w:t>
      </w:r>
      <w:r w:rsidR="000A5F88" w:rsidRPr="00AD154F">
        <w:rPr>
          <w:rFonts w:ascii="Times" w:hAnsi="Times"/>
          <w:color w:val="000000" w:themeColor="text1"/>
          <w:lang w:val="en-GB"/>
        </w:rPr>
        <w:t xml:space="preserve"> correlati</w:t>
      </w:r>
      <w:bookmarkStart w:id="2" w:name="_GoBack"/>
      <w:bookmarkEnd w:id="2"/>
      <w:r w:rsidR="000A5F88" w:rsidRPr="00AD154F">
        <w:rPr>
          <w:rFonts w:ascii="Times" w:hAnsi="Times"/>
          <w:color w:val="000000" w:themeColor="text1"/>
          <w:lang w:val="en-GB"/>
        </w:rPr>
        <w:t xml:space="preserve">on coefficient and </w:t>
      </w:r>
      <w:r w:rsidR="000A5F88" w:rsidRPr="009D44AA">
        <w:rPr>
          <w:rFonts w:ascii="Times" w:hAnsi="Times"/>
          <w:color w:val="000000" w:themeColor="text1"/>
          <w:lang w:val="en-GB"/>
        </w:rPr>
        <w:t>X</w:t>
      </w:r>
      <w:r w:rsidR="000A5F88" w:rsidRPr="00AD154F">
        <w:rPr>
          <w:rFonts w:ascii="Times" w:hAnsi="Times"/>
          <w:color w:val="000000" w:themeColor="text1"/>
          <w:vertAlign w:val="superscript"/>
          <w:lang w:val="en-GB"/>
        </w:rPr>
        <w:t>2</w:t>
      </w:r>
      <w:r w:rsidR="000A5F88" w:rsidRPr="00AD154F">
        <w:rPr>
          <w:rFonts w:ascii="Times" w:hAnsi="Times"/>
          <w:color w:val="000000" w:themeColor="text1"/>
          <w:lang w:val="en-GB"/>
        </w:rPr>
        <w:t xml:space="preserve"> test were calculated to compare P2X7R, NLRP3</w:t>
      </w:r>
      <w:r>
        <w:rPr>
          <w:rFonts w:ascii="Times" w:hAnsi="Times"/>
          <w:color w:val="000000" w:themeColor="text1"/>
          <w:lang w:val="en-GB"/>
        </w:rPr>
        <w:t>,</w:t>
      </w:r>
      <w:r w:rsidR="000A5F88" w:rsidRPr="00AD154F">
        <w:rPr>
          <w:rFonts w:ascii="Times" w:hAnsi="Times"/>
          <w:color w:val="000000" w:themeColor="text1"/>
          <w:lang w:val="en-GB"/>
        </w:rPr>
        <w:t xml:space="preserve"> and IL-1</w:t>
      </w:r>
      <w:r w:rsidR="000A5F88" w:rsidRPr="00AD154F">
        <w:rPr>
          <w:rFonts w:ascii="Calibri" w:hAnsi="Calibri"/>
          <w:color w:val="000000" w:themeColor="text1"/>
          <w:lang w:val="en-GB"/>
        </w:rPr>
        <w:t>β</w:t>
      </w:r>
      <w:r w:rsidR="000A5F88" w:rsidRPr="00AD154F">
        <w:rPr>
          <w:rFonts w:ascii="Times" w:hAnsi="Times"/>
          <w:color w:val="000000" w:themeColor="text1"/>
          <w:lang w:val="en-GB"/>
        </w:rPr>
        <w:t xml:space="preserve"> protein expression in skin keratinocytes of HS lesions, considering a positive score when more than 60% of the cells were stained by the antibodies. </w:t>
      </w:r>
      <w:r>
        <w:rPr>
          <w:rFonts w:ascii="Times" w:hAnsi="Times"/>
          <w:color w:val="000000" w:themeColor="text1"/>
          <w:lang w:val="en-GB"/>
        </w:rPr>
        <w:t xml:space="preserve">The </w:t>
      </w:r>
      <w:r w:rsidR="000A5F88" w:rsidRPr="009D44AA">
        <w:rPr>
          <w:rFonts w:ascii="Times" w:hAnsi="Times"/>
          <w:iCs/>
          <w:color w:val="000000" w:themeColor="text1"/>
          <w:lang w:val="en-GB"/>
        </w:rPr>
        <w:t>X</w:t>
      </w:r>
      <w:r w:rsidR="000A5F88" w:rsidRPr="00AD154F">
        <w:rPr>
          <w:rFonts w:ascii="Times" w:hAnsi="Times"/>
          <w:color w:val="000000" w:themeColor="text1"/>
          <w:vertAlign w:val="superscript"/>
          <w:lang w:val="en-GB"/>
        </w:rPr>
        <w:t>2</w:t>
      </w:r>
      <w:r w:rsidR="000A5F88" w:rsidRPr="00AD154F">
        <w:rPr>
          <w:rFonts w:ascii="Times" w:hAnsi="Times"/>
          <w:color w:val="000000" w:themeColor="text1"/>
          <w:lang w:val="en-GB"/>
        </w:rPr>
        <w:t xml:space="preserve"> test and Student</w:t>
      </w:r>
      <w:r>
        <w:rPr>
          <w:rFonts w:ascii="Times" w:hAnsi="Times"/>
          <w:color w:val="000000" w:themeColor="text1"/>
          <w:lang w:val="en-GB"/>
        </w:rPr>
        <w:t>’s</w:t>
      </w:r>
      <w:r w:rsidR="000A5F88" w:rsidRPr="00AD154F">
        <w:rPr>
          <w:rFonts w:ascii="Times" w:hAnsi="Times"/>
          <w:color w:val="000000" w:themeColor="text1"/>
          <w:lang w:val="en-GB"/>
        </w:rPr>
        <w:t xml:space="preserve"> </w:t>
      </w:r>
      <w:r w:rsidR="000A5F88" w:rsidRPr="009D44AA">
        <w:rPr>
          <w:rFonts w:ascii="Times" w:hAnsi="Times"/>
          <w:i/>
          <w:color w:val="000000" w:themeColor="text1"/>
          <w:lang w:val="en-GB"/>
        </w:rPr>
        <w:t>t</w:t>
      </w:r>
      <w:r w:rsidR="000A5F88" w:rsidRPr="00AD154F">
        <w:rPr>
          <w:rFonts w:ascii="Times" w:hAnsi="Times"/>
          <w:color w:val="000000" w:themeColor="text1"/>
          <w:lang w:val="en-GB"/>
        </w:rPr>
        <w:t xml:space="preserve"> test were </w:t>
      </w:r>
      <w:r>
        <w:rPr>
          <w:rFonts w:ascii="Times" w:hAnsi="Times"/>
          <w:color w:val="000000" w:themeColor="text1"/>
          <w:lang w:val="en-GB"/>
        </w:rPr>
        <w:t>used</w:t>
      </w:r>
      <w:r w:rsidR="000A5F88" w:rsidRPr="00AD154F">
        <w:rPr>
          <w:rFonts w:ascii="Times" w:hAnsi="Times"/>
          <w:color w:val="000000" w:themeColor="text1"/>
          <w:lang w:val="en-GB"/>
        </w:rPr>
        <w:t xml:space="preserve"> to compare HS and HC groups regarding epidemiological variables such as gender or tobacco smoking habits and age or BMI. Statistical analyses were considered significant with </w:t>
      </w:r>
      <w:r w:rsidR="000A5F88" w:rsidRPr="00211E05">
        <w:rPr>
          <w:rFonts w:ascii="Times" w:hAnsi="Times"/>
          <w:i/>
          <w:color w:val="000000" w:themeColor="text1"/>
          <w:lang w:val="en-GB"/>
        </w:rPr>
        <w:t>p</w:t>
      </w:r>
      <w:r w:rsidR="000A5F88" w:rsidRPr="00AD154F">
        <w:rPr>
          <w:rFonts w:ascii="Times" w:hAnsi="Times"/>
          <w:color w:val="000000" w:themeColor="text1"/>
          <w:lang w:val="en-GB"/>
        </w:rPr>
        <w:t xml:space="preserve"> &lt; 0.05.</w:t>
      </w:r>
      <w:bookmarkEnd w:id="0"/>
    </w:p>
    <w:sectPr w:rsidR="00FF3EC8" w:rsidRPr="00AD15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88"/>
    <w:rsid w:val="00095250"/>
    <w:rsid w:val="000A5F88"/>
    <w:rsid w:val="000D3E77"/>
    <w:rsid w:val="00211E05"/>
    <w:rsid w:val="0070494A"/>
    <w:rsid w:val="008E3633"/>
    <w:rsid w:val="009D44AA"/>
    <w:rsid w:val="00AD154F"/>
    <w:rsid w:val="00C363C1"/>
    <w:rsid w:val="00FE249F"/>
    <w:rsid w:val="00FF3E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4956B-F9C9-4CC2-A97D-599CDBE2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5F88"/>
    <w:pPr>
      <w:spacing w:after="0" w:line="240" w:lineRule="auto"/>
    </w:pPr>
    <w:rPr>
      <w:rFonts w:eastAsiaTheme="minorEastAsia"/>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1475</Words>
  <Characters>9293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Vera Warren</cp:lastModifiedBy>
  <cp:revision>9</cp:revision>
  <dcterms:created xsi:type="dcterms:W3CDTF">2019-07-12T09:18:00Z</dcterms:created>
  <dcterms:modified xsi:type="dcterms:W3CDTF">2019-08-13T10:02:00Z</dcterms:modified>
</cp:coreProperties>
</file>