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C8" w:rsidRDefault="003709C8" w:rsidP="003709C8">
      <w:pPr>
        <w:rPr>
          <w:b/>
          <w:lang w:val="en-US"/>
        </w:rPr>
      </w:pPr>
      <w:r>
        <w:rPr>
          <w:b/>
          <w:lang w:val="en-GB"/>
        </w:rPr>
        <w:t xml:space="preserve">Table </w:t>
      </w:r>
      <w:r w:rsidRPr="00B71669">
        <w:rPr>
          <w:b/>
          <w:lang w:val="en-GB"/>
        </w:rPr>
        <w:t>S</w:t>
      </w:r>
      <w:r>
        <w:rPr>
          <w:b/>
          <w:lang w:val="en-GB"/>
        </w:rPr>
        <w:t>2</w:t>
      </w:r>
      <w:r w:rsidRPr="00B71669">
        <w:rPr>
          <w:b/>
          <w:lang w:val="en-GB"/>
        </w:rPr>
        <w:t xml:space="preserve">. </w:t>
      </w:r>
      <w:r w:rsidRPr="00B71669">
        <w:rPr>
          <w:b/>
          <w:lang w:val="en-US"/>
        </w:rPr>
        <w:t xml:space="preserve">Odds of fetal fraction ≥4% according to gestational age and </w:t>
      </w:r>
      <w:r>
        <w:rPr>
          <w:b/>
          <w:lang w:val="en-US"/>
        </w:rPr>
        <w:t xml:space="preserve">maternal </w:t>
      </w:r>
      <w:r w:rsidRPr="00B71669">
        <w:rPr>
          <w:b/>
          <w:lang w:val="en-US"/>
        </w:rPr>
        <w:t>body mass index.</w:t>
      </w:r>
    </w:p>
    <w:p w:rsidR="003709C8" w:rsidRDefault="003709C8" w:rsidP="003709C8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072B83BE" wp14:editId="2B69C1A1">
            <wp:extent cx="5391148" cy="1367625"/>
            <wp:effectExtent l="0" t="0" r="63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72" cy="136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9C8" w:rsidRPr="00132E1A" w:rsidRDefault="003709C8" w:rsidP="003709C8">
      <w:pPr>
        <w:rPr>
          <w:b/>
          <w:lang w:val="en-US"/>
        </w:rPr>
      </w:pPr>
      <w:r w:rsidRPr="00831D3C">
        <w:rPr>
          <w:sz w:val="22"/>
          <w:lang w:val="en-US"/>
        </w:rPr>
        <w:t xml:space="preserve">The </w:t>
      </w:r>
      <w:r>
        <w:rPr>
          <w:sz w:val="22"/>
          <w:lang w:val="en-US"/>
        </w:rPr>
        <w:t>table is based on samples collected from euploid pregnancies (n=542 samples).</w:t>
      </w:r>
      <w:r w:rsidRPr="00831D3C">
        <w:rPr>
          <w:sz w:val="22"/>
          <w:lang w:val="en-US"/>
        </w:rPr>
        <w:t xml:space="preserve"> </w:t>
      </w:r>
    </w:p>
    <w:p w:rsidR="006866BC" w:rsidRPr="003709C8" w:rsidRDefault="003709C8" w:rsidP="003709C8">
      <w:pPr>
        <w:rPr>
          <w:lang w:val="en-US"/>
        </w:rPr>
      </w:pPr>
      <w:bookmarkStart w:id="0" w:name="_GoBack"/>
      <w:bookmarkEnd w:id="0"/>
    </w:p>
    <w:sectPr w:rsidR="006866BC" w:rsidRPr="003709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A"/>
    <w:rsid w:val="00027DEA"/>
    <w:rsid w:val="000D518C"/>
    <w:rsid w:val="003709C8"/>
    <w:rsid w:val="00481A74"/>
    <w:rsid w:val="0095380A"/>
    <w:rsid w:val="00981F19"/>
    <w:rsid w:val="00AF47CA"/>
    <w:rsid w:val="00F053B1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DC2B-A668-4B65-B6EC-075463A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Borregaard Miltoft</dc:creator>
  <cp:keywords/>
  <dc:description/>
  <cp:lastModifiedBy>Caroline Borregaard Miltoft</cp:lastModifiedBy>
  <cp:revision>2</cp:revision>
  <dcterms:created xsi:type="dcterms:W3CDTF">2018-08-29T12:37:00Z</dcterms:created>
  <dcterms:modified xsi:type="dcterms:W3CDTF">2018-08-29T12:37:00Z</dcterms:modified>
</cp:coreProperties>
</file>