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Figure S1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ab/>
        <w:t xml:space="preserve">Representative electrophoresis image of total RNA obtained by EUS-FNA. The integrity of the RNA samples purified was examined using an Agilent 2100 Bioanalyzer and RNA 6000 </w:t>
      </w:r>
      <w:proofErr w:type="spellStart"/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LabChip</w:t>
      </w:r>
      <w:proofErr w:type="spellEnd"/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Kit (Agilent Technologies). D</w:t>
      </w:r>
      <w:r w:rsidRPr="00021472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 xml:space="preserve">istinct peaks </w:t>
      </w: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representing </w:t>
      </w:r>
      <w:r w:rsidRPr="00021472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>of 18S and 28S rRNAs were observed in this sample</w:t>
      </w: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, indicating good RNA quality.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b/>
          <w:sz w:val="24"/>
          <w:szCs w:val="24"/>
        </w:rPr>
        <w:t>Figure S2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sz w:val="24"/>
          <w:szCs w:val="24"/>
        </w:rPr>
        <w:tab/>
        <w:t>Kaplan-Meier survival curves for 13 PDAC patients plotted for (A) miR-296-5p and (B) miR-1207-5p. Kaplan-Meier</w:t>
      </w:r>
      <w:r w:rsidRPr="00021472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021472">
        <w:rPr>
          <w:rFonts w:asciiTheme="majorHAnsi" w:eastAsiaTheme="majorEastAsia" w:hAnsiTheme="majorHAnsi" w:cstheme="majorHAnsi"/>
          <w:sz w:val="24"/>
          <w:szCs w:val="24"/>
        </w:rPr>
        <w:t xml:space="preserve">survival curves were analyzed with GraphPad Prism V8.0. The p value was calculated using the log-rank test for </w:t>
      </w:r>
      <w:r w:rsidRPr="00021472">
        <w:rPr>
          <w:rFonts w:asciiTheme="majorHAnsi" w:eastAsiaTheme="majorEastAsia" w:hAnsiTheme="majorHAnsi" w:cstheme="majorHAnsi" w:hint="eastAsia"/>
          <w:sz w:val="24"/>
          <w:szCs w:val="24"/>
        </w:rPr>
        <w:t xml:space="preserve">13 </w:t>
      </w:r>
      <w:r w:rsidRPr="00021472">
        <w:rPr>
          <w:rFonts w:asciiTheme="majorHAnsi" w:eastAsiaTheme="majorEastAsia" w:hAnsiTheme="majorHAnsi" w:cstheme="majorHAnsi"/>
          <w:sz w:val="24"/>
          <w:szCs w:val="24"/>
        </w:rPr>
        <w:t>patients with high- and low-expression of miR-296-5p and miR-1207-5p. p&lt;0.05</w:t>
      </w:r>
      <w:r w:rsidRPr="00021472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021472">
        <w:rPr>
          <w:rFonts w:asciiTheme="majorHAnsi" w:eastAsiaTheme="majorEastAsia" w:hAnsiTheme="majorHAnsi" w:cstheme="majorHAnsi"/>
          <w:sz w:val="24"/>
          <w:szCs w:val="24"/>
        </w:rPr>
        <w:t>indicates a significant difference between groups.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Figure S3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ab/>
        <w:t xml:space="preserve">Levels of mRNA expression for candidate target genes in pancreatic cancer cell lines transfected with miR-296-5p or miR-1207 mimic. (A) </w:t>
      </w:r>
      <w:r w:rsidRPr="00021472">
        <w:rPr>
          <w:rFonts w:asciiTheme="majorHAnsi" w:eastAsiaTheme="majorEastAsia" w:hAnsiTheme="majorHAnsi" w:cstheme="majorHAnsi"/>
          <w:i/>
          <w:color w:val="000000" w:themeColor="text1"/>
          <w:sz w:val="24"/>
          <w:szCs w:val="24"/>
        </w:rPr>
        <w:t>BOK</w:t>
      </w: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and </w:t>
      </w:r>
      <w:r w:rsidRPr="00021472">
        <w:rPr>
          <w:rFonts w:asciiTheme="majorHAnsi" w:eastAsiaTheme="majorEastAsia" w:hAnsiTheme="majorHAnsi" w:cstheme="majorHAnsi"/>
          <w:i/>
          <w:color w:val="000000" w:themeColor="text1"/>
          <w:sz w:val="24"/>
          <w:szCs w:val="24"/>
        </w:rPr>
        <w:t>NUMBL</w:t>
      </w: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mRNA levels in PANC-1, MIA PaCa-2, and PK-8 cells transfected with miR-296-5p or control mimic were determined by </w:t>
      </w:r>
      <w:proofErr w:type="spellStart"/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Taqman</w:t>
      </w:r>
      <w:proofErr w:type="spellEnd"/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qPCR. (B) CD276 and ATP11A mRNA levels in PANC-1, MIA PaCa-2, and PK-8 cells transfected with 1207-5p or control mimic were determined by Taman qPCR. Data are </w:t>
      </w:r>
      <w:r w:rsidRPr="00021472">
        <w:rPr>
          <w:rFonts w:asciiTheme="majorHAnsi" w:eastAsiaTheme="majorEastAsia" w:hAnsiTheme="majorHAnsi" w:cstheme="majorHAnsi"/>
          <w:bCs/>
          <w:color w:val="000000" w:themeColor="text1"/>
          <w:sz w:val="24"/>
          <w:szCs w:val="24"/>
        </w:rPr>
        <w:t>expressed as</w:t>
      </w: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ratios relative to </w:t>
      </w:r>
      <w:r w:rsidRPr="00021472">
        <w:rPr>
          <w:rFonts w:asciiTheme="majorHAnsi" w:eastAsiaTheme="majorEastAsia" w:hAnsiTheme="majorHAnsi" w:cstheme="majorHAnsi"/>
          <w:bCs/>
          <w:color w:val="000000" w:themeColor="text1"/>
          <w:sz w:val="24"/>
          <w:szCs w:val="24"/>
        </w:rPr>
        <w:t>control</w:t>
      </w: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cells. NC; negative control.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Figure S4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ab/>
        <w:t xml:space="preserve">The targeted sequences of miR-296-5p in the 3’-untranslated region (UTR) of the </w:t>
      </w:r>
      <w:r w:rsidRPr="00021472">
        <w:rPr>
          <w:rFonts w:asciiTheme="majorHAnsi" w:eastAsiaTheme="majorEastAsia" w:hAnsiTheme="majorHAnsi" w:cstheme="majorHAnsi"/>
          <w:i/>
          <w:color w:val="000000" w:themeColor="text1"/>
          <w:sz w:val="24"/>
          <w:szCs w:val="24"/>
        </w:rPr>
        <w:t>BOK</w:t>
      </w: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gene. The nucleotide sequences in the 3’-UTR of </w:t>
      </w:r>
      <w:r w:rsidRPr="00021472">
        <w:rPr>
          <w:rFonts w:asciiTheme="majorHAnsi" w:eastAsiaTheme="majorEastAsia" w:hAnsiTheme="majorHAnsi" w:cstheme="majorHAnsi"/>
          <w:i/>
          <w:color w:val="000000" w:themeColor="text1"/>
          <w:sz w:val="24"/>
          <w:szCs w:val="24"/>
        </w:rPr>
        <w:t>BOK</w:t>
      </w: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that matched the miR-296-5p sequence were examined using the </w:t>
      </w:r>
      <w:proofErr w:type="spellStart"/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miRDB</w:t>
      </w:r>
      <w:proofErr w:type="spellEnd"/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. </w:t>
      </w:r>
      <w:r w:rsidRPr="00021472">
        <w:rPr>
          <w:rFonts w:asciiTheme="majorHAnsi" w:eastAsia="MS Gothic" w:hAnsiTheme="majorHAnsi" w:cstheme="majorHAnsi"/>
          <w:color w:val="000000" w:themeColor="text1"/>
          <w:sz w:val="24"/>
          <w:szCs w:val="24"/>
        </w:rPr>
        <w:t xml:space="preserve">Seven core sequence of mature miR-296-5p (GGGGCCC) was </w:t>
      </w:r>
      <w:r w:rsidRPr="00021472">
        <w:rPr>
          <w:rFonts w:asciiTheme="majorHAnsi" w:eastAsia="MS Gothic" w:hAnsiTheme="majorHAnsi" w:cstheme="majorHAnsi"/>
          <w:color w:val="000000" w:themeColor="text1"/>
          <w:sz w:val="24"/>
          <w:szCs w:val="24"/>
        </w:rPr>
        <w:lastRenderedPageBreak/>
        <w:t>found at 17 sites and is shown in blue</w:t>
      </w:r>
      <w:r w:rsidRPr="00021472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.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b/>
          <w:sz w:val="24"/>
          <w:szCs w:val="24"/>
        </w:rPr>
        <w:t>Figure S5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sz w:val="24"/>
          <w:szCs w:val="24"/>
        </w:rPr>
        <w:tab/>
        <w:t xml:space="preserve">Cell invasion capability induced by transfection of miR-296-5p in PK-1 cells. The invasion capability of cells transfected with miR-296-5p or control mimic was determined using a </w:t>
      </w:r>
      <w:proofErr w:type="spellStart"/>
      <w:r w:rsidRPr="00021472">
        <w:rPr>
          <w:rFonts w:asciiTheme="majorHAnsi" w:eastAsiaTheme="majorEastAsia" w:hAnsiTheme="majorHAnsi" w:cstheme="majorHAnsi"/>
          <w:sz w:val="24"/>
          <w:szCs w:val="24"/>
        </w:rPr>
        <w:t>CytoSelect</w:t>
      </w:r>
      <w:proofErr w:type="spellEnd"/>
      <w:r w:rsidRPr="00021472">
        <w:rPr>
          <w:rFonts w:asciiTheme="majorHAnsi" w:eastAsiaTheme="majorEastAsia" w:hAnsiTheme="majorHAnsi" w:cstheme="majorHAnsi"/>
          <w:sz w:val="24"/>
          <w:szCs w:val="24"/>
        </w:rPr>
        <w:t xml:space="preserve"> 24-well cell invasion assay kit. The invading cells were stained, lysed, and quantified by measuring optical density (OD) at 560 nm.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b/>
          <w:sz w:val="24"/>
          <w:szCs w:val="24"/>
        </w:rPr>
        <w:t>Figure S6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sz w:val="24"/>
          <w:szCs w:val="24"/>
        </w:rPr>
        <w:tab/>
        <w:t>miR-296-5p affected 5-FU-induced apoptosis in MIA PaCa-2 cells.</w:t>
      </w:r>
      <w:r w:rsidRPr="00021472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021472">
        <w:rPr>
          <w:rFonts w:asciiTheme="majorHAnsi" w:eastAsiaTheme="majorEastAsia" w:hAnsiTheme="majorHAnsi" w:cstheme="majorHAnsi"/>
          <w:sz w:val="24"/>
          <w:szCs w:val="24"/>
        </w:rPr>
        <w:t xml:space="preserve">Caspase-9 and cleaved caspase-9 were detected by Western blotting in MIA PaCa-2 cells transfected with miR-296-5p or control miRNA mimic (NC) treated with 5-fluorouracil (5-FU). MIA PaCa-2 cells were transfected with miR-296-5p or control mimic and incubated with 100 </w:t>
      </w:r>
      <w:r w:rsidRPr="00021472">
        <w:rPr>
          <w:rFonts w:ascii="Symbol" w:eastAsiaTheme="majorEastAsia" w:hAnsi="Symbol" w:cstheme="majorHAnsi"/>
          <w:sz w:val="24"/>
          <w:szCs w:val="24"/>
        </w:rPr>
        <w:t></w:t>
      </w:r>
      <w:r w:rsidRPr="00021472">
        <w:rPr>
          <w:rFonts w:asciiTheme="majorHAnsi" w:eastAsiaTheme="majorEastAsia" w:hAnsiTheme="majorHAnsi" w:cstheme="majorHAnsi"/>
          <w:sz w:val="24"/>
          <w:szCs w:val="24"/>
        </w:rPr>
        <w:t xml:space="preserve">M 5-FU. The cells were then </w:t>
      </w:r>
      <w:proofErr w:type="gramStart"/>
      <w:r w:rsidRPr="00021472">
        <w:rPr>
          <w:rFonts w:asciiTheme="majorHAnsi" w:eastAsiaTheme="majorEastAsia" w:hAnsiTheme="majorHAnsi" w:cstheme="majorHAnsi"/>
          <w:sz w:val="24"/>
          <w:szCs w:val="24"/>
        </w:rPr>
        <w:t>lysed</w:t>
      </w:r>
      <w:proofErr w:type="gramEnd"/>
      <w:r w:rsidRPr="00021472">
        <w:rPr>
          <w:rFonts w:asciiTheme="majorHAnsi" w:eastAsiaTheme="majorEastAsia" w:hAnsiTheme="majorHAnsi" w:cstheme="majorHAnsi"/>
          <w:sz w:val="24"/>
          <w:szCs w:val="24"/>
        </w:rPr>
        <w:t xml:space="preserve"> and Western blot analysis was performed as described in Materials and Methods. BOK protein was analyzed using the same samples. </w:t>
      </w:r>
      <w:r w:rsidRPr="00021472">
        <w:rPr>
          <w:rFonts w:ascii="Symbol" w:eastAsiaTheme="majorEastAsia" w:hAnsi="Symbol" w:cstheme="majorHAnsi"/>
          <w:sz w:val="24"/>
          <w:szCs w:val="24"/>
        </w:rPr>
        <w:t></w:t>
      </w:r>
      <w:r w:rsidRPr="00021472">
        <w:rPr>
          <w:rFonts w:asciiTheme="majorHAnsi" w:eastAsiaTheme="majorEastAsia" w:hAnsiTheme="majorHAnsi" w:cstheme="majorHAnsi"/>
          <w:sz w:val="24"/>
          <w:szCs w:val="24"/>
        </w:rPr>
        <w:t>-actin was used as a control. MW; molecular weight.</w:t>
      </w: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</w:p>
    <w:p w:rsidR="00F53CC6" w:rsidRPr="00021472" w:rsidRDefault="00F53CC6" w:rsidP="00F53CC6">
      <w:pPr>
        <w:snapToGrid w:val="0"/>
        <w:spacing w:line="480" w:lineRule="auto"/>
        <w:jc w:val="left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21472">
        <w:rPr>
          <w:rFonts w:asciiTheme="majorHAnsi" w:eastAsiaTheme="majorEastAsia" w:hAnsiTheme="majorHAnsi" w:cstheme="majorHAnsi"/>
          <w:b/>
          <w:sz w:val="24"/>
          <w:szCs w:val="24"/>
        </w:rPr>
        <w:t>Figure S7</w:t>
      </w:r>
    </w:p>
    <w:p w:rsidR="00F17F04" w:rsidRDefault="00F53CC6" w:rsidP="00F53CC6">
      <w:r w:rsidRPr="00021472">
        <w:rPr>
          <w:rFonts w:asciiTheme="majorHAnsi" w:eastAsiaTheme="majorEastAsia" w:hAnsiTheme="majorHAnsi" w:cstheme="majorHAnsi"/>
          <w:sz w:val="24"/>
          <w:szCs w:val="24"/>
        </w:rPr>
        <w:tab/>
        <w:t>miR-296-5p affected GEM-induced apoptosis in PANC-1 cells.</w:t>
      </w:r>
      <w:r w:rsidRPr="00021472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021472">
        <w:rPr>
          <w:rFonts w:asciiTheme="majorHAnsi" w:eastAsiaTheme="majorEastAsia" w:hAnsiTheme="majorHAnsi" w:cstheme="majorHAnsi"/>
          <w:sz w:val="24"/>
          <w:szCs w:val="24"/>
        </w:rPr>
        <w:t xml:space="preserve">Caspase-9 and cleaved caspase-9 were detected by Western blotting in PANC-1 cells transfected with miR-296-5p or control miRNA mimic (NC) treated with gemcitabine (GEM). PANC-1 cells were transfected with miR-296-5p or control mimic and incubated with 30 </w:t>
      </w:r>
      <w:r w:rsidRPr="00021472">
        <w:rPr>
          <w:rFonts w:ascii="Symbol" w:eastAsiaTheme="majorEastAsia" w:hAnsi="Symbol" w:cstheme="majorHAnsi"/>
          <w:sz w:val="24"/>
          <w:szCs w:val="24"/>
        </w:rPr>
        <w:t></w:t>
      </w:r>
      <w:r w:rsidRPr="00021472">
        <w:rPr>
          <w:rFonts w:asciiTheme="majorHAnsi" w:eastAsiaTheme="majorEastAsia" w:hAnsiTheme="majorHAnsi" w:cstheme="majorHAnsi"/>
          <w:sz w:val="24"/>
          <w:szCs w:val="24"/>
        </w:rPr>
        <w:t xml:space="preserve">M GEM. The cells were then </w:t>
      </w:r>
      <w:proofErr w:type="gramStart"/>
      <w:r w:rsidRPr="00021472">
        <w:rPr>
          <w:rFonts w:asciiTheme="majorHAnsi" w:eastAsiaTheme="majorEastAsia" w:hAnsiTheme="majorHAnsi" w:cstheme="majorHAnsi"/>
          <w:sz w:val="24"/>
          <w:szCs w:val="24"/>
        </w:rPr>
        <w:t>lysed</w:t>
      </w:r>
      <w:proofErr w:type="gramEnd"/>
      <w:r w:rsidRPr="00021472">
        <w:rPr>
          <w:rFonts w:asciiTheme="majorHAnsi" w:eastAsiaTheme="majorEastAsia" w:hAnsiTheme="majorHAnsi" w:cstheme="majorHAnsi"/>
          <w:sz w:val="24"/>
          <w:szCs w:val="24"/>
        </w:rPr>
        <w:t xml:space="preserve"> and Western blot analysis was performed as described in Materials and Methods. BOK protein was analyzed using the same samples. </w:t>
      </w:r>
      <w:r w:rsidRPr="00021472">
        <w:rPr>
          <w:rFonts w:ascii="Symbol" w:eastAsiaTheme="majorEastAsia" w:hAnsi="Symbol" w:cstheme="majorHAnsi"/>
          <w:sz w:val="24"/>
          <w:szCs w:val="24"/>
        </w:rPr>
        <w:t></w:t>
      </w:r>
      <w:r w:rsidRPr="00021472">
        <w:rPr>
          <w:rFonts w:asciiTheme="majorHAnsi" w:eastAsiaTheme="majorEastAsia" w:hAnsiTheme="majorHAnsi" w:cstheme="majorHAnsi"/>
          <w:sz w:val="24"/>
          <w:szCs w:val="24"/>
        </w:rPr>
        <w:t>-actin was used as a control. MW; molecular weight.</w:t>
      </w:r>
      <w:bookmarkStart w:id="0" w:name="_GoBack"/>
      <w:bookmarkEnd w:id="0"/>
    </w:p>
    <w:sectPr w:rsidR="00F17F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C6"/>
    <w:rsid w:val="00F17F04"/>
    <w:rsid w:val="00F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1D259-E8D3-442D-B5D9-72069F46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3CC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Schlenker</dc:creator>
  <cp:keywords/>
  <dc:description/>
  <cp:lastModifiedBy>Anais Schlenker</cp:lastModifiedBy>
  <cp:revision>1</cp:revision>
  <dcterms:created xsi:type="dcterms:W3CDTF">2019-09-09T12:22:00Z</dcterms:created>
  <dcterms:modified xsi:type="dcterms:W3CDTF">2019-09-09T12:22:00Z</dcterms:modified>
</cp:coreProperties>
</file>