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09" w:rsidRPr="00F20366" w:rsidRDefault="00F20366" w:rsidP="00E77AA0">
      <w:pPr>
        <w:pStyle w:val="Caption"/>
        <w:keepNext/>
        <w:spacing w:line="480" w:lineRule="auto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bookmarkStart w:id="0" w:name="_GoBack"/>
      <w:bookmarkEnd w:id="0"/>
      <w:r w:rsidRPr="00F20366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Supplementa</w:t>
      </w:r>
      <w:r w:rsidR="009D6C9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l</w:t>
      </w:r>
      <w:r w:rsidRPr="00F20366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  <w:r w:rsidR="007B5809" w:rsidRPr="00F20366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Table </w:t>
      </w:r>
      <w:r w:rsidR="00EA3BEC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2</w:t>
      </w:r>
      <w:r w:rsidRPr="00F20366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: </w:t>
      </w:r>
      <w:r w:rsidR="00E31D55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M</w:t>
      </w:r>
      <w:r w:rsidR="00E31D55" w:rsidRPr="00E31D55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ean LH, pulse frequency, and pulse amplitude</w:t>
      </w:r>
      <w:r w:rsidR="00E31D55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in OVX + E mice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219"/>
        <w:gridCol w:w="1843"/>
        <w:gridCol w:w="2070"/>
      </w:tblGrid>
      <w:tr w:rsidR="007B5809" w:rsidTr="00E77AA0">
        <w:trPr>
          <w:trHeight w:val="395"/>
        </w:trPr>
        <w:tc>
          <w:tcPr>
            <w:tcW w:w="1963" w:type="dxa"/>
          </w:tcPr>
          <w:p w:rsidR="007B5809" w:rsidRDefault="007B5809" w:rsidP="007A1F7E">
            <w:r>
              <w:t>OVX</w:t>
            </w:r>
          </w:p>
        </w:tc>
        <w:tc>
          <w:tcPr>
            <w:tcW w:w="2219" w:type="dxa"/>
          </w:tcPr>
          <w:p w:rsidR="007B5809" w:rsidRDefault="007B5809" w:rsidP="007A1F7E">
            <w:pPr>
              <w:jc w:val="center"/>
            </w:pPr>
            <w:r w:rsidRPr="007B5809">
              <w:t>Mean LH (ng/mL)</w:t>
            </w:r>
          </w:p>
        </w:tc>
        <w:tc>
          <w:tcPr>
            <w:tcW w:w="1843" w:type="dxa"/>
          </w:tcPr>
          <w:p w:rsidR="007B5809" w:rsidRDefault="00E77AA0" w:rsidP="007A1F7E">
            <w:pPr>
              <w:jc w:val="center"/>
            </w:pPr>
            <w:r>
              <w:t>Pulses/90 min</w:t>
            </w:r>
          </w:p>
        </w:tc>
        <w:tc>
          <w:tcPr>
            <w:tcW w:w="2070" w:type="dxa"/>
          </w:tcPr>
          <w:p w:rsidR="007B5809" w:rsidRDefault="00E77AA0" w:rsidP="007A1F7E">
            <w:pPr>
              <w:jc w:val="center"/>
            </w:pPr>
            <w:r>
              <w:t>Amplitude (ng/mL)</w:t>
            </w:r>
          </w:p>
        </w:tc>
      </w:tr>
      <w:tr w:rsidR="007B5809" w:rsidTr="00E77AA0">
        <w:trPr>
          <w:trHeight w:hRule="exact" w:val="504"/>
        </w:trPr>
        <w:tc>
          <w:tcPr>
            <w:tcW w:w="1963" w:type="dxa"/>
          </w:tcPr>
          <w:p w:rsidR="007B5809" w:rsidRDefault="007B5809" w:rsidP="00E77AA0">
            <w:pPr>
              <w:jc w:val="right"/>
            </w:pPr>
            <w:r>
              <w:t>0 ng E</w:t>
            </w:r>
          </w:p>
        </w:tc>
        <w:tc>
          <w:tcPr>
            <w:tcW w:w="2219" w:type="dxa"/>
          </w:tcPr>
          <w:p w:rsidR="007B5809" w:rsidRPr="00E77AA0" w:rsidRDefault="00E77AA0" w:rsidP="007A1F7E">
            <w:pPr>
              <w:rPr>
                <w:szCs w:val="22"/>
              </w:rPr>
            </w:pPr>
            <w:r w:rsidRPr="00E77AA0">
              <w:rPr>
                <w:szCs w:val="22"/>
              </w:rPr>
              <w:t>4.46 ± 0.29</w:t>
            </w:r>
            <w:r w:rsidRPr="00E77AA0">
              <w:rPr>
                <w:szCs w:val="22"/>
                <w:vertAlign w:val="superscript"/>
              </w:rPr>
              <w:t>AB</w:t>
            </w:r>
          </w:p>
        </w:tc>
        <w:tc>
          <w:tcPr>
            <w:tcW w:w="1843" w:type="dxa"/>
          </w:tcPr>
          <w:p w:rsidR="007B5809" w:rsidRPr="00E77AA0" w:rsidRDefault="00E77AA0" w:rsidP="007B5809">
            <w:pPr>
              <w:spacing w:line="240" w:lineRule="auto"/>
              <w:rPr>
                <w:szCs w:val="22"/>
              </w:rPr>
            </w:pPr>
            <w:r w:rsidRPr="00E77AA0">
              <w:rPr>
                <w:szCs w:val="22"/>
              </w:rPr>
              <w:t>3.83 ± 0.17</w:t>
            </w:r>
            <w:r w:rsidRPr="00E77AA0">
              <w:rPr>
                <w:szCs w:val="22"/>
                <w:vertAlign w:val="superscript"/>
              </w:rPr>
              <w:t>A</w:t>
            </w:r>
          </w:p>
        </w:tc>
        <w:tc>
          <w:tcPr>
            <w:tcW w:w="2070" w:type="dxa"/>
          </w:tcPr>
          <w:p w:rsidR="007B5809" w:rsidRPr="00E77AA0" w:rsidRDefault="00E77AA0" w:rsidP="007A1F7E">
            <w:pPr>
              <w:rPr>
                <w:szCs w:val="22"/>
              </w:rPr>
            </w:pPr>
            <w:r w:rsidRPr="00E77AA0">
              <w:rPr>
                <w:color w:val="000000"/>
                <w:szCs w:val="22"/>
              </w:rPr>
              <w:t>1.78 ± 0.27</w:t>
            </w:r>
            <w:r w:rsidRPr="00E77AA0">
              <w:rPr>
                <w:color w:val="000000"/>
                <w:szCs w:val="22"/>
                <w:vertAlign w:val="superscript"/>
              </w:rPr>
              <w:t>A</w:t>
            </w:r>
            <w:r w:rsidRPr="00E77AA0">
              <w:rPr>
                <w:color w:val="000000"/>
                <w:szCs w:val="22"/>
              </w:rPr>
              <w:t xml:space="preserve"> </w:t>
            </w:r>
          </w:p>
        </w:tc>
      </w:tr>
      <w:tr w:rsidR="007B5809" w:rsidTr="00E77AA0">
        <w:trPr>
          <w:trHeight w:hRule="exact" w:val="504"/>
        </w:trPr>
        <w:tc>
          <w:tcPr>
            <w:tcW w:w="1963" w:type="dxa"/>
          </w:tcPr>
          <w:p w:rsidR="007B5809" w:rsidRDefault="007B5809" w:rsidP="00E77AA0">
            <w:pPr>
              <w:tabs>
                <w:tab w:val="center" w:pos="873"/>
                <w:tab w:val="right" w:pos="1747"/>
              </w:tabs>
              <w:jc w:val="right"/>
            </w:pPr>
            <w:r>
              <w:t>20 ng E</w:t>
            </w:r>
          </w:p>
        </w:tc>
        <w:tc>
          <w:tcPr>
            <w:tcW w:w="2219" w:type="dxa"/>
          </w:tcPr>
          <w:p w:rsidR="00E77AA0" w:rsidRPr="00E77AA0" w:rsidRDefault="00E77AA0" w:rsidP="00E77AA0">
            <w:pPr>
              <w:rPr>
                <w:szCs w:val="22"/>
              </w:rPr>
            </w:pPr>
            <w:r w:rsidRPr="00E77AA0">
              <w:rPr>
                <w:szCs w:val="22"/>
              </w:rPr>
              <w:t>4.44 ± 0.13</w:t>
            </w:r>
            <w:r w:rsidRPr="00E77AA0">
              <w:rPr>
                <w:szCs w:val="22"/>
                <w:vertAlign w:val="superscript"/>
              </w:rPr>
              <w:t>AB</w:t>
            </w:r>
          </w:p>
          <w:p w:rsidR="007B5809" w:rsidRPr="00E77AA0" w:rsidRDefault="007B5809" w:rsidP="007A1F7E">
            <w:pPr>
              <w:rPr>
                <w:szCs w:val="22"/>
                <w:vertAlign w:val="superscript"/>
              </w:rPr>
            </w:pPr>
          </w:p>
        </w:tc>
        <w:tc>
          <w:tcPr>
            <w:tcW w:w="1843" w:type="dxa"/>
          </w:tcPr>
          <w:p w:rsidR="007B5809" w:rsidRPr="00E77AA0" w:rsidRDefault="00E77AA0" w:rsidP="007A1F7E">
            <w:pPr>
              <w:rPr>
                <w:szCs w:val="22"/>
              </w:rPr>
            </w:pPr>
            <w:r w:rsidRPr="00E77AA0">
              <w:rPr>
                <w:szCs w:val="22"/>
              </w:rPr>
              <w:t>4.25 ± 0.48</w:t>
            </w:r>
            <w:r w:rsidRPr="00E77AA0">
              <w:rPr>
                <w:szCs w:val="22"/>
                <w:vertAlign w:val="superscript"/>
              </w:rPr>
              <w:t>A</w:t>
            </w:r>
          </w:p>
        </w:tc>
        <w:tc>
          <w:tcPr>
            <w:tcW w:w="2070" w:type="dxa"/>
          </w:tcPr>
          <w:p w:rsidR="007B5809" w:rsidRPr="00E77AA0" w:rsidRDefault="00E77AA0" w:rsidP="007A1F7E">
            <w:pPr>
              <w:rPr>
                <w:szCs w:val="22"/>
                <w:vertAlign w:val="superscript"/>
              </w:rPr>
            </w:pPr>
            <w:r w:rsidRPr="00E77AA0">
              <w:rPr>
                <w:szCs w:val="22"/>
              </w:rPr>
              <w:t>2.78 ± 0.72</w:t>
            </w:r>
            <w:r w:rsidRPr="00E77AA0">
              <w:rPr>
                <w:szCs w:val="22"/>
                <w:vertAlign w:val="superscript"/>
              </w:rPr>
              <w:t>AB</w:t>
            </w:r>
          </w:p>
        </w:tc>
      </w:tr>
      <w:tr w:rsidR="007B5809" w:rsidTr="00E77AA0">
        <w:trPr>
          <w:trHeight w:hRule="exact" w:val="504"/>
        </w:trPr>
        <w:tc>
          <w:tcPr>
            <w:tcW w:w="1963" w:type="dxa"/>
          </w:tcPr>
          <w:p w:rsidR="007B5809" w:rsidRDefault="007B5809" w:rsidP="00E77AA0">
            <w:pPr>
              <w:jc w:val="right"/>
            </w:pPr>
            <w:r>
              <w:t>40 ng E</w:t>
            </w:r>
          </w:p>
        </w:tc>
        <w:tc>
          <w:tcPr>
            <w:tcW w:w="2219" w:type="dxa"/>
          </w:tcPr>
          <w:p w:rsidR="007B5809" w:rsidRPr="00E77AA0" w:rsidRDefault="00E77AA0" w:rsidP="007A1F7E">
            <w:pPr>
              <w:rPr>
                <w:szCs w:val="22"/>
              </w:rPr>
            </w:pPr>
            <w:r w:rsidRPr="00E77AA0">
              <w:rPr>
                <w:szCs w:val="22"/>
              </w:rPr>
              <w:t>5.49 ± 0.33</w:t>
            </w:r>
            <w:r w:rsidRPr="00E77AA0">
              <w:rPr>
                <w:szCs w:val="22"/>
                <w:vertAlign w:val="superscript"/>
              </w:rPr>
              <w:t>A</w:t>
            </w:r>
          </w:p>
        </w:tc>
        <w:tc>
          <w:tcPr>
            <w:tcW w:w="1843" w:type="dxa"/>
          </w:tcPr>
          <w:p w:rsidR="007B5809" w:rsidRPr="00E77AA0" w:rsidRDefault="00E77AA0" w:rsidP="007A1F7E">
            <w:pPr>
              <w:rPr>
                <w:szCs w:val="22"/>
                <w:vertAlign w:val="superscript"/>
              </w:rPr>
            </w:pPr>
            <w:r w:rsidRPr="00E77AA0">
              <w:rPr>
                <w:szCs w:val="22"/>
              </w:rPr>
              <w:t>5.00 ± 0.00</w:t>
            </w:r>
            <w:r w:rsidRPr="00E77AA0">
              <w:rPr>
                <w:szCs w:val="22"/>
                <w:vertAlign w:val="superscript"/>
              </w:rPr>
              <w:t>A</w:t>
            </w:r>
          </w:p>
        </w:tc>
        <w:tc>
          <w:tcPr>
            <w:tcW w:w="2070" w:type="dxa"/>
          </w:tcPr>
          <w:p w:rsidR="007B5809" w:rsidRPr="00E77AA0" w:rsidRDefault="00E77AA0" w:rsidP="007A1F7E">
            <w:pPr>
              <w:rPr>
                <w:szCs w:val="22"/>
                <w:vertAlign w:val="superscript"/>
              </w:rPr>
            </w:pPr>
            <w:r w:rsidRPr="00E77AA0">
              <w:rPr>
                <w:szCs w:val="22"/>
              </w:rPr>
              <w:t>3.14 ± 0.28</w:t>
            </w:r>
            <w:r w:rsidRPr="00E77AA0">
              <w:rPr>
                <w:szCs w:val="22"/>
                <w:vertAlign w:val="superscript"/>
              </w:rPr>
              <w:t>B</w:t>
            </w:r>
          </w:p>
        </w:tc>
      </w:tr>
      <w:tr w:rsidR="007B5809" w:rsidTr="00E77AA0">
        <w:trPr>
          <w:trHeight w:hRule="exact" w:val="504"/>
        </w:trPr>
        <w:tc>
          <w:tcPr>
            <w:tcW w:w="1963" w:type="dxa"/>
          </w:tcPr>
          <w:p w:rsidR="007B5809" w:rsidRDefault="007B5809" w:rsidP="00E77AA0">
            <w:pPr>
              <w:jc w:val="right"/>
            </w:pPr>
            <w:r>
              <w:t>100 ng E</w:t>
            </w:r>
          </w:p>
        </w:tc>
        <w:tc>
          <w:tcPr>
            <w:tcW w:w="2219" w:type="dxa"/>
          </w:tcPr>
          <w:p w:rsidR="007B5809" w:rsidRPr="00E77AA0" w:rsidRDefault="00E77AA0" w:rsidP="007B5809">
            <w:pPr>
              <w:rPr>
                <w:szCs w:val="22"/>
              </w:rPr>
            </w:pPr>
            <w:r w:rsidRPr="00E77AA0">
              <w:rPr>
                <w:szCs w:val="22"/>
              </w:rPr>
              <w:t>3.31 ± 0.31</w:t>
            </w:r>
            <w:r w:rsidRPr="00E77AA0">
              <w:rPr>
                <w:szCs w:val="22"/>
                <w:vertAlign w:val="superscript"/>
              </w:rPr>
              <w:t>B</w:t>
            </w:r>
          </w:p>
        </w:tc>
        <w:tc>
          <w:tcPr>
            <w:tcW w:w="1843" w:type="dxa"/>
          </w:tcPr>
          <w:p w:rsidR="007B5809" w:rsidRPr="00E77AA0" w:rsidRDefault="00E77AA0" w:rsidP="007B5809">
            <w:pPr>
              <w:rPr>
                <w:szCs w:val="22"/>
              </w:rPr>
            </w:pPr>
            <w:r w:rsidRPr="00E77AA0">
              <w:rPr>
                <w:szCs w:val="22"/>
              </w:rPr>
              <w:t>2.82 ± 0.20</w:t>
            </w:r>
            <w:r w:rsidRPr="00E77AA0">
              <w:rPr>
                <w:szCs w:val="22"/>
                <w:vertAlign w:val="superscript"/>
              </w:rPr>
              <w:t>B</w:t>
            </w:r>
          </w:p>
        </w:tc>
        <w:tc>
          <w:tcPr>
            <w:tcW w:w="2070" w:type="dxa"/>
          </w:tcPr>
          <w:p w:rsidR="007B5809" w:rsidRPr="00E77AA0" w:rsidRDefault="00E77AA0" w:rsidP="007B5809">
            <w:pPr>
              <w:rPr>
                <w:szCs w:val="22"/>
              </w:rPr>
            </w:pPr>
            <w:r w:rsidRPr="00E77AA0">
              <w:rPr>
                <w:szCs w:val="22"/>
              </w:rPr>
              <w:t>2.69 ± 0.13</w:t>
            </w:r>
            <w:r w:rsidRPr="00E77AA0">
              <w:rPr>
                <w:szCs w:val="22"/>
                <w:vertAlign w:val="superscript"/>
              </w:rPr>
              <w:t>AB</w:t>
            </w:r>
          </w:p>
        </w:tc>
      </w:tr>
    </w:tbl>
    <w:p w:rsidR="00F20366" w:rsidRDefault="00F20366" w:rsidP="00F20366">
      <w:pPr>
        <w:rPr>
          <w:szCs w:val="22"/>
        </w:rPr>
      </w:pPr>
      <w:r w:rsidRPr="004177CB">
        <w:rPr>
          <w:szCs w:val="22"/>
        </w:rPr>
        <w:t xml:space="preserve">Values </w:t>
      </w:r>
      <w:r>
        <w:rPr>
          <w:szCs w:val="22"/>
        </w:rPr>
        <w:t xml:space="preserve">are mean ± SEM. </w:t>
      </w:r>
    </w:p>
    <w:p w:rsidR="00F20366" w:rsidRPr="00F20366" w:rsidRDefault="00F20366" w:rsidP="00F20366">
      <w:pPr>
        <w:rPr>
          <w:szCs w:val="22"/>
        </w:rPr>
      </w:pPr>
      <w:r>
        <w:rPr>
          <w:szCs w:val="22"/>
        </w:rPr>
        <w:t xml:space="preserve">Values </w:t>
      </w:r>
      <w:r w:rsidRPr="004177CB">
        <w:rPr>
          <w:szCs w:val="22"/>
        </w:rPr>
        <w:t xml:space="preserve">with </w:t>
      </w:r>
      <w:r>
        <w:rPr>
          <w:szCs w:val="22"/>
        </w:rPr>
        <w:t>unique</w:t>
      </w:r>
      <w:r w:rsidRPr="004177CB">
        <w:rPr>
          <w:szCs w:val="22"/>
        </w:rPr>
        <w:t xml:space="preserve"> superscripts </w:t>
      </w:r>
      <w:r>
        <w:rPr>
          <w:szCs w:val="22"/>
        </w:rPr>
        <w:t>are</w:t>
      </w:r>
      <w:r w:rsidRPr="004177CB">
        <w:rPr>
          <w:szCs w:val="22"/>
        </w:rPr>
        <w:t xml:space="preserve"> significant</w:t>
      </w:r>
      <w:r>
        <w:rPr>
          <w:szCs w:val="22"/>
        </w:rPr>
        <w:t>ly</w:t>
      </w:r>
      <w:r w:rsidRPr="004177CB">
        <w:rPr>
          <w:szCs w:val="22"/>
        </w:rPr>
        <w:t xml:space="preserve"> differen</w:t>
      </w:r>
      <w:r>
        <w:rPr>
          <w:szCs w:val="22"/>
        </w:rPr>
        <w:t xml:space="preserve">t </w:t>
      </w:r>
      <w:r w:rsidRPr="004177CB">
        <w:rPr>
          <w:szCs w:val="22"/>
        </w:rPr>
        <w:t>(</w:t>
      </w:r>
      <w:r w:rsidRPr="00F771D1">
        <w:rPr>
          <w:szCs w:val="22"/>
        </w:rPr>
        <w:t>p</w:t>
      </w:r>
      <w:r w:rsidRPr="004177CB">
        <w:rPr>
          <w:szCs w:val="22"/>
        </w:rPr>
        <w:t>&lt;0.05).</w:t>
      </w:r>
    </w:p>
    <w:sectPr w:rsidR="00F20366" w:rsidRPr="00F20366" w:rsidSect="00F20366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09"/>
    <w:rsid w:val="00456181"/>
    <w:rsid w:val="005353F4"/>
    <w:rsid w:val="007B5809"/>
    <w:rsid w:val="009D6C99"/>
    <w:rsid w:val="00E31D55"/>
    <w:rsid w:val="00E77AA0"/>
    <w:rsid w:val="00EA3BEC"/>
    <w:rsid w:val="00F20366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E394"/>
  <w15:chartTrackingRefBased/>
  <w15:docId w15:val="{A5CFC9F8-2D81-4720-AACF-6AE1CAEA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809"/>
    <w:pPr>
      <w:spacing w:after="0" w:line="48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B5809"/>
    <w:pPr>
      <w:spacing w:after="200" w:line="240" w:lineRule="auto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7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A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A0"/>
    <w:rPr>
      <w:rFonts w:ascii="Segoe UI" w:eastAsia="Times New Roman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2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Kreisman</dc:creator>
  <cp:keywords/>
  <dc:description/>
  <cp:lastModifiedBy>KBChurch</cp:lastModifiedBy>
  <cp:revision>3</cp:revision>
  <cp:lastPrinted>2019-06-05T15:15:00Z</cp:lastPrinted>
  <dcterms:created xsi:type="dcterms:W3CDTF">2019-07-15T18:34:00Z</dcterms:created>
  <dcterms:modified xsi:type="dcterms:W3CDTF">2019-07-15T18:34:00Z</dcterms:modified>
</cp:coreProperties>
</file>