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24C" w:rsidRPr="00FF6C32" w:rsidRDefault="00312DB1" w:rsidP="00312DB1">
      <w:pPr>
        <w:pStyle w:val="Title"/>
        <w:rPr>
          <w:rFonts w:eastAsia="Times New Roman"/>
          <w:lang w:val="en-US" w:eastAsia="de-CH"/>
        </w:rPr>
      </w:pPr>
      <w:r>
        <w:rPr>
          <w:rFonts w:eastAsia="Times New Roman"/>
          <w:lang w:val="en-US" w:eastAsia="de-CH"/>
        </w:rPr>
        <w:t>Supplementary Materials</w:t>
      </w:r>
    </w:p>
    <w:p w:rsidR="00312DB1" w:rsidRDefault="00312DB1" w:rsidP="00312DB1">
      <w:pPr>
        <w:spacing w:after="0" w:line="240" w:lineRule="auto"/>
        <w:jc w:val="both"/>
        <w:rPr>
          <w:rFonts w:eastAsia="Times New Roman" w:cs="Cambria"/>
          <w:b/>
        </w:rPr>
      </w:pPr>
    </w:p>
    <w:p w:rsidR="00977DA3" w:rsidRDefault="00977DA3" w:rsidP="00312DB1">
      <w:pPr>
        <w:spacing w:after="0" w:line="240" w:lineRule="auto"/>
        <w:jc w:val="both"/>
        <w:rPr>
          <w:rFonts w:eastAsia="Times New Roman" w:cs="Cambria"/>
          <w:b/>
        </w:rPr>
      </w:pPr>
    </w:p>
    <w:p w:rsidR="001E624C" w:rsidRPr="00070244" w:rsidRDefault="001E624C" w:rsidP="00312DB1">
      <w:pPr>
        <w:spacing w:after="0" w:line="240" w:lineRule="auto"/>
        <w:jc w:val="both"/>
        <w:rPr>
          <w:rFonts w:eastAsia="Times New Roman" w:cs="Cambria"/>
          <w:b/>
        </w:rPr>
      </w:pPr>
      <w:r w:rsidRPr="00070244">
        <w:rPr>
          <w:rFonts w:eastAsia="Times New Roman" w:cs="Cambria"/>
          <w:b/>
        </w:rPr>
        <w:t>Participants</w:t>
      </w:r>
    </w:p>
    <w:p w:rsidR="000D1F8D" w:rsidRDefault="001E624C" w:rsidP="00312DB1">
      <w:pPr>
        <w:spacing w:after="0" w:line="240" w:lineRule="auto"/>
        <w:jc w:val="both"/>
        <w:rPr>
          <w:rFonts w:eastAsia="Times New Roman" w:cs="Cambria"/>
        </w:rPr>
      </w:pPr>
      <w:r w:rsidRPr="00070244">
        <w:rPr>
          <w:rFonts w:eastAsia="Times New Roman" w:cs="Cambria"/>
        </w:rPr>
        <w:t xml:space="preserve">Participants were drawn from the English Longitudinal Study of Ageing (ELSA): a nationally-representative panel study of adults aged 50+ in the UK </w:t>
      </w:r>
      <w:r w:rsidRPr="00070244">
        <w:rPr>
          <w:rFonts w:eastAsia="Times New Roman" w:cs="Cambria"/>
        </w:rPr>
        <w:fldChar w:fldCharType="begin"/>
      </w:r>
      <w:r w:rsidR="000D1F8D">
        <w:rPr>
          <w:rFonts w:eastAsia="Times New Roman" w:cs="Cambria"/>
        </w:rPr>
        <w:instrText xml:space="preserve"> ADDIN ZOTERO_ITEM CSL_CITATION {"citationID":"JQ58OZ5n","properties":{"formattedCitation":"(1)","plainCitation":"(1)","noteIndex":0},"citationItems":[{"id":3426,"uris":["http://zotero.org/users/1416171/items/2DQ9U2KZ"],"uri":["http://zotero.org/users/1416171/items/2DQ9U2KZ"],"itemData":{"id":3426,"type":"article-journal","title":"Cohort Profile: The English Longitudinal Study of Ageing","container-title":"International Journal of Epidemiology","page":"1640-1648","volume":"42","issue":"6","source":"PubMed Central","abstract":"The English Longitudinal Study of Ageing (ELSA) is a panel study of a representative cohort of men and women living in England aged ≥50 years. It was designed as a sister study to the Health and Retirement Study in the USA and is multidisciplinary in orientation, involving the collection of economic, social, psychological, cognitive, health, biological and genetic data. The study commenced in 2002, and the sample has been followed up every 2 years. Data are collected using computer-assisted personal interviews and self-completion questionnaires, with additional nurse visits for the assessment of biomarkers every 4 years. The original sample consisted of 11 391 members ranging in age from 50 to 100 years. ELSA is harmonized with ageing studies in other countries to facilitate international comparisons, and is linked to financial and health registry data. The data set is openly available to researchers and analysts soon after collection (http://www.esds.ac.uk/longitudinal/access/elsa/l5050.asp).","DOI":"10.1093/ije/dys168","ISSN":"0300-5771","note":"PMID: 23143611\nPMCID: PMC3900867","title-short":"Cohort Profile","journalAbbreviation":"Int J Epidemiol","author":[{"family":"Steptoe","given":"Andrew"},{"family":"Breeze","given":"Elizabeth"},{"family":"Banks","given":"James"},{"family":"Nazroo","given":"James"}],"issued":{"date-parts":[["2013",12]]}}}],"schema":"https://github.com/citation-style-language/schema/raw/master/csl-citation.json"} </w:instrText>
      </w:r>
      <w:r w:rsidRPr="00070244">
        <w:rPr>
          <w:rFonts w:eastAsia="Times New Roman" w:cs="Cambria"/>
        </w:rPr>
        <w:fldChar w:fldCharType="separate"/>
      </w:r>
      <w:r w:rsidR="000D1F8D" w:rsidRPr="000D1F8D">
        <w:rPr>
          <w:rFonts w:cs="Calibri"/>
        </w:rPr>
        <w:t>(1)</w:t>
      </w:r>
      <w:r w:rsidRPr="00070244">
        <w:rPr>
          <w:rFonts w:eastAsia="Times New Roman" w:cs="Cambria"/>
        </w:rPr>
        <w:fldChar w:fldCharType="end"/>
      </w:r>
      <w:r w:rsidRPr="00070244">
        <w:rPr>
          <w:rFonts w:eastAsia="Times New Roman" w:cs="Cambria"/>
        </w:rPr>
        <w:t xml:space="preserve">. </w:t>
      </w:r>
      <w:r>
        <w:rPr>
          <w:rFonts w:eastAsia="Times New Roman" w:cs="Cambria"/>
        </w:rPr>
        <w:t xml:space="preserve">ELSA was </w:t>
      </w:r>
      <w:r>
        <w:t xml:space="preserve">designed as a stratified random sample of private </w:t>
      </w:r>
      <w:r w:rsidRPr="00E94830">
        <w:t xml:space="preserve">households drawn originally from 1998, 1999 and 2001 Health Survey for England (HSE) </w:t>
      </w:r>
      <w:r w:rsidRPr="00E94830">
        <w:fldChar w:fldCharType="begin" w:fldLock="1"/>
      </w:r>
      <w:r w:rsidR="000D1F8D">
        <w:instrText xml:space="preserve"> ADDIN ZOTERO_ITEM CSL_CITATION {"citationID":"yww9iUdE","properties":{"formattedCitation":"(2)","plainCitation":"(2)","noteIndex":0},"citationItems":[{"id":"Z6gCiUxi/9a7xS1or","uris":["http://www.mendeley.com/documents/?uuid=4490804e-5960-3799-991c-2fa9253f4dda"],"uri":["http://www.mendeley.com/documents/?uuid=4490804e-5960-3799-991c-2fa9253f4dda"],"itemData":{"DOI":"10.1093/ije/dys168","ISSN":"0300-5771","PMID":"23143611","abstract":"The English Longitudinal Study of Ageing (ELSA) is a panel study of a representative cohort of men and women living in England aged ≥50 years. It was designed as a sister study to the Health and Retirement Study in the USA and is multidisciplinary in orientation, involving the collection of economic, social, psychological, cognitive, health, biological and genetic data. The study commenced in 2002, and the sample has been followed up every 2 years. Data are collected using computer-assisted personal interviews and self-completion questionnaires, with additional nurse visits for the assessment of biomarkers every 4 years. The original sample consisted of 11 391 members ranging in age from 50 to 100 years. ELSA is harmonized with ageing studies in other countries to facilitate international comparisons, and is linked to financial and health registry data. The data set is openly available to researchers and analysts soon after collection (http://www.esds.ac.uk/longitudinal/access/elsa/l5050.asp).","author":[{"dropping-particle":"","family":"Steptoe","given":"A.","non-dropping-particle":"","parse-names":false,"suffix":""},{"dropping-particle":"","family":"Breeze","given":"E.","non-dropping-particle":"","parse-names":false,"suffix":""},{"dropping-particle":"","family":"Banks","given":"J.","non-dropping-particle":"","parse-names":false,"suffix":""},{"dropping-particle":"","family":"Nazroo","given":"J.","non-dropping-particle":"","parse-names":false,"suffix":""}],"container-title":"International Journal of Epidemiology","id":"ITEM-1","issue":"6","issued":{"date-parts":[["2013","12","1"]]},"page":"1640-1648","title":"Cohort Profile: The English Longitudinal Study of Ageing","type":"article-journal","volume":"42"}}],"schema":"https://github.com/citation-style-language/schema/raw/master/csl-citation.json"} </w:instrText>
      </w:r>
      <w:r w:rsidRPr="00E94830">
        <w:fldChar w:fldCharType="separate"/>
      </w:r>
      <w:r w:rsidR="000D1F8D" w:rsidRPr="000D1F8D">
        <w:rPr>
          <w:rFonts w:cs="Calibri"/>
        </w:rPr>
        <w:t>(2)</w:t>
      </w:r>
      <w:r w:rsidRPr="00E94830">
        <w:fldChar w:fldCharType="end"/>
      </w:r>
      <w:r>
        <w:t xml:space="preserve">. </w:t>
      </w:r>
      <w:r w:rsidRPr="00070244">
        <w:rPr>
          <w:rFonts w:eastAsia="Times New Roman" w:cs="Cambria"/>
        </w:rPr>
        <w:t xml:space="preserve">The study provides high quality longitudinal data that includes particularly rich data on physical and mental health, social relationships, cognitive function, economic circumstances, and biology. For this study, we used data from wave 2 (2004-2005) as baseline since it included the relevant variables for this analysis. This wave had a response rate of 82% (n=8,780) </w:t>
      </w:r>
      <w:r>
        <w:rPr>
          <w:rFonts w:eastAsia="Times New Roman" w:cs="Cambria"/>
        </w:rPr>
        <w:t xml:space="preserve">from core responders, </w:t>
      </w:r>
      <w:r w:rsidRPr="00070244">
        <w:rPr>
          <w:rFonts w:eastAsia="Times New Roman" w:cs="Cambria"/>
        </w:rPr>
        <w:t>and all were included in these analyses. Participants were then followed up biennially for the following 12 years to wave 8 (2016-2017</w:t>
      </w:r>
      <w:r w:rsidR="00022F48">
        <w:rPr>
          <w:rFonts w:eastAsia="Times New Roman" w:cs="Cambria"/>
        </w:rPr>
        <w:t>; a total of 7 waves of data collection</w:t>
      </w:r>
      <w:r w:rsidRPr="00070244">
        <w:rPr>
          <w:rFonts w:eastAsia="Times New Roman" w:cs="Cambria"/>
        </w:rPr>
        <w:t xml:space="preserve">), with missing data across waves imputed to preserve the full sample (see ‘statistics’). ELSA receives ethical approval from the National Research Ethics Service and all participants provided informed consent. </w:t>
      </w:r>
    </w:p>
    <w:p w:rsidR="00312DB1" w:rsidRPr="00070244" w:rsidRDefault="00312DB1" w:rsidP="00312DB1">
      <w:pPr>
        <w:spacing w:after="0" w:line="240" w:lineRule="auto"/>
        <w:jc w:val="both"/>
        <w:rPr>
          <w:rFonts w:eastAsia="Times New Roman" w:cs="Cambria"/>
        </w:rPr>
      </w:pPr>
    </w:p>
    <w:p w:rsidR="001E624C" w:rsidRPr="00070244" w:rsidRDefault="001E624C" w:rsidP="00312DB1">
      <w:pPr>
        <w:spacing w:after="0" w:line="240" w:lineRule="auto"/>
        <w:jc w:val="both"/>
        <w:rPr>
          <w:rFonts w:eastAsia="Times New Roman" w:cs="Cambria"/>
          <w:b/>
        </w:rPr>
      </w:pPr>
      <w:r w:rsidRPr="00070244">
        <w:rPr>
          <w:rFonts w:eastAsia="Times New Roman" w:cs="Cambria"/>
          <w:b/>
        </w:rPr>
        <w:t>Measures</w:t>
      </w:r>
    </w:p>
    <w:p w:rsidR="001E624C" w:rsidRDefault="001E624C" w:rsidP="00312DB1">
      <w:pPr>
        <w:spacing w:after="0" w:line="240" w:lineRule="auto"/>
        <w:jc w:val="both"/>
        <w:rPr>
          <w:rFonts w:eastAsia="Times New Roman" w:cs="Cambria"/>
        </w:rPr>
      </w:pPr>
      <w:r w:rsidRPr="00070244">
        <w:rPr>
          <w:rFonts w:eastAsia="Times New Roman" w:cs="Cambria"/>
        </w:rPr>
        <w:t xml:space="preserve">Depression was measured using the Centre for Epidemiological Studies Depression (CES-D) scale; a widely used self-report measure of depressive symptoms </w:t>
      </w:r>
      <w:r w:rsidRPr="00070244">
        <w:rPr>
          <w:rFonts w:eastAsia="Times New Roman" w:cs="Cambria"/>
        </w:rPr>
        <w:fldChar w:fldCharType="begin"/>
      </w:r>
      <w:r w:rsidR="000D1F8D">
        <w:rPr>
          <w:rFonts w:eastAsia="Times New Roman" w:cs="Cambria"/>
        </w:rPr>
        <w:instrText xml:space="preserve"> ADDIN ZOTERO_ITEM CSL_CITATION {"citationID":"bKLPByg4","properties":{"formattedCitation":"(3)","plainCitation":"(3)","noteIndex":0},"citationItems":[{"id":3302,"uris":["http://zotero.org/users/1416171/items/WEFK3SB7"],"uri":["http://zotero.org/users/1416171/items/WEFK3SB7"],"itemData":{"id":3302,"type":"article-journal","title":"The CES-D Scale: A Self-Report Depression Scale for Research in the General Population","container-title":"Applied Psychological Measurement","page":"385-401","volume":"1","issue":"3","source":"SAGE Journals","abstract":"The CES-D scale is a short self-report scale designed to measure depressive symptomatology in the general population. The items of the scale are symptoms associated with depression which have been used in previously validated longer scales. The new scale was tested in household interview surveys and in psychiatric settings. It was found to have very high internal consistency and adequate test- retest repeatability. Validity was established by pat terns of correlations with other self-report measures, by correlations with clinical ratings of depression, and by relationships with other variables which support its construct validity. Reliability, validity, and factor structure were similar across a wide variety of demographic characteristics in the general population samples tested. The scale should be a useful tool for epidemiologic studies of de pression.","DOI":"10.1177/014662167700100306","ISSN":"0146-6216","title-short":"The CES-D Scale","journalAbbreviation":"Applied Psychological Measurement","language":"en","author":[{"family":"Radloff","given":"Lenore Sawyer"}],"issued":{"date-parts":[["1977",6,1]]}}}],"schema":"https://github.com/citation-style-language/schema/raw/master/csl-citation.json"} </w:instrText>
      </w:r>
      <w:r w:rsidRPr="00070244">
        <w:rPr>
          <w:rFonts w:eastAsia="Times New Roman" w:cs="Cambria"/>
        </w:rPr>
        <w:fldChar w:fldCharType="separate"/>
      </w:r>
      <w:r w:rsidR="000D1F8D" w:rsidRPr="000D1F8D">
        <w:rPr>
          <w:rFonts w:cs="Calibri"/>
        </w:rPr>
        <w:t>(3)</w:t>
      </w:r>
      <w:r w:rsidRPr="00070244">
        <w:rPr>
          <w:rFonts w:eastAsia="Times New Roman" w:cs="Cambria"/>
        </w:rPr>
        <w:fldChar w:fldCharType="end"/>
      </w:r>
      <w:r w:rsidRPr="00070244">
        <w:rPr>
          <w:rFonts w:eastAsia="Times New Roman" w:cs="Cambria"/>
        </w:rPr>
        <w:t xml:space="preserve">. Analyses specifically involved the 8-item version, which has been found to have comparable psychometric properties to the full 20-item scale </w:t>
      </w:r>
      <w:r w:rsidRPr="00070244">
        <w:rPr>
          <w:rFonts w:eastAsia="Times New Roman" w:cs="Cambria"/>
        </w:rPr>
        <w:fldChar w:fldCharType="begin"/>
      </w:r>
      <w:r w:rsidR="000D1F8D">
        <w:rPr>
          <w:rFonts w:eastAsia="Times New Roman" w:cs="Cambria"/>
        </w:rPr>
        <w:instrText xml:space="preserve"> ADDIN ZOTERO_ITEM CSL_CITATION {"citationID":"xydwHwlg","properties":{"formattedCitation":"(4)","plainCitation":"(4)","noteIndex":0},"citationItems":[{"id":3754,"uris":["http://zotero.org/users/1416171/items/SM4PX569"],"uri":["http://zotero.org/users/1416171/items/SM4PX569"],"itemData":{"id":3754,"type":"article-journal","title":"A revised CES-D measure of depressive symptoms and a DSM-based measure of major depressive episodes in the elderly","container-title":"International Psychogeriatrics","page":"139-148","volume":"11","issue":"2","source":"PubMed","abstract":"This study examines the psychometric properties of two new abbreviated versions of standard measures of depression, a revised eight-item Center for Epidemiological Studies-Depression Scale (CES-D) and a short-form Composite International Diagnostic Interview (short-form CIDI). A sample of 6,133 elders, age 70 years or older, completed both measures as part of the Asset and Health Dynamics Study of the Oldest Old. The revised CES-D had an internal consistency and factor structure comparable to that of prior versions of the CES-D. The sources of discordance between the two measures were examined and the two measures were compared on self-report of four clinical variables: medical illness, physician diagnosis, psychiatric treatment, and antidepressant or tranquilizer use. Both measures were associated with self-report of physician diagnosis and psychiatric treatment. Respondents positive for depression on the CES-D reported higher rates of antidepressant use. Respondents positive on the short-form CIDI only did not report more antidepressant use than nondepressed respondents.","ISSN":"1041-6102","note":"PMID: 11475428","journalAbbreviation":"Int Psychogeriatr","language":"eng","author":[{"family":"Turvey","given":"C. L."},{"family":"Wallace","given":"R. B."},{"family":"Herzog","given":"R."}],"issued":{"date-parts":[["1999",6]]}}}],"schema":"https://github.com/citation-style-language/schema/raw/master/csl-citation.json"} </w:instrText>
      </w:r>
      <w:r w:rsidRPr="00070244">
        <w:rPr>
          <w:rFonts w:eastAsia="Times New Roman" w:cs="Cambria"/>
        </w:rPr>
        <w:fldChar w:fldCharType="separate"/>
      </w:r>
      <w:r w:rsidR="000D1F8D" w:rsidRPr="000D1F8D">
        <w:rPr>
          <w:rFonts w:cs="Calibri"/>
        </w:rPr>
        <w:t>(4)</w:t>
      </w:r>
      <w:r w:rsidRPr="00070244">
        <w:rPr>
          <w:rFonts w:eastAsia="Times New Roman" w:cs="Cambria"/>
        </w:rPr>
        <w:fldChar w:fldCharType="end"/>
      </w:r>
      <w:r w:rsidRPr="00070244">
        <w:rPr>
          <w:rFonts w:eastAsia="Times New Roman" w:cs="Cambria"/>
        </w:rPr>
        <w:t xml:space="preserve">. </w:t>
      </w:r>
      <w:r w:rsidR="00632F49">
        <w:rPr>
          <w:rFonts w:eastAsia="Times New Roman" w:cs="Cambria"/>
        </w:rPr>
        <w:t xml:space="preserve">In the most recent wave of ELSA, the Cronbach’s alpha for the scale is 0.75. </w:t>
      </w:r>
      <w:r w:rsidRPr="00070244">
        <w:rPr>
          <w:rFonts w:eastAsia="Times New Roman" w:cs="Cambria"/>
        </w:rPr>
        <w:t xml:space="preserve">The scale is used to measure general depressive symptoms, and also two specific thresholds have been proposed to denote the presence of depression and validated against standardised psychiatric interviews with older adults: a score of 3 and above </w:t>
      </w:r>
      <w:r w:rsidRPr="00070244">
        <w:rPr>
          <w:rFonts w:eastAsia="Times New Roman" w:cs="Cambria"/>
        </w:rPr>
        <w:fldChar w:fldCharType="begin"/>
      </w:r>
      <w:r w:rsidR="000D1F8D">
        <w:rPr>
          <w:rFonts w:eastAsia="Times New Roman" w:cs="Cambria"/>
        </w:rPr>
        <w:instrText xml:space="preserve"> ADDIN ZOTERO_ITEM CSL_CITATION {"citationID":"va1bjfmn","properties":{"formattedCitation":"(4)","plainCitation":"(4)","noteIndex":0},"citationItems":[{"id":3754,"uris":["http://zotero.org/users/1416171/items/SM4PX569"],"uri":["http://zotero.org/users/1416171/items/SM4PX569"],"itemData":{"id":3754,"type":"article-journal","title":"A revised CES-D measure of depressive symptoms and a DSM-based measure of major depressive episodes in the elderly","container-title":"International Psychogeriatrics","page":"139-148","volume":"11","issue":"2","source":"PubMed","abstract":"This study examines the psychometric properties of two new abbreviated versions of standard measures of depression, a revised eight-item Center for Epidemiological Studies-Depression Scale (CES-D) and a short-form Composite International Diagnostic Interview (short-form CIDI). A sample of 6,133 elders, age 70 years or older, completed both measures as part of the Asset and Health Dynamics Study of the Oldest Old. The revised CES-D had an internal consistency and factor structure comparable to that of prior versions of the CES-D. The sources of discordance between the two measures were examined and the two measures were compared on self-report of four clinical variables: medical illness, physician diagnosis, psychiatric treatment, and antidepressant or tranquilizer use. Both measures were associated with self-report of physician diagnosis and psychiatric treatment. Respondents positive for depression on the CES-D reported higher rates of antidepressant use. Respondents positive on the short-form CIDI only did not report more antidepressant use than nondepressed respondents.","ISSN":"1041-6102","note":"PMID: 11475428","journalAbbreviation":"Int Psychogeriatr","language":"eng","author":[{"family":"Turvey","given":"C. L."},{"family":"Wallace","given":"R. B."},{"family":"Herzog","given":"R."}],"issued":{"date-parts":[["1999",6]]}}}],"schema":"https://github.com/citation-style-language/schema/raw/master/csl-citation.json"} </w:instrText>
      </w:r>
      <w:r w:rsidRPr="00070244">
        <w:rPr>
          <w:rFonts w:eastAsia="Times New Roman" w:cs="Cambria"/>
        </w:rPr>
        <w:fldChar w:fldCharType="separate"/>
      </w:r>
      <w:r w:rsidR="000D1F8D" w:rsidRPr="000D1F8D">
        <w:rPr>
          <w:rFonts w:cs="Calibri"/>
        </w:rPr>
        <w:t>(4)</w:t>
      </w:r>
      <w:r w:rsidRPr="00070244">
        <w:rPr>
          <w:rFonts w:eastAsia="Times New Roman" w:cs="Cambria"/>
        </w:rPr>
        <w:fldChar w:fldCharType="end"/>
      </w:r>
      <w:r w:rsidRPr="00070244">
        <w:rPr>
          <w:rFonts w:eastAsia="Times New Roman" w:cs="Cambria"/>
        </w:rPr>
        <w:t xml:space="preserve">, and 4 and above </w:t>
      </w:r>
      <w:r w:rsidRPr="00070244">
        <w:rPr>
          <w:rFonts w:eastAsia="Times New Roman" w:cs="Cambria"/>
        </w:rPr>
        <w:fldChar w:fldCharType="begin"/>
      </w:r>
      <w:r w:rsidR="000D1F8D">
        <w:rPr>
          <w:rFonts w:eastAsia="Times New Roman" w:cs="Cambria"/>
        </w:rPr>
        <w:instrText xml:space="preserve"> ADDIN ZOTERO_ITEM CSL_CITATION {"citationID":"oXv1Ogv8","properties":{"formattedCitation":"(5)","plainCitation":"(5)","noteIndex":0},"citationItems":[{"id":3753,"uris":["http://zotero.org/users/1416171/items/32UEN7IV"],"uri":["http://zotero.org/users/1416171/items/32UEN7IV"],"itemData":{"id":3753,"type":"article-journal","title":"Documentation of affective functioning measures in the Health and Retirement Study","container-title":"Ann Arbor, MI: HRS Health Working Group","source":"Google Scholar","author":[{"family":"Steffick","given":"Diane E."}],"issued":{"date-parts":[["2000"]]}}}],"schema":"https://github.com/citation-style-language/schema/raw/master/csl-citation.json"} </w:instrText>
      </w:r>
      <w:r w:rsidRPr="00070244">
        <w:rPr>
          <w:rFonts w:eastAsia="Times New Roman" w:cs="Cambria"/>
        </w:rPr>
        <w:fldChar w:fldCharType="separate"/>
      </w:r>
      <w:r w:rsidR="000D1F8D" w:rsidRPr="000D1F8D">
        <w:rPr>
          <w:rFonts w:cs="Calibri"/>
        </w:rPr>
        <w:t>(5)</w:t>
      </w:r>
      <w:r w:rsidRPr="00070244">
        <w:rPr>
          <w:rFonts w:eastAsia="Times New Roman" w:cs="Cambria"/>
        </w:rPr>
        <w:fldChar w:fldCharType="end"/>
      </w:r>
      <w:r w:rsidRPr="00070244">
        <w:rPr>
          <w:rFonts w:eastAsia="Times New Roman" w:cs="Cambria"/>
        </w:rPr>
        <w:t xml:space="preserve">. For this analysis we showed both the results for depressive symptoms as a continuous outcome and for depression as a binary outcome using the higher cut-off to reduce the risk of false positives. But we conducted sensitivity analyses using the lower cut-off too, given its frequent usage in research. </w:t>
      </w:r>
    </w:p>
    <w:p w:rsidR="00312DB1" w:rsidRPr="00070244" w:rsidRDefault="00312DB1" w:rsidP="00312DB1">
      <w:pPr>
        <w:spacing w:after="0" w:line="240" w:lineRule="auto"/>
        <w:jc w:val="both"/>
        <w:rPr>
          <w:rFonts w:eastAsia="Times New Roman" w:cs="Cambria"/>
        </w:rPr>
      </w:pPr>
    </w:p>
    <w:p w:rsidR="001E624C" w:rsidRDefault="00C04125" w:rsidP="00312DB1">
      <w:pPr>
        <w:spacing w:after="0" w:line="240" w:lineRule="auto"/>
        <w:jc w:val="both"/>
        <w:rPr>
          <w:rFonts w:eastAsia="Times New Roman" w:cs="Cambria"/>
        </w:rPr>
      </w:pPr>
      <w:r w:rsidRPr="00070244">
        <w:rPr>
          <w:rFonts w:eastAsia="Times New Roman" w:cs="Cambria"/>
        </w:rPr>
        <w:t xml:space="preserve">Participants were asked to self-report </w:t>
      </w:r>
      <w:r>
        <w:rPr>
          <w:rFonts w:eastAsia="Times New Roman" w:cs="Cambria"/>
        </w:rPr>
        <w:t xml:space="preserve">through participant questionnaire </w:t>
      </w:r>
      <w:r w:rsidRPr="00070244">
        <w:rPr>
          <w:rFonts w:eastAsia="Times New Roman" w:cs="Cambria"/>
        </w:rPr>
        <w:t xml:space="preserve">whether they currently had a hobby or pastime. </w:t>
      </w:r>
      <w:r>
        <w:rPr>
          <w:rFonts w:eastAsia="Times New Roman" w:cs="Cambria"/>
        </w:rPr>
        <w:t xml:space="preserve">Hobbies are commonly defined as </w:t>
      </w:r>
      <w:r w:rsidR="001E624C" w:rsidRPr="00070244">
        <w:rPr>
          <w:rFonts w:eastAsia="Times New Roman" w:cs="Cambria"/>
        </w:rPr>
        <w:t xml:space="preserve">informal leisure activities that were </w:t>
      </w:r>
      <w:r w:rsidR="00A27488">
        <w:rPr>
          <w:rFonts w:eastAsia="Times New Roman" w:cs="Cambria"/>
        </w:rPr>
        <w:t xml:space="preserve">not </w:t>
      </w:r>
      <w:r w:rsidR="001E624C" w:rsidRPr="00070244">
        <w:rPr>
          <w:rFonts w:eastAsia="Times New Roman" w:cs="Cambria"/>
        </w:rPr>
        <w:t>done as an individual’s primary occupation, not done for money, and that did not involve substantial levels of physical activity</w:t>
      </w:r>
      <w:r w:rsidR="00A27488">
        <w:rPr>
          <w:rFonts w:eastAsia="Times New Roman" w:cs="Cambria"/>
        </w:rPr>
        <w:t>;</w:t>
      </w:r>
      <w:r>
        <w:rPr>
          <w:rFonts w:eastAsia="Times New Roman" w:cs="Cambria"/>
        </w:rPr>
        <w:t xml:space="preserve"> evaluations have suggested that public perceptions of hobbies match this definition </w:t>
      </w:r>
      <w:r w:rsidR="001E624C" w:rsidRPr="00070244">
        <w:rPr>
          <w:rFonts w:eastAsia="Times New Roman" w:cs="Cambria"/>
        </w:rPr>
        <w:fldChar w:fldCharType="begin"/>
      </w:r>
      <w:r w:rsidR="000D1F8D">
        <w:rPr>
          <w:rFonts w:eastAsia="Times New Roman" w:cs="Cambria"/>
        </w:rPr>
        <w:instrText xml:space="preserve"> ADDIN ZOTERO_ITEM CSL_CITATION {"citationID":"G0F5JGda","properties":{"formattedCitation":"(6,8,9)","plainCitation":"(6,8,9)","noteIndex":0},"citationItems":[{"id":10552,"uris":["http://zotero.org/users/1416171/items/HSXYRCVV"],"uri":["http://zotero.org/users/1416171/items/HSXYRCVV"],"itemData":{"id":10552,"type":"article-journal","title":"Serious Leisure: A Conceptual Statement","container-title":"The Pacific Sociological Review","page":"251-272","volume":"25","issue":"2","DOI":"10.2307/1388726","ISSN":"0030-8919","title-short":"Serious Leisure","journalAbbreviation":"PACIFIC SOCIOLOGICAL REVIEW","language":"fre","author":[{"family":"Stebbins","given":"Robert A."}],"issued":{"date-parts":[["1982",4]]}}},{"id":10549,"uris":["http://zotero.org/users/1416171/items/ZC7MYQXU"],"uri":["http://zotero.org/users/1416171/items/ZC7MYQXU"],"itemData":{"id":10549,"type":"article-journal","title":"The psychology of leisure: Research approaches to the study of leisure","container-title":"Springfield, I","page":"295–306","volume":"11","source":"Google Scholar","title-short":"The psychology of leisure","author":[{"family":"Neulinger","given":"John"}],"issued":{"date-parts":[["1974"]]}}},{"id":10550,"uris":["http://zotero.org/users/1416171/items/HDCTUXY4"],"uri":["http://zotero.org/users/1416171/items/HDCTUXY4"],"itemData":{"id":10550,"type":"book","title":"Hobbies: Leisure and the culture of work in America","publisher":"Columbia University Press","source":"Google Scholar","title-short":"Hobbies","author":[{"family":"Gelber","given":"Steven M."}],"issued":{"date-parts":[["1999"]]}}}],"schema":"https://github.com/citation-style-language/schema/raw/master/csl-citation.json"} </w:instrText>
      </w:r>
      <w:r w:rsidR="001E624C" w:rsidRPr="00070244">
        <w:rPr>
          <w:rFonts w:eastAsia="Times New Roman" w:cs="Cambria"/>
        </w:rPr>
        <w:fldChar w:fldCharType="separate"/>
      </w:r>
      <w:r w:rsidR="000D1F8D" w:rsidRPr="000D1F8D">
        <w:rPr>
          <w:rFonts w:cs="Calibri"/>
        </w:rPr>
        <w:t>(6,8,9)</w:t>
      </w:r>
      <w:r w:rsidR="001E624C" w:rsidRPr="00070244">
        <w:rPr>
          <w:rFonts w:eastAsia="Times New Roman" w:cs="Cambria"/>
        </w:rPr>
        <w:fldChar w:fldCharType="end"/>
      </w:r>
      <w:r w:rsidR="001E624C" w:rsidRPr="00070244">
        <w:rPr>
          <w:rFonts w:eastAsia="Times New Roman" w:cs="Cambria"/>
        </w:rPr>
        <w:t xml:space="preserve">. </w:t>
      </w:r>
      <w:r>
        <w:rPr>
          <w:rFonts w:eastAsia="Times New Roman" w:cs="Cambria"/>
        </w:rPr>
        <w:t xml:space="preserve">In the participant interview, self-reports of ‘hobbies’ were </w:t>
      </w:r>
      <w:r w:rsidR="001E624C" w:rsidRPr="00070244">
        <w:rPr>
          <w:rFonts w:eastAsia="Times New Roman" w:cs="Cambria"/>
        </w:rPr>
        <w:t>distinguished from other leisure activities including cultural engagement, community group membership, physical activity, sports groups and reading newspapers</w:t>
      </w:r>
      <w:r>
        <w:rPr>
          <w:rFonts w:eastAsia="Times New Roman" w:cs="Cambria"/>
        </w:rPr>
        <w:t>, which were asked about separately alongside the question on hobbies</w:t>
      </w:r>
      <w:r w:rsidR="001E624C" w:rsidRPr="00070244">
        <w:rPr>
          <w:rFonts w:eastAsia="Times New Roman" w:cs="Cambria"/>
        </w:rPr>
        <w:t>.</w:t>
      </w:r>
      <w:r w:rsidR="00F17FB0">
        <w:rPr>
          <w:rFonts w:eastAsia="Times New Roman" w:cs="Cambria"/>
        </w:rPr>
        <w:t xml:space="preserve"> </w:t>
      </w:r>
      <w:r>
        <w:rPr>
          <w:rFonts w:eastAsia="Times New Roman" w:cs="Cambria"/>
        </w:rPr>
        <w:t>S</w:t>
      </w:r>
      <w:r w:rsidR="00F2262D">
        <w:rPr>
          <w:rFonts w:eastAsia="Times New Roman" w:cs="Cambria"/>
        </w:rPr>
        <w:t xml:space="preserve">pecific definitions of hobbies vary, from an exclusive focus on crafts (e.g. playing a musical instrument, </w:t>
      </w:r>
      <w:r w:rsidR="00F2262D" w:rsidRPr="00070244">
        <w:rPr>
          <w:rFonts w:eastAsia="Times New Roman" w:cs="Cambria"/>
        </w:rPr>
        <w:t>drawing</w:t>
      </w:r>
      <w:r w:rsidR="00F2262D">
        <w:rPr>
          <w:rFonts w:eastAsia="Times New Roman" w:cs="Cambria"/>
        </w:rPr>
        <w:t xml:space="preserve">, </w:t>
      </w:r>
      <w:r w:rsidR="00F2262D" w:rsidRPr="00070244">
        <w:rPr>
          <w:rFonts w:eastAsia="Times New Roman" w:cs="Cambria"/>
        </w:rPr>
        <w:t>sewing, carpentry and model-making</w:t>
      </w:r>
      <w:r w:rsidR="00F2262D">
        <w:rPr>
          <w:rFonts w:eastAsia="Times New Roman" w:cs="Cambria"/>
        </w:rPr>
        <w:t>) and collecting (e.g. stamps or postcards)</w:t>
      </w:r>
      <w:r w:rsidR="00F2262D" w:rsidRPr="00F2262D">
        <w:rPr>
          <w:rFonts w:eastAsia="Times New Roman" w:cs="Cambria"/>
        </w:rPr>
        <w:t xml:space="preserve"> </w:t>
      </w:r>
      <w:r w:rsidR="00F2262D">
        <w:rPr>
          <w:rFonts w:eastAsia="Times New Roman" w:cs="Cambria"/>
        </w:rPr>
        <w:fldChar w:fldCharType="begin"/>
      </w:r>
      <w:r w:rsidR="00F2262D">
        <w:rPr>
          <w:rFonts w:eastAsia="Times New Roman" w:cs="Cambria"/>
        </w:rPr>
        <w:instrText xml:space="preserve"> ADDIN ZOTERO_ITEM CSL_CITATION {"citationID":"akh8BOZk","properties":{"formattedCitation":"(10)","plainCitation":"(10)","noteIndex":0},"citationItems":[{"id":10557,"uris":["http://zotero.org/users/1416171/items/DBYQARRN"],"uri":["http://zotero.org/users/1416171/items/DBYQARRN"],"itemData":{"id":10557,"type":"article-journal","title":"Towards a definition of “hobby”: An empirical test of a proposed operational definition of the word hobby","container-title":"Journal of Occupational Science","page":"368-382","volume":"25","issue":"3","source":"Taylor and Francis+NEJM","abstract":"Hobbies have long been promoted as beneficial leisure occupations, but assessing this claim is difficult as no commonly used definition of the word “hobby” exists. Gelber’s (1999) definition of a hobby as “voluntarily working alone at home with a few relatively simple tools to make an object (which in the case of collectors is the collection itself) that has economic value” (p. 29) was proposed as an operational definition. The definition was tested by having a sample of 150 men and women, recruited in the US and via Facebook and a website, complete a survey that asked them to rank their level of agreement with 138 statements of the form “X is a hobby” where X was a particular leisure occupation. The results showed that the more closely an occupation matched the definition, the more likely participants were to agree that the occupation was a hobby, suggesting that Gelber’s definition matches well with the way the word “hobby” is generally used. Further analysis revealed that, consistent with the definition, occupations that involve making or collecting are the most likely to be called hobbies. However, reexamination of the extant hobby literature with this definition in mind suggests that little of it actually involves occupations that can accurately be called hobbies. It will be important for future research to utilize a clear, consistent operational definition of “hobby” in order to clarify the contribution of hobbies to human life and well-being.","DOI":"10.1080/14427591.2018.1463286","ISSN":"1442-7591","title-short":"Towards a definition of “hobby”","author":[{"family":"Daily","given":"Larry Z."}],"issued":{"date-parts":[["2018",7,3]]}}}],"schema":"https://github.com/citation-style-language/schema/raw/master/csl-citation.json"} </w:instrText>
      </w:r>
      <w:r w:rsidR="00F2262D">
        <w:rPr>
          <w:rFonts w:eastAsia="Times New Roman" w:cs="Cambria"/>
        </w:rPr>
        <w:fldChar w:fldCharType="separate"/>
      </w:r>
      <w:r w:rsidR="00F2262D" w:rsidRPr="00F2262D">
        <w:t>(10)</w:t>
      </w:r>
      <w:r w:rsidR="00F2262D">
        <w:rPr>
          <w:rFonts w:eastAsia="Times New Roman" w:cs="Cambria"/>
        </w:rPr>
        <w:fldChar w:fldCharType="end"/>
      </w:r>
      <w:r w:rsidR="00F2262D">
        <w:rPr>
          <w:rFonts w:eastAsia="Times New Roman" w:cs="Cambria"/>
        </w:rPr>
        <w:t xml:space="preserve">, to a broader focus on group activity participation and adult learning </w:t>
      </w:r>
      <w:r w:rsidR="00F2262D">
        <w:rPr>
          <w:rFonts w:eastAsia="Times New Roman" w:cs="Cambria"/>
        </w:rPr>
        <w:fldChar w:fldCharType="begin"/>
      </w:r>
      <w:r w:rsidR="00F2262D">
        <w:rPr>
          <w:rFonts w:eastAsia="Times New Roman" w:cs="Cambria"/>
        </w:rPr>
        <w:instrText xml:space="preserve"> ADDIN ZOTERO_ITEM CSL_CITATION {"citationID":"4QmqFn9Z","properties":{"formattedCitation":"(11)","plainCitation":"(11)","noteIndex":0},"citationItems":[{"id":13984,"uris":["http://zotero.org/users/1416171/items/FIVQ3G29"],"uri":["http://zotero.org/users/1416171/items/FIVQ3G29"],"itemData":{"id":13984,"type":"article-journal","title":"The liberal arts hobbies: A neglected subtype of serious leisure","container-title":"Loisir et Société/Society and Leisure","page":"173–186","volume":"17","issue":"1","source":"Google Scholar","title-short":"The liberal arts hobbies","author":[{"family":"Stebbins","given":"Robert A."}],"issued":{"date-parts":[["1994"]]}}}],"schema":"https://github.com/citation-style-language/schema/raw/master/csl-citation.json"} </w:instrText>
      </w:r>
      <w:r w:rsidR="00F2262D">
        <w:rPr>
          <w:rFonts w:eastAsia="Times New Roman" w:cs="Cambria"/>
        </w:rPr>
        <w:fldChar w:fldCharType="separate"/>
      </w:r>
      <w:r w:rsidR="00F2262D" w:rsidRPr="00F2262D">
        <w:t>(11)</w:t>
      </w:r>
      <w:r w:rsidR="00F2262D">
        <w:rPr>
          <w:rFonts w:eastAsia="Times New Roman" w:cs="Cambria"/>
        </w:rPr>
        <w:fldChar w:fldCharType="end"/>
      </w:r>
      <w:r w:rsidR="00F2262D">
        <w:rPr>
          <w:rFonts w:eastAsia="Times New Roman" w:cs="Cambria"/>
        </w:rPr>
        <w:t xml:space="preserve">. </w:t>
      </w:r>
      <w:r>
        <w:rPr>
          <w:rFonts w:eastAsia="Times New Roman" w:cs="Cambria"/>
        </w:rPr>
        <w:t>As we were unable to ascertain whether participants had included these broader activities when responding to the question on hobbies, i</w:t>
      </w:r>
      <w:r w:rsidR="00F2262D">
        <w:rPr>
          <w:rFonts w:eastAsia="Times New Roman" w:cs="Cambria"/>
        </w:rPr>
        <w:t xml:space="preserve">n our sensitivity analyses, we </w:t>
      </w:r>
      <w:r w:rsidR="00F2262D" w:rsidRPr="00070244">
        <w:rPr>
          <w:rFonts w:eastAsia="Times New Roman" w:cs="Cambria"/>
        </w:rPr>
        <w:t xml:space="preserve">expanded </w:t>
      </w:r>
      <w:r w:rsidR="00F2262D">
        <w:rPr>
          <w:rFonts w:eastAsia="Times New Roman" w:cs="Cambria"/>
        </w:rPr>
        <w:t xml:space="preserve">our exposure to include self-reported participation in </w:t>
      </w:r>
      <w:r w:rsidR="00F2262D" w:rsidRPr="00070244">
        <w:rPr>
          <w:rFonts w:eastAsia="Times New Roman" w:cs="Cambria"/>
        </w:rPr>
        <w:t>evening or educational classes, arts groups, or music groups</w:t>
      </w:r>
      <w:r>
        <w:rPr>
          <w:rFonts w:eastAsia="Times New Roman" w:cs="Cambria"/>
        </w:rPr>
        <w:t xml:space="preserve"> measured through other questions in ELSA</w:t>
      </w:r>
      <w:r w:rsidR="00F2262D">
        <w:rPr>
          <w:rFonts w:eastAsia="Times New Roman" w:cs="Cambria"/>
        </w:rPr>
        <w:t xml:space="preserve">. </w:t>
      </w:r>
    </w:p>
    <w:p w:rsidR="00312DB1" w:rsidRPr="00070244" w:rsidRDefault="00312DB1" w:rsidP="00312DB1">
      <w:pPr>
        <w:spacing w:after="0" w:line="240" w:lineRule="auto"/>
        <w:jc w:val="both"/>
        <w:rPr>
          <w:rFonts w:eastAsia="Times New Roman" w:cs="Cambria"/>
        </w:rPr>
      </w:pPr>
    </w:p>
    <w:p w:rsidR="001E624C" w:rsidRDefault="001E624C" w:rsidP="00312DB1">
      <w:pPr>
        <w:spacing w:after="0" w:line="240" w:lineRule="auto"/>
        <w:jc w:val="both"/>
        <w:rPr>
          <w:rFonts w:eastAsia="Times New Roman" w:cs="Cambria"/>
        </w:rPr>
      </w:pPr>
      <w:r w:rsidRPr="00497540">
        <w:rPr>
          <w:rFonts w:eastAsia="Times New Roman" w:cs="Cambria"/>
        </w:rPr>
        <w:t xml:space="preserve">Time-invariant factors (not included in analyses but shown descriptively and considered automatically within unadjusted model 1) included gender (male or female), marital status (married/cohabiting vs single/widowed/divorced), ethnicity (white British vs other), educational qualifications (no educational qualifications; education to age 16/O-levels; education to age 18/A-levels; degree/higher qualification). Time-variant factors that could act as confounders (included in analyses in model 2) included age (in categories 50-55, 56-60, 61-65, 66-70, 71-75, 76+), total non-pension wealth (quintiles) </w:t>
      </w:r>
      <w:r w:rsidRPr="00497540">
        <w:rPr>
          <w:rFonts w:eastAsia="Times New Roman" w:cs="Cambria"/>
        </w:rPr>
        <w:fldChar w:fldCharType="begin"/>
      </w:r>
      <w:r w:rsidR="00F2262D">
        <w:rPr>
          <w:rFonts w:eastAsia="Times New Roman" w:cs="Cambria"/>
        </w:rPr>
        <w:instrText xml:space="preserve"> ADDIN ZOTERO_ITEM CSL_CITATION {"citationID":"eZmA2HDT","properties":{"formattedCitation":"(12)","plainCitation":"(12)","noteIndex":0},"citationItems":[{"id":3425,"uris":["http://zotero.org/users/1416171/items/RUL8IEQ4"],"uri":["http://zotero.org/users/1416171/items/RUL8IEQ4"],"itemData":{"id":3425,"type":"chapter","title":"Socio-economic position","container-title":"Health, Wealth and Lifestyles of the Older Population in England","publisher-place":"Institute for Fiscal Studies, London","page":"71-125","event-place":"Institute for Fiscal Studies, London","author":[{"family":"Banks","given":"James"},{"family":"Karlsen","given":"Saffron"},{"family":"Oldfield","given":"Zoe"}],"editor":[{"family":"Marmot","given":"Michael"},{"family":"Banks","given":"James"},{"family":"Blundell","given":"R"},{"family":"Lessof","given":"C"},{"family":"Nazroo","given":"J"}],"issued":{"date-parts":[["2003"]]}}}],"schema":"https://github.com/citation-style-language/schema/raw/master/csl-citation.json"} </w:instrText>
      </w:r>
      <w:r w:rsidRPr="00497540">
        <w:rPr>
          <w:rFonts w:eastAsia="Times New Roman" w:cs="Cambria"/>
        </w:rPr>
        <w:fldChar w:fldCharType="separate"/>
      </w:r>
      <w:r w:rsidR="00F2262D" w:rsidRPr="00F2262D">
        <w:t>(12)</w:t>
      </w:r>
      <w:r w:rsidRPr="00497540">
        <w:rPr>
          <w:rFonts w:eastAsia="Times New Roman" w:cs="Cambria"/>
        </w:rPr>
        <w:fldChar w:fldCharType="end"/>
      </w:r>
      <w:r w:rsidRPr="00497540">
        <w:rPr>
          <w:rFonts w:eastAsia="Times New Roman" w:cs="Cambria"/>
        </w:rPr>
        <w:t>, employment status (working full time vs working part time vs not working), eyesight (excellent/very good/good vs fair/poor), hearing (excellent/very good/good vs fair/poor), chronic pain (none/mild vs moderate/severe), frequency of alcohol consumption (1-2 days a week, 3-4 days a week, 5-6 days a week or daily), whether participants currently smoked, and presence of a chronic physical illness (including cancer, COPD, diabetes, angina, arthritis or a stroke in the last 2 years). In order to test whether having a hobby was a proxy for broader cognitive stimulation, social interaction or helping to keep people more active, additional analyses considered whether participants read a newspaper, how frequently they had social contact with friends, family or wider relatives (either face-to-face, via telephone or via writing/emailing), and whether they led a sedentary lifestyle (mild, moderate or physical activity less than once a week) as time-varying covariates.</w:t>
      </w:r>
    </w:p>
    <w:p w:rsidR="00312DB1" w:rsidRPr="00497540" w:rsidRDefault="00312DB1" w:rsidP="00312DB1">
      <w:pPr>
        <w:spacing w:after="0" w:line="240" w:lineRule="auto"/>
        <w:jc w:val="both"/>
        <w:rPr>
          <w:rFonts w:eastAsia="Times New Roman" w:cs="Cambria"/>
        </w:rPr>
      </w:pPr>
    </w:p>
    <w:p w:rsidR="00977DA3" w:rsidRDefault="00977DA3" w:rsidP="00312DB1">
      <w:pPr>
        <w:spacing w:after="0" w:line="240" w:lineRule="auto"/>
        <w:jc w:val="both"/>
        <w:rPr>
          <w:rFonts w:eastAsia="Times New Roman" w:cs="Cambria"/>
          <w:b/>
        </w:rPr>
      </w:pPr>
    </w:p>
    <w:p w:rsidR="001E624C" w:rsidRPr="00070244" w:rsidRDefault="001E624C" w:rsidP="00312DB1">
      <w:pPr>
        <w:spacing w:after="0" w:line="240" w:lineRule="auto"/>
        <w:jc w:val="both"/>
        <w:rPr>
          <w:rFonts w:eastAsia="Times New Roman" w:cs="Cambria"/>
          <w:b/>
        </w:rPr>
      </w:pPr>
      <w:r w:rsidRPr="00070244">
        <w:rPr>
          <w:rFonts w:eastAsia="Times New Roman" w:cs="Cambria"/>
          <w:b/>
        </w:rPr>
        <w:lastRenderedPageBreak/>
        <w:t>Statistics</w:t>
      </w:r>
    </w:p>
    <w:p w:rsidR="001E624C" w:rsidRDefault="001E624C" w:rsidP="00312DB1">
      <w:pPr>
        <w:spacing w:after="0" w:line="240" w:lineRule="auto"/>
        <w:jc w:val="both"/>
        <w:rPr>
          <w:rFonts w:eastAsia="Times New Roman" w:cs="Cambria"/>
        </w:rPr>
      </w:pPr>
      <w:r w:rsidRPr="00070244">
        <w:rPr>
          <w:rFonts w:eastAsia="Times New Roman" w:cs="Cambria"/>
        </w:rPr>
        <w:t>Analyses were carried out using Stata 14 (StataCorp, College Station, TX). A total of 27.6% of data were missing at random across the 7 waves so we used multiple imputation by chained equations to generate 50 imputed datasets, providing a full sample size of 8,780 across all waves. Results using imputed data were materially no different from results using raw data, so we present results from imputed data for greater statistical power.</w:t>
      </w:r>
    </w:p>
    <w:p w:rsidR="00312DB1" w:rsidRPr="00070244" w:rsidRDefault="00312DB1" w:rsidP="00312DB1">
      <w:pPr>
        <w:spacing w:after="0" w:line="240" w:lineRule="auto"/>
        <w:jc w:val="both"/>
        <w:rPr>
          <w:rFonts w:eastAsia="Times New Roman" w:cs="Cambria"/>
        </w:rPr>
      </w:pPr>
    </w:p>
    <w:p w:rsidR="00632F49" w:rsidRDefault="001E624C" w:rsidP="00312DB1">
      <w:pPr>
        <w:spacing w:after="0" w:line="240" w:lineRule="auto"/>
        <w:jc w:val="both"/>
        <w:rPr>
          <w:rFonts w:eastAsia="Times New Roman" w:cs="Cambria"/>
        </w:rPr>
      </w:pPr>
      <w:r w:rsidRPr="00497540">
        <w:rPr>
          <w:rFonts w:eastAsia="Times New Roman" w:cs="Cambria"/>
        </w:rPr>
        <w:t xml:space="preserve">We used fixed-effects regression, which differs from other regression techniques as it explores within-person variation with individuals serving as their own reference point, compared with themselves over time. So all time-invariant (stable) covariates, are accounted for, even if unobserved </w:t>
      </w:r>
      <w:r w:rsidRPr="00497540">
        <w:rPr>
          <w:rFonts w:eastAsia="Times New Roman" w:cs="Cambria"/>
        </w:rPr>
        <w:fldChar w:fldCharType="begin"/>
      </w:r>
      <w:r w:rsidR="00F2262D">
        <w:rPr>
          <w:rFonts w:eastAsia="Times New Roman" w:cs="Cambria"/>
        </w:rPr>
        <w:instrText xml:space="preserve"> ADDIN ZOTERO_ITEM CSL_CITATION {"citationID":"AGz0G9zA","properties":{"formattedCitation":"(13)","plainCitation":"(13)","noteIndex":0},"citationItems":[{"id":10535,"uris":["http://zotero.org/users/1416171/items/HCZLXSPM"],"uri":["http://zotero.org/users/1416171/items/HCZLXSPM"],"itemData":{"id":10535,"type":"book","title":"Fixed effects regression models","publisher":"SAGE publications","volume":"160","source":"Google Scholar","author":[{"family":"Allison","given":"Paul D."}],"issued":{"date-parts":[["2009"]]}}}],"schema":"https://github.com/citation-style-language/schema/raw/master/csl-citation.json"} </w:instrText>
      </w:r>
      <w:r w:rsidRPr="00497540">
        <w:rPr>
          <w:rFonts w:eastAsia="Times New Roman" w:cs="Cambria"/>
        </w:rPr>
        <w:fldChar w:fldCharType="separate"/>
      </w:r>
      <w:r w:rsidR="00F2262D" w:rsidRPr="00F2262D">
        <w:t>(13)</w:t>
      </w:r>
      <w:r w:rsidRPr="00497540">
        <w:rPr>
          <w:rFonts w:eastAsia="Times New Roman" w:cs="Cambria"/>
        </w:rPr>
        <w:fldChar w:fldCharType="end"/>
      </w:r>
      <w:r w:rsidRPr="00497540">
        <w:rPr>
          <w:rFonts w:eastAsia="Times New Roman" w:cs="Cambria"/>
        </w:rPr>
        <w:t>. This approach is advantageous as individual stable characteristics such as childhood exposure to hobbies, intelligence, genetics, personality, medical history and social class could confound associations with depression. But as individuals are compared with themselves, such bias cannot affect results. Additionally, having a hobby can vary over time</w:t>
      </w:r>
      <w:r w:rsidR="00632F49">
        <w:rPr>
          <w:rFonts w:eastAsia="Times New Roman" w:cs="Cambria"/>
        </w:rPr>
        <w:t xml:space="preserve">, as can depression, and both can be </w:t>
      </w:r>
      <w:r w:rsidRPr="00497540">
        <w:rPr>
          <w:rFonts w:eastAsia="Times New Roman" w:cs="Cambria"/>
        </w:rPr>
        <w:t xml:space="preserve">affected by time-varying confounders. Fixed-effects regression allows us to analyse these time-varying associations. </w:t>
      </w:r>
      <w:r w:rsidR="00632F49">
        <w:rPr>
          <w:rFonts w:eastAsia="Times New Roman" w:cs="Cambria"/>
        </w:rPr>
        <w:t>So in this analysis we were able to assess the relationship between changes in hobbies across each of the seven waves, with changes in depression across each of the seven waves, whilst controlling for changes in confounders across each of the seven waves.</w:t>
      </w:r>
    </w:p>
    <w:p w:rsidR="00632F49" w:rsidRDefault="00632F49" w:rsidP="00312DB1">
      <w:pPr>
        <w:spacing w:after="0" w:line="240" w:lineRule="auto"/>
        <w:jc w:val="both"/>
        <w:rPr>
          <w:rFonts w:eastAsia="Times New Roman" w:cs="Cambria"/>
        </w:rPr>
      </w:pPr>
    </w:p>
    <w:p w:rsidR="001E624C" w:rsidRPr="00497540" w:rsidRDefault="001E624C" w:rsidP="00312DB1">
      <w:pPr>
        <w:spacing w:after="0" w:line="240" w:lineRule="auto"/>
        <w:jc w:val="both"/>
        <w:rPr>
          <w:rFonts w:eastAsia="Times New Roman" w:cs="Cambria"/>
        </w:rPr>
      </w:pPr>
      <w:r w:rsidRPr="00497540">
        <w:rPr>
          <w:rFonts w:eastAsia="Times New Roman" w:cs="Cambria"/>
        </w:rPr>
        <w:t>The basic model for depression (CES-D) can be expressed as follows:</w:t>
      </w:r>
    </w:p>
    <w:p w:rsidR="001E624C" w:rsidRPr="001E624C" w:rsidRDefault="00977DA3" w:rsidP="00312DB1">
      <w:pPr>
        <w:spacing w:after="0" w:line="240" w:lineRule="auto"/>
        <w:jc w:val="center"/>
        <w:rPr>
          <w:rFonts w:eastAsia="Times New Roman" w:cs="Cambria"/>
        </w:rPr>
      </w:pPr>
      <m:oMathPara>
        <m:oMath>
          <m:sSub>
            <m:sSubPr>
              <m:ctrlPr>
                <w:rPr>
                  <w:rFonts w:ascii="Cambria Math" w:hAnsi="Cambria Math" w:cs="Cambria"/>
                  <w:i/>
                </w:rPr>
              </m:ctrlPr>
            </m:sSubPr>
            <m:e>
              <m:r>
                <w:rPr>
                  <w:rFonts w:ascii="Cambria Math" w:hAnsi="Cambria Math" w:cs="Cambria"/>
                </w:rPr>
                <m:t>CESD</m:t>
              </m:r>
            </m:e>
            <m:sub>
              <m:r>
                <w:rPr>
                  <w:rFonts w:ascii="Cambria Math" w:hAnsi="Cambria Math" w:cs="Cambria"/>
                </w:rPr>
                <m:t>it</m:t>
              </m:r>
            </m:sub>
          </m:sSub>
          <m:r>
            <w:rPr>
              <w:rFonts w:ascii="Cambria Math" w:hAnsi="Cambria Math" w:cs="Cambria"/>
            </w:rPr>
            <m:t>=</m:t>
          </m:r>
          <m:sSub>
            <m:sSubPr>
              <m:ctrlPr>
                <w:rPr>
                  <w:rFonts w:ascii="Cambria Math" w:hAnsi="Cambria Math" w:cs="Cambria"/>
                  <w:i/>
                </w:rPr>
              </m:ctrlPr>
            </m:sSubPr>
            <m:e>
              <m:sSub>
                <m:sSubPr>
                  <m:ctrlPr>
                    <w:rPr>
                      <w:rFonts w:ascii="Cambria Math" w:hAnsi="Cambria Math" w:cs="Cambria"/>
                      <w:i/>
                    </w:rPr>
                  </m:ctrlPr>
                </m:sSubPr>
                <m:e>
                  <m:r>
                    <w:rPr>
                      <w:rFonts w:ascii="Cambria Math" w:hAnsi="Cambria Math" w:cs="Cambria"/>
                    </w:rPr>
                    <m:t>β</m:t>
                  </m:r>
                </m:e>
                <m:sub>
                  <m:r>
                    <w:rPr>
                      <w:rFonts w:ascii="Cambria Math" w:hAnsi="Cambria Math" w:cs="Cambria"/>
                    </w:rPr>
                    <m:t>0t</m:t>
                  </m:r>
                </m:sub>
              </m:sSub>
              <m:r>
                <w:rPr>
                  <w:rFonts w:ascii="Cambria Math" w:hAnsi="Cambria Math" w:cs="Cambria"/>
                </w:rPr>
                <m:t xml:space="preserve">+ </m:t>
              </m:r>
              <m:sSub>
                <m:sSubPr>
                  <m:ctrlPr>
                    <w:rPr>
                      <w:rFonts w:ascii="Cambria Math" w:hAnsi="Cambria Math" w:cs="Cambria"/>
                      <w:i/>
                    </w:rPr>
                  </m:ctrlPr>
                </m:sSubPr>
                <m:e>
                  <m:r>
                    <w:rPr>
                      <w:rFonts w:ascii="Cambria Math" w:hAnsi="Cambria Math" w:cs="Cambria"/>
                    </w:rPr>
                    <m:t>β</m:t>
                  </m:r>
                </m:e>
                <m:sub>
                  <m:r>
                    <w:rPr>
                      <w:rFonts w:ascii="Cambria Math" w:hAnsi="Cambria Math" w:cs="Cambria"/>
                    </w:rPr>
                    <m:t>1</m:t>
                  </m:r>
                </m:sub>
              </m:sSub>
              <m:r>
                <w:rPr>
                  <w:rFonts w:ascii="Cambria Math" w:hAnsi="Cambria Math" w:cs="Cambria"/>
                </w:rPr>
                <m:t>H</m:t>
              </m:r>
            </m:e>
            <m:sub>
              <m:r>
                <w:rPr>
                  <w:rFonts w:ascii="Cambria Math" w:hAnsi="Cambria Math" w:cs="Cambria"/>
                </w:rPr>
                <m:t>it</m:t>
              </m:r>
            </m:sub>
          </m:sSub>
          <m:r>
            <w:rPr>
              <w:rFonts w:ascii="Cambria Math" w:hAnsi="Cambria Math" w:cs="Cambria"/>
            </w:rPr>
            <m:t xml:space="preserve">+ </m:t>
          </m:r>
          <m:sSub>
            <m:sSubPr>
              <m:ctrlPr>
                <w:rPr>
                  <w:rFonts w:ascii="Cambria Math" w:hAnsi="Cambria Math" w:cs="Cambria"/>
                  <w:i/>
                </w:rPr>
              </m:ctrlPr>
            </m:sSubPr>
            <m:e>
              <m:r>
                <w:rPr>
                  <w:rFonts w:ascii="Cambria Math" w:hAnsi="Cambria Math" w:cs="Cambria"/>
                </w:rPr>
                <m:t>β</m:t>
              </m:r>
            </m:e>
            <m:sub>
              <m:r>
                <w:rPr>
                  <w:rFonts w:ascii="Cambria Math" w:hAnsi="Cambria Math" w:cs="Cambria"/>
                </w:rPr>
                <m:t>2</m:t>
              </m:r>
            </m:sub>
          </m:sSub>
          <m:sSub>
            <m:sSubPr>
              <m:ctrlPr>
                <w:rPr>
                  <w:rFonts w:ascii="Cambria Math" w:hAnsi="Cambria Math" w:cs="Cambria"/>
                  <w:i/>
                </w:rPr>
              </m:ctrlPr>
            </m:sSubPr>
            <m:e>
              <m:r>
                <w:rPr>
                  <w:rFonts w:ascii="Cambria Math" w:hAnsi="Cambria Math" w:cs="Cambria"/>
                </w:rPr>
                <m:t>T</m:t>
              </m:r>
            </m:e>
            <m:sub>
              <m:r>
                <w:rPr>
                  <w:rFonts w:ascii="Cambria Math" w:hAnsi="Cambria Math" w:cs="Cambria"/>
                </w:rPr>
                <m:t>it</m:t>
              </m:r>
            </m:sub>
          </m:sSub>
          <m:r>
            <w:rPr>
              <w:rFonts w:ascii="Cambria Math" w:hAnsi="Cambria Math" w:cs="Cambria"/>
            </w:rPr>
            <m:t>+</m:t>
          </m:r>
          <m:sSub>
            <m:sSubPr>
              <m:ctrlPr>
                <w:rPr>
                  <w:rFonts w:ascii="Cambria Math" w:hAnsi="Cambria Math" w:cs="Cambria"/>
                  <w:i/>
                </w:rPr>
              </m:ctrlPr>
            </m:sSubPr>
            <m:e>
              <m:r>
                <w:rPr>
                  <w:rFonts w:ascii="Cambria Math" w:hAnsi="Cambria Math" w:cs="Cambria"/>
                </w:rPr>
                <m:t>α</m:t>
              </m:r>
            </m:e>
            <m:sub>
              <m:r>
                <w:rPr>
                  <w:rFonts w:ascii="Cambria Math" w:hAnsi="Cambria Math" w:cs="Cambria"/>
                </w:rPr>
                <m:t>i</m:t>
              </m:r>
            </m:sub>
          </m:sSub>
          <m:r>
            <w:rPr>
              <w:rFonts w:ascii="Cambria Math" w:hAnsi="Cambria Math" w:cs="Cambria"/>
            </w:rPr>
            <m:t xml:space="preserve">+ </m:t>
          </m:r>
          <m:sSub>
            <m:sSubPr>
              <m:ctrlPr>
                <w:rPr>
                  <w:rFonts w:ascii="Cambria Math" w:hAnsi="Cambria Math" w:cs="Cambria"/>
                  <w:i/>
                </w:rPr>
              </m:ctrlPr>
            </m:sSubPr>
            <m:e>
              <m:r>
                <w:rPr>
                  <w:rFonts w:ascii="Cambria Math" w:hAnsi="Cambria Math" w:cs="Cambria"/>
                </w:rPr>
                <m:t>ε</m:t>
              </m:r>
            </m:e>
            <m:sub>
              <m:r>
                <w:rPr>
                  <w:rFonts w:ascii="Cambria Math" w:hAnsi="Cambria Math" w:cs="Cambria"/>
                </w:rPr>
                <m:t>it</m:t>
              </m:r>
            </m:sub>
          </m:sSub>
        </m:oMath>
      </m:oMathPara>
    </w:p>
    <w:p w:rsidR="001E624C" w:rsidRDefault="001E624C" w:rsidP="00312DB1">
      <w:pPr>
        <w:spacing w:after="0" w:line="240" w:lineRule="auto"/>
        <w:jc w:val="both"/>
        <w:rPr>
          <w:rFonts w:eastAsia="Times New Roman" w:cs="Cambria"/>
        </w:rPr>
      </w:pPr>
      <w:r w:rsidRPr="00497540">
        <w:rPr>
          <w:rFonts w:eastAsia="Times New Roman" w:cs="Cambria"/>
        </w:rPr>
        <w:t>where CESD</w:t>
      </w:r>
      <w:r w:rsidRPr="00497540">
        <w:rPr>
          <w:rFonts w:eastAsia="Times New Roman" w:cs="Cambria"/>
          <w:vertAlign w:val="subscript"/>
        </w:rPr>
        <w:t>it</w:t>
      </w:r>
      <w:r w:rsidRPr="00497540">
        <w:rPr>
          <w:rFonts w:eastAsia="Times New Roman" w:cs="Cambria"/>
        </w:rPr>
        <w:t xml:space="preserve"> is a measure of individual </w:t>
      </w:r>
      <m:oMath>
        <m:r>
          <w:rPr>
            <w:rFonts w:ascii="Cambria Math" w:hAnsi="Cambria Math" w:cs="Cambria"/>
          </w:rPr>
          <m:t>i</m:t>
        </m:r>
      </m:oMath>
      <w:r w:rsidRPr="00497540">
        <w:rPr>
          <w:rFonts w:eastAsia="Times New Roman" w:cs="Cambria"/>
        </w:rPr>
        <w:t>'s depression score at tim</w:t>
      </w:r>
      <w:bookmarkStart w:id="0" w:name="_GoBack"/>
      <w:bookmarkEnd w:id="0"/>
      <w:r w:rsidRPr="00497540">
        <w:rPr>
          <w:rFonts w:eastAsia="Times New Roman" w:cs="Cambria"/>
        </w:rPr>
        <w:t xml:space="preserve">e </w:t>
      </w:r>
      <m:oMath>
        <m:r>
          <w:rPr>
            <w:rFonts w:ascii="Cambria Math" w:hAnsi="Cambria Math" w:cs="Cambria"/>
          </w:rPr>
          <m:t>t</m:t>
        </m:r>
      </m:oMath>
      <w:r w:rsidRPr="00497540">
        <w:rPr>
          <w:rFonts w:eastAsia="Times New Roman" w:cs="Cambria"/>
        </w:rPr>
        <w:t xml:space="preserve">, </w:t>
      </w:r>
      <m:oMath>
        <m:sSub>
          <m:sSubPr>
            <m:ctrlPr>
              <w:rPr>
                <w:rFonts w:ascii="Cambria Math" w:hAnsi="Cambria Math" w:cs="Cambria"/>
                <w:i/>
              </w:rPr>
            </m:ctrlPr>
          </m:sSubPr>
          <m:e>
            <m:r>
              <w:rPr>
                <w:rFonts w:ascii="Cambria Math" w:hAnsi="Cambria Math" w:cs="Cambria"/>
              </w:rPr>
              <m:t>α</m:t>
            </m:r>
          </m:e>
          <m:sub>
            <m:r>
              <w:rPr>
                <w:rFonts w:ascii="Cambria Math" w:hAnsi="Cambria Math" w:cs="Cambria"/>
              </w:rPr>
              <m:t>i</m:t>
            </m:r>
          </m:sub>
        </m:sSub>
      </m:oMath>
      <w:r w:rsidRPr="00497540">
        <w:rPr>
          <w:rFonts w:eastAsia="Times New Roman" w:cs="Cambria"/>
        </w:rPr>
        <w:t xml:space="preserve"> is unobserved time invariant confounding factors, H is whether an individual </w:t>
      </w:r>
      <m:oMath>
        <m:r>
          <w:rPr>
            <w:rFonts w:ascii="Cambria Math" w:hAnsi="Cambria Math" w:cs="Cambria"/>
          </w:rPr>
          <m:t xml:space="preserve">i </m:t>
        </m:r>
      </m:oMath>
      <w:r w:rsidRPr="00497540">
        <w:rPr>
          <w:rFonts w:eastAsia="Times New Roman" w:cs="Cambria"/>
        </w:rPr>
        <w:t xml:space="preserve">had a hobby at time </w:t>
      </w:r>
      <m:oMath>
        <m:r>
          <w:rPr>
            <w:rFonts w:ascii="Cambria Math" w:hAnsi="Cambria Math" w:cs="Cambria"/>
          </w:rPr>
          <m:t>t</m:t>
        </m:r>
      </m:oMath>
      <w:r w:rsidRPr="00497540">
        <w:rPr>
          <w:rFonts w:eastAsia="Times New Roman" w:cs="Cambria"/>
        </w:rPr>
        <w:t xml:space="preserve">, and T is measured time-varying confounding factors. Time-varying confounders were identified by using directed acyclic graphics (DAGs) </w:t>
      </w:r>
      <w:r w:rsidRPr="00497540">
        <w:rPr>
          <w:rFonts w:eastAsia="Times New Roman" w:cs="Cambria"/>
        </w:rPr>
        <w:fldChar w:fldCharType="begin"/>
      </w:r>
      <w:r w:rsidR="00F2262D">
        <w:rPr>
          <w:rFonts w:eastAsia="Times New Roman" w:cs="Cambria"/>
        </w:rPr>
        <w:instrText xml:space="preserve"> ADDIN ZOTERO_ITEM CSL_CITATION {"citationID":"KC1BWq8O","properties":{"formattedCitation":"(14)","plainCitation":"(14)","noteIndex":0},"citationItems":[{"id":3517,"uris":["http://zotero.org/users/1416171/items/F96PPIKC"],"uri":["http://zotero.org/users/1416171/items/F96PPIKC"],"itemData":{"id":3517,"type":"article-journal","title":"Reducing bias through directed acyclic graphs","container-title":"BMC Medical Research Methodology","page":"70","volume":"8","source":"BioMed Central","abstract":"The objective of most biomedical research is to determine an unbiased estimate of effect for an exposure on an outcome, i.e. to make causal inferences about the exposure. Recent developments in epidemiology have shown that traditional methods of identifying confounding and adjusting for confounding may be inadequate.","DOI":"10.1186/1471-2288-8-70","ISSN":"1471-2288","journalAbbreviation":"BMC Medical Research Methodology","author":[{"family":"Shrier","given":"Ian"},{"family":"Platt","given":"Robert W."}],"issued":{"date-parts":[["2008",10,30]]}}}],"schema":"https://github.com/citation-style-language/schema/raw/master/csl-citation.json"} </w:instrText>
      </w:r>
      <w:r w:rsidRPr="00497540">
        <w:rPr>
          <w:rFonts w:eastAsia="Times New Roman" w:cs="Cambria"/>
        </w:rPr>
        <w:fldChar w:fldCharType="separate"/>
      </w:r>
      <w:r w:rsidR="00F2262D" w:rsidRPr="00F2262D">
        <w:t>(14)</w:t>
      </w:r>
      <w:r w:rsidRPr="00497540">
        <w:rPr>
          <w:rFonts w:eastAsia="Times New Roman" w:cs="Cambria"/>
        </w:rPr>
        <w:fldChar w:fldCharType="end"/>
      </w:r>
      <w:r w:rsidRPr="00497540">
        <w:rPr>
          <w:rFonts w:eastAsia="Times New Roman" w:cs="Cambria"/>
        </w:rPr>
        <w:t xml:space="preserve">. Data were strongly balanced. A Hausman test was used to confirm the selection of a fixed effects over a random effects model. The modified Wald test for group-wise heteroscedasticity was significant (indicating the presence of heteroscedasticity) so sandwich estimators were applied. Coefficients for all years were not jointly equal to zero, so time-fixed effects were included in the model. </w:t>
      </w:r>
      <w:r w:rsidRPr="00070244">
        <w:rPr>
          <w:rFonts w:eastAsia="Times New Roman" w:cs="Cambria"/>
        </w:rPr>
        <w:t>We also used linear dynamic panel-data estimators (Arellano-Bond) which uses feedback from past outcomes to predict current exposure and outcomes, helping to identify the direction of association to reduce the risk of reverse causality, thereby helping us to make inferences on causality from these findings. When running the Arellano-Bond estimator, tests for zero autocorrelation and over-identifying restrictions both showed that the model assumptions were satisfied.</w:t>
      </w:r>
    </w:p>
    <w:p w:rsidR="00312DB1" w:rsidRPr="00497540" w:rsidRDefault="00312DB1" w:rsidP="00312DB1">
      <w:pPr>
        <w:spacing w:after="0" w:line="240" w:lineRule="auto"/>
        <w:jc w:val="both"/>
        <w:rPr>
          <w:rFonts w:eastAsia="Times New Roman" w:cs="Cambria"/>
        </w:rPr>
      </w:pPr>
    </w:p>
    <w:p w:rsidR="001E624C" w:rsidRDefault="001E624C" w:rsidP="00312DB1">
      <w:pPr>
        <w:spacing w:after="0" w:line="240" w:lineRule="auto"/>
        <w:jc w:val="both"/>
        <w:rPr>
          <w:rFonts w:eastAsia="Times New Roman" w:cs="Cambria"/>
        </w:rPr>
      </w:pPr>
      <w:r w:rsidRPr="00070244">
        <w:rPr>
          <w:rFonts w:eastAsia="Times New Roman" w:cs="Cambria"/>
        </w:rPr>
        <w:t xml:space="preserve">In subgroup analyses, we stratified our analyses by sex and baseline depression. We also simulated an intervention. We restricted the sample to participants who did not have a hobby at baseline and either (i) did not have depression at baseline, or (ii) had depression at their baseline and explored whether taking up a hobby was associated either with (i) a lower chance of developing depression, or (ii) a higher chance of recovery from depression. </w:t>
      </w:r>
    </w:p>
    <w:p w:rsidR="00312DB1" w:rsidRPr="00420854" w:rsidRDefault="00312DB1" w:rsidP="00312DB1">
      <w:pPr>
        <w:spacing w:after="0" w:line="240" w:lineRule="auto"/>
        <w:jc w:val="both"/>
        <w:rPr>
          <w:rFonts w:eastAsia="Times New Roman" w:cs="Cambria"/>
          <w:b/>
          <w:color w:val="FF0000"/>
        </w:rPr>
      </w:pPr>
    </w:p>
    <w:p w:rsidR="001E624C" w:rsidRDefault="001E624C" w:rsidP="00312DB1">
      <w:pPr>
        <w:spacing w:after="0" w:line="240" w:lineRule="auto"/>
        <w:jc w:val="both"/>
        <w:rPr>
          <w:rFonts w:eastAsia="Times New Roman" w:cs="Cambria"/>
        </w:rPr>
      </w:pPr>
      <w:r w:rsidRPr="00070244">
        <w:rPr>
          <w:rFonts w:eastAsia="Times New Roman" w:cs="Cambria"/>
        </w:rPr>
        <w:t xml:space="preserve">Further sensitivity analyses tested assumptions. We considered that individuals who did not engage in hobbies might not have the time or financial resources to do so, so we re-ran analyses including questions on whether participants felt they had enough time to do everything they wanted in their lives or too little money to treat themselves from time to time. </w:t>
      </w:r>
      <w:r w:rsidR="00312DB1">
        <w:rPr>
          <w:rFonts w:eastAsia="Times New Roman" w:cs="Cambria"/>
        </w:rPr>
        <w:t>As some participants may</w:t>
      </w:r>
      <w:r w:rsidR="00F2262D">
        <w:rPr>
          <w:rFonts w:eastAsia="Times New Roman" w:cs="Cambria"/>
        </w:rPr>
        <w:t xml:space="preserve"> not ha</w:t>
      </w:r>
      <w:r w:rsidR="00312DB1">
        <w:rPr>
          <w:rFonts w:eastAsia="Times New Roman" w:cs="Cambria"/>
        </w:rPr>
        <w:t xml:space="preserve">ve considered certain activities as hobbies even though they fell under our definition, </w:t>
      </w:r>
      <w:r w:rsidRPr="00070244">
        <w:rPr>
          <w:rFonts w:eastAsia="Times New Roman" w:cs="Cambria"/>
        </w:rPr>
        <w:t xml:space="preserve">we expanded </w:t>
      </w:r>
      <w:r w:rsidR="00312DB1">
        <w:rPr>
          <w:rFonts w:eastAsia="Times New Roman" w:cs="Cambria"/>
        </w:rPr>
        <w:t xml:space="preserve">our exposure to include self-reported participation in </w:t>
      </w:r>
      <w:r w:rsidRPr="00070244">
        <w:rPr>
          <w:rFonts w:eastAsia="Times New Roman" w:cs="Cambria"/>
        </w:rPr>
        <w:t xml:space="preserve">evening or educational classes, arts groups, or music groups, which can </w:t>
      </w:r>
      <w:r w:rsidR="00312DB1">
        <w:rPr>
          <w:rFonts w:eastAsia="Times New Roman" w:cs="Cambria"/>
        </w:rPr>
        <w:t xml:space="preserve">all </w:t>
      </w:r>
      <w:r w:rsidRPr="00070244">
        <w:rPr>
          <w:rFonts w:eastAsia="Times New Roman" w:cs="Cambria"/>
        </w:rPr>
        <w:t xml:space="preserve">provide participants with the opportunity in which to undertake hobbies. To test the assumption of a threshold of 4+ on the CES-D scale, the alternative cut-off of 3+ used for identifying broader cases of depression was applied (20). As data were only gathered every 2 years, it is possible that some participants experienced a depressive episode in between data collection but recovered prior to the next data collection wave, so analyses may underestimate the incidence of cases over the follow-up period. So analyses were re-run using a combined index of (i) whether participants were above the threshold for depression on the CES-D scale, or (ii) whether they self-reported a physician diagnosis of depression since the last data collection wave. This produced a further 76 cases (equivalent to an additional 0.9% of participants experiencing depression). Finally, as fixed-effects regression models are static and have a strict exogeneity assumption, they do not make use of observable information from previous time periods. So linear dynamic panel-data models using the Arellano-Bond estimator were applied, which relax the exogeneity assumption and allow the inclusion of a time-lagged outcome, using the value of the dependent variable in the previous period as a predictor for the current value of the dependent variable </w:t>
      </w:r>
      <w:r w:rsidRPr="00070244">
        <w:rPr>
          <w:rFonts w:eastAsia="Times New Roman" w:cs="Cambria"/>
        </w:rPr>
        <w:fldChar w:fldCharType="begin"/>
      </w:r>
      <w:r w:rsidR="00F2262D">
        <w:rPr>
          <w:rFonts w:eastAsia="Times New Roman" w:cs="Cambria"/>
        </w:rPr>
        <w:instrText xml:space="preserve"> ADDIN ZOTERO_ITEM CSL_CITATION {"citationID":"r3XWwIuQ","properties":{"formattedCitation":"(15)","plainCitation":"(15)","noteIndex":0},"citationItems":[{"id":10950,"uris":["http://zotero.org/users/1416171/items/A5UCGVXS"],"uri":["http://zotero.org/users/1416171/items/A5UCGVXS"],"itemData":{"id":10950,"type":"article-journal","title":"Fixed effects analysis of repeated measures data","container-title":"International Journal of Epidemiology","page":"264-269","volume":"43","issue":"1","source":"academic.oup.com","abstract":"Abstract.  The analysis of repeated measures or panel data allows control of some of the biases which plague other observational studies, particularly unmeasure","DOI":"10.1093/ije/dyt221","ISSN":"0300-5771","journalAbbreviation":"Int J Epidemiol","language":"en","author":[{"family":"Gunasekara","given":"Fiona Imlach"},{"family":"Richardson","given":"Ken"},{"family":"Carter","given":"Kristie"},{"family":"Blakely","given":"Tony"}],"issued":{"date-parts":[["2014",2,1]]}}}],"schema":"https://github.com/citation-style-language/schema/raw/master/csl-citation.json"} </w:instrText>
      </w:r>
      <w:r w:rsidRPr="00070244">
        <w:rPr>
          <w:rFonts w:eastAsia="Times New Roman" w:cs="Cambria"/>
        </w:rPr>
        <w:fldChar w:fldCharType="separate"/>
      </w:r>
      <w:r w:rsidR="00F2262D" w:rsidRPr="00F2262D">
        <w:t>(15)</w:t>
      </w:r>
      <w:r w:rsidRPr="00070244">
        <w:rPr>
          <w:rFonts w:eastAsia="Times New Roman" w:cs="Cambria"/>
        </w:rPr>
        <w:fldChar w:fldCharType="end"/>
      </w:r>
      <w:r w:rsidRPr="00070244">
        <w:rPr>
          <w:rFonts w:eastAsia="Times New Roman" w:cs="Cambria"/>
        </w:rPr>
        <w:t xml:space="preserve">. </w:t>
      </w:r>
      <w:r w:rsidR="00312DB1">
        <w:rPr>
          <w:rFonts w:eastAsia="Times New Roman" w:cs="Cambria"/>
        </w:rPr>
        <w:t xml:space="preserve">This can help to confirm the direction of association. </w:t>
      </w:r>
      <w:r w:rsidRPr="00070244">
        <w:rPr>
          <w:rFonts w:eastAsia="Times New Roman" w:cs="Cambria"/>
        </w:rPr>
        <w:t>Sensitivity analyses were also run on all sub-group analyses and did not materially affect results so results from the imputed data set are presented here.</w:t>
      </w:r>
    </w:p>
    <w:p w:rsidR="00312DB1" w:rsidRPr="00420854" w:rsidRDefault="00312DB1" w:rsidP="00312DB1">
      <w:pPr>
        <w:spacing w:after="0" w:line="240" w:lineRule="auto"/>
        <w:jc w:val="both"/>
        <w:rPr>
          <w:rFonts w:eastAsia="Times New Roman" w:cs="Cambria"/>
          <w:b/>
          <w:color w:val="FF0000"/>
        </w:rPr>
      </w:pPr>
    </w:p>
    <w:p w:rsidR="00977DA3" w:rsidRDefault="00977DA3" w:rsidP="00312DB1">
      <w:pPr>
        <w:spacing w:after="0" w:line="240" w:lineRule="auto"/>
        <w:rPr>
          <w:b/>
        </w:rPr>
      </w:pPr>
    </w:p>
    <w:p w:rsidR="00C565BF" w:rsidRDefault="00977DA3" w:rsidP="00312DB1">
      <w:pPr>
        <w:spacing w:after="0" w:line="240" w:lineRule="auto"/>
        <w:rPr>
          <w:b/>
        </w:rPr>
      </w:pPr>
      <w:r>
        <w:rPr>
          <w:b/>
        </w:rPr>
        <w:lastRenderedPageBreak/>
        <w:t>R</w:t>
      </w:r>
      <w:r w:rsidR="001E624C">
        <w:rPr>
          <w:b/>
        </w:rPr>
        <w:t>esults</w:t>
      </w:r>
    </w:p>
    <w:p w:rsidR="00312DB1" w:rsidRDefault="001E624C" w:rsidP="00312DB1">
      <w:pPr>
        <w:spacing w:after="0" w:line="240" w:lineRule="auto"/>
        <w:jc w:val="both"/>
        <w:rPr>
          <w:rFonts w:eastAsia="Times New Roman" w:cs="Cambria"/>
        </w:rPr>
      </w:pPr>
      <w:r w:rsidRPr="00070244">
        <w:rPr>
          <w:rFonts w:eastAsia="Times New Roman" w:cs="Cambria"/>
        </w:rPr>
        <w:t>Participants who had a hobby at baseline were more likely to be male, have higher educational qualifications, be younger in age, married, of higher wealth, still working part- or full-time, be more socially engaged and lead healthier lifestyles. Pearson’s correlations showed an association between engaging in hobbies and level of depressive symptoms -0.17 (p&lt;.001), suggesting 3% of the variation in depressive symptoms was explained by engagement in hobbies.</w:t>
      </w:r>
    </w:p>
    <w:p w:rsidR="00312DB1" w:rsidRDefault="00312DB1">
      <w:pPr>
        <w:spacing w:after="160" w:line="259" w:lineRule="auto"/>
        <w:rPr>
          <w:rFonts w:eastAsia="Times New Roman" w:cs="Cambria"/>
          <w:b/>
        </w:rPr>
      </w:pPr>
    </w:p>
    <w:p w:rsidR="000D1F8D" w:rsidRPr="00070244" w:rsidRDefault="000D1F8D" w:rsidP="00312DB1">
      <w:pPr>
        <w:spacing w:after="0" w:line="240" w:lineRule="auto"/>
        <w:rPr>
          <w:rFonts w:eastAsia="Times New Roman" w:cs="Cambria"/>
          <w:b/>
        </w:rPr>
      </w:pPr>
      <w:r>
        <w:rPr>
          <w:rFonts w:eastAsia="Times New Roman" w:cs="Cambria"/>
          <w:b/>
        </w:rPr>
        <w:t xml:space="preserve">Supplementary </w:t>
      </w:r>
      <w:r w:rsidRPr="00070244">
        <w:rPr>
          <w:rFonts w:eastAsia="Times New Roman" w:cs="Cambria"/>
          <w:b/>
        </w:rPr>
        <w:t>Table 1: Sample characteristics</w:t>
      </w:r>
      <w:r w:rsidR="00207D52">
        <w:rPr>
          <w:rFonts w:eastAsia="Times New Roman" w:cs="Cambria"/>
          <w:b/>
        </w:rPr>
        <w:t xml:space="preserve"> and chi-square test comparing the characteristics of individuals with and without a hobby </w:t>
      </w:r>
    </w:p>
    <w:tbl>
      <w:tblPr>
        <w:tblStyle w:val="PlainTable21"/>
        <w:tblW w:w="10343" w:type="dxa"/>
        <w:tblInd w:w="-459" w:type="dxa"/>
        <w:tblLook w:val="04A0" w:firstRow="1" w:lastRow="0" w:firstColumn="1" w:lastColumn="0" w:noHBand="0" w:noVBand="1"/>
      </w:tblPr>
      <w:tblGrid>
        <w:gridCol w:w="4050"/>
        <w:gridCol w:w="1837"/>
        <w:gridCol w:w="1529"/>
        <w:gridCol w:w="1793"/>
        <w:gridCol w:w="1134"/>
      </w:tblGrid>
      <w:tr w:rsidR="000D1F8D" w:rsidRPr="00964DF3" w:rsidTr="005A1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rPr>
              <w:t>Characteristic</w:t>
            </w:r>
          </w:p>
        </w:tc>
        <w:tc>
          <w:tcPr>
            <w:tcW w:w="1837" w:type="dxa"/>
          </w:tcPr>
          <w:p w:rsidR="000D1F8D" w:rsidRPr="00070244" w:rsidRDefault="000D1F8D" w:rsidP="00312DB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N (%)</w:t>
            </w:r>
          </w:p>
        </w:tc>
        <w:tc>
          <w:tcPr>
            <w:tcW w:w="1529" w:type="dxa"/>
          </w:tcPr>
          <w:p w:rsidR="000D1F8D" w:rsidRPr="00070244" w:rsidRDefault="000D1F8D" w:rsidP="00312DB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Has a hobby (71.9%)</w:t>
            </w:r>
          </w:p>
        </w:tc>
        <w:tc>
          <w:tcPr>
            <w:tcW w:w="1793" w:type="dxa"/>
          </w:tcPr>
          <w:p w:rsidR="000D1F8D" w:rsidRPr="00070244" w:rsidRDefault="000D1F8D" w:rsidP="00312DB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Does not have a hobby (28.1%)</w:t>
            </w:r>
          </w:p>
        </w:tc>
        <w:tc>
          <w:tcPr>
            <w:tcW w:w="1134" w:type="dxa"/>
          </w:tcPr>
          <w:p w:rsidR="000D1F8D" w:rsidRPr="00070244" w:rsidRDefault="000D1F8D" w:rsidP="00312DB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p</w:t>
            </w:r>
          </w:p>
        </w:tc>
      </w:tr>
      <w:tr w:rsidR="000D1F8D" w:rsidRPr="00964DF3" w:rsidTr="005A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rPr>
              <w:t xml:space="preserve">Time-invariant characteristics </w:t>
            </w:r>
            <w:r w:rsidRPr="00070244">
              <w:rPr>
                <w:rFonts w:eastAsia="Times New Roman" w:cs="Cambria"/>
                <w:vertAlign w:val="superscript"/>
              </w:rPr>
              <w:t>a</w:t>
            </w:r>
          </w:p>
        </w:tc>
        <w:tc>
          <w:tcPr>
            <w:tcW w:w="1837"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b/>
              </w:rPr>
            </w:pPr>
          </w:p>
        </w:tc>
        <w:tc>
          <w:tcPr>
            <w:tcW w:w="1529"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b/>
              </w:rPr>
            </w:pPr>
          </w:p>
        </w:tc>
        <w:tc>
          <w:tcPr>
            <w:tcW w:w="1793"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b/>
              </w:rPr>
            </w:pPr>
          </w:p>
        </w:tc>
        <w:tc>
          <w:tcPr>
            <w:tcW w:w="1134"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b/>
              </w:rPr>
            </w:pPr>
          </w:p>
        </w:tc>
      </w:tr>
      <w:tr w:rsidR="000D1F8D" w:rsidRPr="00964DF3" w:rsidTr="005A140C">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Sex, % female</w:t>
            </w:r>
          </w:p>
        </w:tc>
        <w:tc>
          <w:tcPr>
            <w:tcW w:w="1837"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4,831 (55.0%)</w:t>
            </w:r>
          </w:p>
        </w:tc>
        <w:tc>
          <w:tcPr>
            <w:tcW w:w="1529"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53.7%</w:t>
            </w:r>
          </w:p>
        </w:tc>
        <w:tc>
          <w:tcPr>
            <w:tcW w:w="1793"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58.1%</w:t>
            </w:r>
          </w:p>
        </w:tc>
        <w:tc>
          <w:tcPr>
            <w:tcW w:w="1134"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&lt;.001</w:t>
            </w:r>
          </w:p>
        </w:tc>
      </w:tr>
      <w:tr w:rsidR="000D1F8D" w:rsidRPr="00964DF3" w:rsidTr="005A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White, %</w:t>
            </w:r>
          </w:p>
        </w:tc>
        <w:tc>
          <w:tcPr>
            <w:tcW w:w="1837"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8,574 (97.7%)</w:t>
            </w:r>
          </w:p>
        </w:tc>
        <w:tc>
          <w:tcPr>
            <w:tcW w:w="1529"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98.8%</w:t>
            </w:r>
          </w:p>
        </w:tc>
        <w:tc>
          <w:tcPr>
            <w:tcW w:w="1793"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97.4</w:t>
            </w:r>
          </w:p>
        </w:tc>
        <w:tc>
          <w:tcPr>
            <w:tcW w:w="1134"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&lt;.001</w:t>
            </w:r>
          </w:p>
        </w:tc>
      </w:tr>
      <w:tr w:rsidR="000D1F8D" w:rsidRPr="00964DF3" w:rsidTr="005A140C">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Educational attainment, %</w:t>
            </w:r>
          </w:p>
        </w:tc>
        <w:tc>
          <w:tcPr>
            <w:tcW w:w="1837"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p>
        </w:tc>
        <w:tc>
          <w:tcPr>
            <w:tcW w:w="1529"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p>
        </w:tc>
        <w:tc>
          <w:tcPr>
            <w:tcW w:w="1793"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p>
        </w:tc>
        <w:tc>
          <w:tcPr>
            <w:tcW w:w="1134"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&lt;.001</w:t>
            </w:r>
          </w:p>
        </w:tc>
      </w:tr>
      <w:tr w:rsidR="000D1F8D" w:rsidRPr="00964DF3" w:rsidTr="005A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 xml:space="preserve">  No qualifications / basic qualifications</w:t>
            </w:r>
          </w:p>
        </w:tc>
        <w:tc>
          <w:tcPr>
            <w:tcW w:w="1837"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3,878 (44.2%)</w:t>
            </w:r>
          </w:p>
        </w:tc>
        <w:tc>
          <w:tcPr>
            <w:tcW w:w="1529"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34.6%</w:t>
            </w:r>
          </w:p>
        </w:tc>
        <w:tc>
          <w:tcPr>
            <w:tcW w:w="1793"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60.8%</w:t>
            </w:r>
          </w:p>
        </w:tc>
        <w:tc>
          <w:tcPr>
            <w:tcW w:w="1134"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p>
        </w:tc>
      </w:tr>
      <w:tr w:rsidR="000D1F8D" w:rsidRPr="00964DF3" w:rsidTr="005A140C">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 xml:space="preserve">  GCSE / O-level / qualification at age 16</w:t>
            </w:r>
          </w:p>
        </w:tc>
        <w:tc>
          <w:tcPr>
            <w:tcW w:w="1837"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1,460 (16.7%)</w:t>
            </w:r>
          </w:p>
        </w:tc>
        <w:tc>
          <w:tcPr>
            <w:tcW w:w="1529"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19.1%</w:t>
            </w:r>
          </w:p>
        </w:tc>
        <w:tc>
          <w:tcPr>
            <w:tcW w:w="1793"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13.1%</w:t>
            </w:r>
          </w:p>
        </w:tc>
        <w:tc>
          <w:tcPr>
            <w:tcW w:w="1134"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p>
        </w:tc>
      </w:tr>
      <w:tr w:rsidR="000D1F8D" w:rsidRPr="00964DF3" w:rsidTr="005A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 xml:space="preserve">  A-levels / higher education / qualification at age 18</w:t>
            </w:r>
          </w:p>
        </w:tc>
        <w:tc>
          <w:tcPr>
            <w:tcW w:w="1837"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2,375 (27.1%)</w:t>
            </w:r>
          </w:p>
        </w:tc>
        <w:tc>
          <w:tcPr>
            <w:tcW w:w="1529"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30.9%</w:t>
            </w:r>
          </w:p>
        </w:tc>
        <w:tc>
          <w:tcPr>
            <w:tcW w:w="1793"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20.5%</w:t>
            </w:r>
          </w:p>
        </w:tc>
        <w:tc>
          <w:tcPr>
            <w:tcW w:w="1134"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p>
        </w:tc>
      </w:tr>
      <w:tr w:rsidR="000D1F8D" w:rsidRPr="00964DF3" w:rsidTr="005A140C">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 xml:space="preserve">  Degree / further higher qualification</w:t>
            </w:r>
          </w:p>
        </w:tc>
        <w:tc>
          <w:tcPr>
            <w:tcW w:w="1837"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1,057 (12.1%)</w:t>
            </w:r>
          </w:p>
        </w:tc>
        <w:tc>
          <w:tcPr>
            <w:tcW w:w="1529"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15.4%</w:t>
            </w:r>
          </w:p>
        </w:tc>
        <w:tc>
          <w:tcPr>
            <w:tcW w:w="1793"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5.6%</w:t>
            </w:r>
          </w:p>
        </w:tc>
        <w:tc>
          <w:tcPr>
            <w:tcW w:w="1134"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p>
        </w:tc>
      </w:tr>
      <w:tr w:rsidR="000D1F8D" w:rsidRPr="00964DF3" w:rsidTr="005A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rPr>
              <w:t>Time-varying characteristics (stated at baseline)</w:t>
            </w:r>
          </w:p>
        </w:tc>
        <w:tc>
          <w:tcPr>
            <w:tcW w:w="1837"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b/>
              </w:rPr>
            </w:pPr>
          </w:p>
        </w:tc>
        <w:tc>
          <w:tcPr>
            <w:tcW w:w="1529"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b/>
              </w:rPr>
            </w:pPr>
          </w:p>
        </w:tc>
        <w:tc>
          <w:tcPr>
            <w:tcW w:w="1793"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b/>
              </w:rPr>
            </w:pPr>
          </w:p>
        </w:tc>
        <w:tc>
          <w:tcPr>
            <w:tcW w:w="1134"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b/>
              </w:rPr>
            </w:pPr>
          </w:p>
        </w:tc>
      </w:tr>
      <w:tr w:rsidR="000D1F8D" w:rsidRPr="00964DF3" w:rsidTr="005A140C">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Age, %</w:t>
            </w:r>
          </w:p>
        </w:tc>
        <w:tc>
          <w:tcPr>
            <w:tcW w:w="1837"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p>
        </w:tc>
        <w:tc>
          <w:tcPr>
            <w:tcW w:w="1529"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p>
        </w:tc>
        <w:tc>
          <w:tcPr>
            <w:tcW w:w="1793"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p>
        </w:tc>
        <w:tc>
          <w:tcPr>
            <w:tcW w:w="1134"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&lt;.001</w:t>
            </w:r>
          </w:p>
        </w:tc>
      </w:tr>
      <w:tr w:rsidR="000D1F8D" w:rsidRPr="00964DF3" w:rsidTr="005A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 xml:space="preserve">  50-55</w:t>
            </w:r>
          </w:p>
        </w:tc>
        <w:tc>
          <w:tcPr>
            <w:tcW w:w="1837"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1,083 (12.3%)</w:t>
            </w:r>
          </w:p>
        </w:tc>
        <w:tc>
          <w:tcPr>
            <w:tcW w:w="1529"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12.9%</w:t>
            </w:r>
          </w:p>
        </w:tc>
        <w:tc>
          <w:tcPr>
            <w:tcW w:w="1793"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12.1%</w:t>
            </w:r>
          </w:p>
        </w:tc>
        <w:tc>
          <w:tcPr>
            <w:tcW w:w="1134"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p>
        </w:tc>
      </w:tr>
      <w:tr w:rsidR="000D1F8D" w:rsidRPr="00964DF3" w:rsidTr="005A140C">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 xml:space="preserve">  56-60</w:t>
            </w:r>
          </w:p>
        </w:tc>
        <w:tc>
          <w:tcPr>
            <w:tcW w:w="1837"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1,859 (21.2%)</w:t>
            </w:r>
          </w:p>
        </w:tc>
        <w:tc>
          <w:tcPr>
            <w:tcW w:w="1529"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23.4%</w:t>
            </w:r>
          </w:p>
        </w:tc>
        <w:tc>
          <w:tcPr>
            <w:tcW w:w="1793"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18.6%</w:t>
            </w:r>
          </w:p>
        </w:tc>
        <w:tc>
          <w:tcPr>
            <w:tcW w:w="1134"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p>
        </w:tc>
      </w:tr>
      <w:tr w:rsidR="000D1F8D" w:rsidRPr="00964DF3" w:rsidTr="005A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 xml:space="preserve">  61-65</w:t>
            </w:r>
          </w:p>
        </w:tc>
        <w:tc>
          <w:tcPr>
            <w:tcW w:w="1837"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1,399 (15.9%)</w:t>
            </w:r>
          </w:p>
        </w:tc>
        <w:tc>
          <w:tcPr>
            <w:tcW w:w="1529"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17.5%</w:t>
            </w:r>
          </w:p>
        </w:tc>
        <w:tc>
          <w:tcPr>
            <w:tcW w:w="1793"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14.1%</w:t>
            </w:r>
          </w:p>
        </w:tc>
        <w:tc>
          <w:tcPr>
            <w:tcW w:w="1134"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p>
        </w:tc>
      </w:tr>
      <w:tr w:rsidR="000D1F8D" w:rsidRPr="00964DF3" w:rsidTr="005A140C">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 xml:space="preserve">  66-70</w:t>
            </w:r>
          </w:p>
        </w:tc>
        <w:tc>
          <w:tcPr>
            <w:tcW w:w="1837"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1,386 (15.8%)</w:t>
            </w:r>
          </w:p>
        </w:tc>
        <w:tc>
          <w:tcPr>
            <w:tcW w:w="1529"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17.0%</w:t>
            </w:r>
          </w:p>
        </w:tc>
        <w:tc>
          <w:tcPr>
            <w:tcW w:w="1793"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15.2%</w:t>
            </w:r>
          </w:p>
        </w:tc>
        <w:tc>
          <w:tcPr>
            <w:tcW w:w="1134"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p>
        </w:tc>
      </w:tr>
      <w:tr w:rsidR="000D1F8D" w:rsidRPr="00964DF3" w:rsidTr="005A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 xml:space="preserve">  71-75</w:t>
            </w:r>
          </w:p>
        </w:tc>
        <w:tc>
          <w:tcPr>
            <w:tcW w:w="1837"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1,203 (13.7%)</w:t>
            </w:r>
          </w:p>
        </w:tc>
        <w:tc>
          <w:tcPr>
            <w:tcW w:w="1529"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13.3%</w:t>
            </w:r>
          </w:p>
        </w:tc>
        <w:tc>
          <w:tcPr>
            <w:tcW w:w="1793"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14.5%</w:t>
            </w:r>
          </w:p>
        </w:tc>
        <w:tc>
          <w:tcPr>
            <w:tcW w:w="1134"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p>
        </w:tc>
      </w:tr>
      <w:tr w:rsidR="000D1F8D" w:rsidRPr="00964DF3" w:rsidTr="005A140C">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 xml:space="preserve">  76+</w:t>
            </w:r>
          </w:p>
        </w:tc>
        <w:tc>
          <w:tcPr>
            <w:tcW w:w="1837"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1,850 (21.1)</w:t>
            </w:r>
          </w:p>
        </w:tc>
        <w:tc>
          <w:tcPr>
            <w:tcW w:w="1529"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15.9%</w:t>
            </w:r>
          </w:p>
        </w:tc>
        <w:tc>
          <w:tcPr>
            <w:tcW w:w="1793"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25.5%</w:t>
            </w:r>
          </w:p>
        </w:tc>
        <w:tc>
          <w:tcPr>
            <w:tcW w:w="1134"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p>
        </w:tc>
      </w:tr>
      <w:tr w:rsidR="000D1F8D" w:rsidRPr="00964DF3" w:rsidTr="005A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Married/cohabiting, %</w:t>
            </w:r>
          </w:p>
        </w:tc>
        <w:tc>
          <w:tcPr>
            <w:tcW w:w="1837"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5,955 (67.8%)</w:t>
            </w:r>
          </w:p>
        </w:tc>
        <w:tc>
          <w:tcPr>
            <w:tcW w:w="1529"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73.2%</w:t>
            </w:r>
          </w:p>
        </w:tc>
        <w:tc>
          <w:tcPr>
            <w:tcW w:w="1793"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64.1%</w:t>
            </w:r>
          </w:p>
        </w:tc>
        <w:tc>
          <w:tcPr>
            <w:tcW w:w="1134"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&lt;.001</w:t>
            </w:r>
          </w:p>
        </w:tc>
      </w:tr>
      <w:tr w:rsidR="000D1F8D" w:rsidRPr="00964DF3" w:rsidTr="005A140C">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Lowest wealth quintile, %</w:t>
            </w:r>
          </w:p>
        </w:tc>
        <w:tc>
          <w:tcPr>
            <w:tcW w:w="1837"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1,733 (20.0%)</w:t>
            </w:r>
          </w:p>
        </w:tc>
        <w:tc>
          <w:tcPr>
            <w:tcW w:w="1529"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13.9%</w:t>
            </w:r>
          </w:p>
        </w:tc>
        <w:tc>
          <w:tcPr>
            <w:tcW w:w="1793"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27.9%</w:t>
            </w:r>
          </w:p>
        </w:tc>
        <w:tc>
          <w:tcPr>
            <w:tcW w:w="1134"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&lt;.001</w:t>
            </w:r>
          </w:p>
        </w:tc>
      </w:tr>
      <w:tr w:rsidR="000D1F8D" w:rsidRPr="00964DF3" w:rsidTr="005A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Working full- or part-time, %</w:t>
            </w:r>
          </w:p>
        </w:tc>
        <w:tc>
          <w:tcPr>
            <w:tcW w:w="1837"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2,764 (31.7%)</w:t>
            </w:r>
          </w:p>
        </w:tc>
        <w:tc>
          <w:tcPr>
            <w:tcW w:w="1529"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34.9%</w:t>
            </w:r>
          </w:p>
        </w:tc>
        <w:tc>
          <w:tcPr>
            <w:tcW w:w="1793"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28.3%</w:t>
            </w:r>
          </w:p>
        </w:tc>
        <w:tc>
          <w:tcPr>
            <w:tcW w:w="1134"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&lt;.001</w:t>
            </w:r>
          </w:p>
        </w:tc>
      </w:tr>
      <w:tr w:rsidR="000D1F8D" w:rsidRPr="00964DF3" w:rsidTr="005A140C">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 xml:space="preserve">Fair/poor eyesight, % </w:t>
            </w:r>
          </w:p>
        </w:tc>
        <w:tc>
          <w:tcPr>
            <w:tcW w:w="1837"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1,285 (14.6%)</w:t>
            </w:r>
          </w:p>
        </w:tc>
        <w:tc>
          <w:tcPr>
            <w:tcW w:w="1529"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9.9%</w:t>
            </w:r>
          </w:p>
        </w:tc>
        <w:tc>
          <w:tcPr>
            <w:tcW w:w="1793"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19.6%</w:t>
            </w:r>
          </w:p>
        </w:tc>
        <w:tc>
          <w:tcPr>
            <w:tcW w:w="1134"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&lt;.001</w:t>
            </w:r>
          </w:p>
        </w:tc>
      </w:tr>
      <w:tr w:rsidR="000D1F8D" w:rsidRPr="00964DF3" w:rsidTr="005A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Fair/poor hearing, %</w:t>
            </w:r>
          </w:p>
        </w:tc>
        <w:tc>
          <w:tcPr>
            <w:tcW w:w="1837"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1,933 (22.0%)</w:t>
            </w:r>
          </w:p>
        </w:tc>
        <w:tc>
          <w:tcPr>
            <w:tcW w:w="1529"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19.3%</w:t>
            </w:r>
          </w:p>
        </w:tc>
        <w:tc>
          <w:tcPr>
            <w:tcW w:w="1793"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26.3%</w:t>
            </w:r>
          </w:p>
        </w:tc>
        <w:tc>
          <w:tcPr>
            <w:tcW w:w="1134"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&lt;.001</w:t>
            </w:r>
          </w:p>
        </w:tc>
      </w:tr>
      <w:tr w:rsidR="000D1F8D" w:rsidRPr="00964DF3" w:rsidTr="005A140C">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Frequency of drinking alcohol, %</w:t>
            </w:r>
          </w:p>
        </w:tc>
        <w:tc>
          <w:tcPr>
            <w:tcW w:w="1837"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p>
        </w:tc>
        <w:tc>
          <w:tcPr>
            <w:tcW w:w="1529"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p>
        </w:tc>
        <w:tc>
          <w:tcPr>
            <w:tcW w:w="1793"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p>
        </w:tc>
        <w:tc>
          <w:tcPr>
            <w:tcW w:w="1134"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&lt;.001</w:t>
            </w:r>
          </w:p>
        </w:tc>
      </w:tr>
      <w:tr w:rsidR="000D1F8D" w:rsidRPr="00964DF3" w:rsidTr="005A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 xml:space="preserve">  Less than once a week</w:t>
            </w:r>
          </w:p>
        </w:tc>
        <w:tc>
          <w:tcPr>
            <w:tcW w:w="1837"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4,143 (47.2%)</w:t>
            </w:r>
          </w:p>
        </w:tc>
        <w:tc>
          <w:tcPr>
            <w:tcW w:w="1529"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36.7%</w:t>
            </w:r>
          </w:p>
        </w:tc>
        <w:tc>
          <w:tcPr>
            <w:tcW w:w="1793"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50.1%</w:t>
            </w:r>
          </w:p>
        </w:tc>
        <w:tc>
          <w:tcPr>
            <w:tcW w:w="1134"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p>
        </w:tc>
      </w:tr>
      <w:tr w:rsidR="000D1F8D" w:rsidRPr="00964DF3" w:rsidTr="005A140C">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 xml:space="preserve">  Once or twice a week</w:t>
            </w:r>
          </w:p>
        </w:tc>
        <w:tc>
          <w:tcPr>
            <w:tcW w:w="1837"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1,941 (22.1%)</w:t>
            </w:r>
          </w:p>
        </w:tc>
        <w:tc>
          <w:tcPr>
            <w:tcW w:w="1529"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25.7%</w:t>
            </w:r>
          </w:p>
        </w:tc>
        <w:tc>
          <w:tcPr>
            <w:tcW w:w="1793"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22.9%</w:t>
            </w:r>
          </w:p>
        </w:tc>
        <w:tc>
          <w:tcPr>
            <w:tcW w:w="1134"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p>
        </w:tc>
      </w:tr>
      <w:tr w:rsidR="000D1F8D" w:rsidRPr="00964DF3" w:rsidTr="005A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 xml:space="preserve">  3 or 4 times a week</w:t>
            </w:r>
          </w:p>
        </w:tc>
        <w:tc>
          <w:tcPr>
            <w:tcW w:w="1837"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895 (10.2%)</w:t>
            </w:r>
          </w:p>
        </w:tc>
        <w:tc>
          <w:tcPr>
            <w:tcW w:w="1529"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12.6%</w:t>
            </w:r>
          </w:p>
        </w:tc>
        <w:tc>
          <w:tcPr>
            <w:tcW w:w="1793"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8.6%</w:t>
            </w:r>
          </w:p>
        </w:tc>
        <w:tc>
          <w:tcPr>
            <w:tcW w:w="1134"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p>
        </w:tc>
      </w:tr>
      <w:tr w:rsidR="000D1F8D" w:rsidRPr="00964DF3" w:rsidTr="005A140C">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 xml:space="preserve">  5 or more times a week</w:t>
            </w:r>
          </w:p>
        </w:tc>
        <w:tc>
          <w:tcPr>
            <w:tcW w:w="1837"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1,801 (20.5%)</w:t>
            </w:r>
          </w:p>
        </w:tc>
        <w:tc>
          <w:tcPr>
            <w:tcW w:w="1529"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25.1%</w:t>
            </w:r>
          </w:p>
        </w:tc>
        <w:tc>
          <w:tcPr>
            <w:tcW w:w="1793"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18.4%</w:t>
            </w:r>
          </w:p>
        </w:tc>
        <w:tc>
          <w:tcPr>
            <w:tcW w:w="1134"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p>
        </w:tc>
      </w:tr>
      <w:tr w:rsidR="000D1F8D" w:rsidRPr="00964DF3" w:rsidTr="005A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Smoker, %</w:t>
            </w:r>
          </w:p>
        </w:tc>
        <w:tc>
          <w:tcPr>
            <w:tcW w:w="1837"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1,329 (15.2%)</w:t>
            </w:r>
          </w:p>
        </w:tc>
        <w:tc>
          <w:tcPr>
            <w:tcW w:w="1529"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12.5%</w:t>
            </w:r>
          </w:p>
        </w:tc>
        <w:tc>
          <w:tcPr>
            <w:tcW w:w="1793"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19.6%</w:t>
            </w:r>
          </w:p>
        </w:tc>
        <w:tc>
          <w:tcPr>
            <w:tcW w:w="1134"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&lt;.001</w:t>
            </w:r>
          </w:p>
        </w:tc>
      </w:tr>
      <w:tr w:rsidR="000D1F8D" w:rsidRPr="00964DF3" w:rsidTr="005A140C">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Has a chronic health condition, %</w:t>
            </w:r>
          </w:p>
        </w:tc>
        <w:tc>
          <w:tcPr>
            <w:tcW w:w="1837"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3,220 (36.7%)</w:t>
            </w:r>
          </w:p>
        </w:tc>
        <w:tc>
          <w:tcPr>
            <w:tcW w:w="1529"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33.8%</w:t>
            </w:r>
          </w:p>
        </w:tc>
        <w:tc>
          <w:tcPr>
            <w:tcW w:w="1793"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41.0%</w:t>
            </w:r>
          </w:p>
        </w:tc>
        <w:tc>
          <w:tcPr>
            <w:tcW w:w="1134"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&lt;.001</w:t>
            </w:r>
          </w:p>
        </w:tc>
      </w:tr>
      <w:tr w:rsidR="000D1F8D" w:rsidRPr="00964DF3" w:rsidTr="005A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Has chronic pain, %</w:t>
            </w:r>
          </w:p>
        </w:tc>
        <w:tc>
          <w:tcPr>
            <w:tcW w:w="1837"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2,418 (27.5%)</w:t>
            </w:r>
          </w:p>
        </w:tc>
        <w:tc>
          <w:tcPr>
            <w:tcW w:w="1529"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23.7%</w:t>
            </w:r>
          </w:p>
        </w:tc>
        <w:tc>
          <w:tcPr>
            <w:tcW w:w="1793"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34.9%</w:t>
            </w:r>
          </w:p>
        </w:tc>
        <w:tc>
          <w:tcPr>
            <w:tcW w:w="1134"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&lt;.001</w:t>
            </w:r>
          </w:p>
        </w:tc>
      </w:tr>
      <w:tr w:rsidR="000D1F8D" w:rsidRPr="00964DF3" w:rsidTr="005A140C">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Reads a daily newspaper, %</w:t>
            </w:r>
          </w:p>
        </w:tc>
        <w:tc>
          <w:tcPr>
            <w:tcW w:w="1837"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5,181 (59.0%)</w:t>
            </w:r>
          </w:p>
        </w:tc>
        <w:tc>
          <w:tcPr>
            <w:tcW w:w="1529"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68.3%</w:t>
            </w:r>
          </w:p>
        </w:tc>
        <w:tc>
          <w:tcPr>
            <w:tcW w:w="1793"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66.3%</w:t>
            </w:r>
          </w:p>
        </w:tc>
        <w:tc>
          <w:tcPr>
            <w:tcW w:w="1134"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.082</w:t>
            </w:r>
          </w:p>
        </w:tc>
      </w:tr>
      <w:tr w:rsidR="000D1F8D" w:rsidRPr="00964DF3" w:rsidTr="005A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Lowest quartile for social interaction, %</w:t>
            </w:r>
          </w:p>
        </w:tc>
        <w:tc>
          <w:tcPr>
            <w:tcW w:w="1837"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2,111 (24.0%)</w:t>
            </w:r>
          </w:p>
        </w:tc>
        <w:tc>
          <w:tcPr>
            <w:tcW w:w="1529"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12.0%</w:t>
            </w:r>
          </w:p>
        </w:tc>
        <w:tc>
          <w:tcPr>
            <w:tcW w:w="1793"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20.8%</w:t>
            </w:r>
          </w:p>
        </w:tc>
        <w:tc>
          <w:tcPr>
            <w:tcW w:w="1134" w:type="dxa"/>
          </w:tcPr>
          <w:p w:rsidR="000D1F8D" w:rsidRPr="00070244" w:rsidRDefault="000D1F8D" w:rsidP="00312D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mbria"/>
              </w:rPr>
            </w:pPr>
            <w:r w:rsidRPr="00070244">
              <w:rPr>
                <w:rFonts w:eastAsia="Times New Roman" w:cs="Cambria"/>
              </w:rPr>
              <w:t>&lt;.001</w:t>
            </w:r>
          </w:p>
        </w:tc>
      </w:tr>
      <w:tr w:rsidR="000D1F8D" w:rsidRPr="00964DF3" w:rsidTr="005A140C">
        <w:tc>
          <w:tcPr>
            <w:cnfStyle w:val="001000000000" w:firstRow="0" w:lastRow="0" w:firstColumn="1" w:lastColumn="0" w:oddVBand="0" w:evenVBand="0" w:oddHBand="0" w:evenHBand="0" w:firstRowFirstColumn="0" w:firstRowLastColumn="0" w:lastRowFirstColumn="0" w:lastRowLastColumn="0"/>
            <w:tcW w:w="4050" w:type="dxa"/>
          </w:tcPr>
          <w:p w:rsidR="000D1F8D" w:rsidRPr="00070244" w:rsidRDefault="000D1F8D" w:rsidP="00312DB1">
            <w:pPr>
              <w:spacing w:after="0" w:line="240" w:lineRule="auto"/>
              <w:rPr>
                <w:rFonts w:eastAsia="Times New Roman" w:cs="Cambria"/>
              </w:rPr>
            </w:pPr>
            <w:r w:rsidRPr="00070244">
              <w:rPr>
                <w:rFonts w:eastAsia="Times New Roman" w:cs="Cambria"/>
                <w:b w:val="0"/>
              </w:rPr>
              <w:t>Leads a sedentary lifestyle, %</w:t>
            </w:r>
          </w:p>
        </w:tc>
        <w:tc>
          <w:tcPr>
            <w:tcW w:w="1837"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749 (8.6%)</w:t>
            </w:r>
          </w:p>
        </w:tc>
        <w:tc>
          <w:tcPr>
            <w:tcW w:w="1529"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5.1%</w:t>
            </w:r>
          </w:p>
        </w:tc>
        <w:tc>
          <w:tcPr>
            <w:tcW w:w="1793"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12.6%</w:t>
            </w:r>
          </w:p>
        </w:tc>
        <w:tc>
          <w:tcPr>
            <w:tcW w:w="1134" w:type="dxa"/>
          </w:tcPr>
          <w:p w:rsidR="000D1F8D" w:rsidRPr="00070244" w:rsidRDefault="000D1F8D" w:rsidP="00312D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mbria"/>
              </w:rPr>
            </w:pPr>
            <w:r w:rsidRPr="00070244">
              <w:rPr>
                <w:rFonts w:eastAsia="Times New Roman" w:cs="Cambria"/>
              </w:rPr>
              <w:t>&lt;.001</w:t>
            </w:r>
          </w:p>
        </w:tc>
      </w:tr>
    </w:tbl>
    <w:p w:rsidR="000D1F8D" w:rsidRPr="00070244" w:rsidRDefault="000D1F8D" w:rsidP="00312DB1">
      <w:pPr>
        <w:spacing w:after="0" w:line="240" w:lineRule="auto"/>
        <w:rPr>
          <w:rFonts w:eastAsia="Times New Roman" w:cs="Cambria"/>
          <w:i/>
          <w:sz w:val="20"/>
        </w:rPr>
      </w:pPr>
      <w:r w:rsidRPr="00070244">
        <w:rPr>
          <w:rFonts w:eastAsia="Times New Roman" w:cs="Cambria"/>
          <w:b/>
          <w:i/>
          <w:sz w:val="20"/>
          <w:vertAlign w:val="superscript"/>
        </w:rPr>
        <w:t xml:space="preserve">a </w:t>
      </w:r>
      <w:r w:rsidRPr="00070244">
        <w:rPr>
          <w:rFonts w:eastAsia="Times New Roman" w:cs="Cambria"/>
          <w:i/>
          <w:sz w:val="20"/>
        </w:rPr>
        <w:t>Shown here for descriptive purposes but not included in analysis</w:t>
      </w:r>
    </w:p>
    <w:p w:rsidR="000D1F8D" w:rsidRPr="00070244" w:rsidRDefault="000D1F8D" w:rsidP="00312DB1">
      <w:pPr>
        <w:spacing w:after="0" w:line="240" w:lineRule="auto"/>
        <w:rPr>
          <w:rFonts w:eastAsia="Times New Roman" w:cs="Cambria"/>
          <w:i/>
          <w:sz w:val="20"/>
        </w:rPr>
      </w:pPr>
      <w:r w:rsidRPr="00070244">
        <w:rPr>
          <w:rFonts w:eastAsia="Times New Roman" w:cs="Cambria"/>
          <w:i/>
          <w:sz w:val="20"/>
          <w:vertAlign w:val="superscript"/>
        </w:rPr>
        <w:t>b</w:t>
      </w:r>
      <w:r w:rsidRPr="00070244">
        <w:rPr>
          <w:rFonts w:eastAsia="Times New Roman" w:cs="Cambria"/>
          <w:i/>
          <w:sz w:val="20"/>
        </w:rPr>
        <w:t xml:space="preserve"> Wealth divided into quintiles so not reported here</w:t>
      </w:r>
    </w:p>
    <w:p w:rsidR="000D1F8D" w:rsidRDefault="000D1F8D" w:rsidP="00312DB1">
      <w:pPr>
        <w:spacing w:after="0" w:line="240" w:lineRule="auto"/>
      </w:pPr>
    </w:p>
    <w:p w:rsidR="000D1F8D" w:rsidRDefault="000D1F8D" w:rsidP="00312DB1">
      <w:pPr>
        <w:spacing w:after="0" w:line="240" w:lineRule="auto"/>
      </w:pPr>
    </w:p>
    <w:p w:rsidR="000D1F8D" w:rsidRDefault="000D1F8D" w:rsidP="00312DB1">
      <w:pPr>
        <w:spacing w:after="0" w:line="240" w:lineRule="auto"/>
        <w:rPr>
          <w:rFonts w:eastAsia="Times New Roman" w:cs="Cambria"/>
          <w:b/>
        </w:rPr>
      </w:pPr>
      <w:r>
        <w:rPr>
          <w:rFonts w:eastAsia="Times New Roman" w:cs="Cambria"/>
          <w:b/>
        </w:rPr>
        <w:br w:type="page"/>
      </w:r>
    </w:p>
    <w:p w:rsidR="000D1F8D" w:rsidRPr="000D1F8D" w:rsidRDefault="000D1F8D" w:rsidP="00312DB1">
      <w:pPr>
        <w:spacing w:after="0" w:line="240" w:lineRule="auto"/>
        <w:jc w:val="both"/>
        <w:rPr>
          <w:rFonts w:eastAsia="Times New Roman" w:cs="Cambria"/>
          <w:b/>
        </w:rPr>
      </w:pPr>
    </w:p>
    <w:p w:rsidR="000D1F8D" w:rsidRPr="000D1F8D" w:rsidRDefault="000D1F8D" w:rsidP="00312DB1">
      <w:pPr>
        <w:spacing w:after="0" w:line="240" w:lineRule="auto"/>
        <w:jc w:val="both"/>
        <w:rPr>
          <w:rFonts w:eastAsia="Times New Roman" w:cs="Cambria"/>
          <w:b/>
        </w:rPr>
      </w:pPr>
      <w:r w:rsidRPr="000D1F8D">
        <w:rPr>
          <w:rFonts w:eastAsia="Times New Roman" w:cs="Cambria"/>
          <w:b/>
        </w:rPr>
        <w:t>References</w:t>
      </w:r>
    </w:p>
    <w:p w:rsidR="00F2262D" w:rsidRPr="00F2262D" w:rsidRDefault="000D1F8D" w:rsidP="00977DA3">
      <w:pPr>
        <w:pStyle w:val="Bibliography"/>
        <w:spacing w:after="0"/>
      </w:pPr>
      <w:r>
        <w:rPr>
          <w:rFonts w:eastAsia="Times New Roman" w:cs="Cambria"/>
          <w:b/>
        </w:rPr>
        <w:fldChar w:fldCharType="begin"/>
      </w:r>
      <w:r>
        <w:rPr>
          <w:rFonts w:eastAsia="Times New Roman" w:cs="Cambria"/>
          <w:b/>
        </w:rPr>
        <w:instrText xml:space="preserve"> ADDIN ZOTERO_BIBL {"uncited":[],"omitted":[],"custom":[]} CSL_BIBLIOGRAPHY </w:instrText>
      </w:r>
      <w:r>
        <w:rPr>
          <w:rFonts w:eastAsia="Times New Roman" w:cs="Cambria"/>
          <w:b/>
        </w:rPr>
        <w:fldChar w:fldCharType="separate"/>
      </w:r>
      <w:r w:rsidR="00F2262D" w:rsidRPr="00F2262D">
        <w:t xml:space="preserve">1. </w:t>
      </w:r>
      <w:r w:rsidR="00F2262D" w:rsidRPr="00F2262D">
        <w:tab/>
        <w:t xml:space="preserve">Steptoe A, Breeze E, Banks J, Nazroo J. Cohort Profile: The English Longitudinal Study of Ageing. Int J Epidemiol. 2013 Dec;42(6):1640–8. </w:t>
      </w:r>
    </w:p>
    <w:p w:rsidR="00F2262D" w:rsidRPr="00F2262D" w:rsidRDefault="00F2262D" w:rsidP="00977DA3">
      <w:pPr>
        <w:pStyle w:val="Bibliography"/>
        <w:spacing w:after="0"/>
      </w:pPr>
      <w:r w:rsidRPr="00F2262D">
        <w:t xml:space="preserve">2. </w:t>
      </w:r>
      <w:r w:rsidRPr="00F2262D">
        <w:tab/>
        <w:t xml:space="preserve">Steptoe A, Breeze E, Banks J, Nazroo J. Cohort Profile: The English Longitudinal Study of Ageing. Int J Epidemiol. 2013 Dec 1;42(6):1640–8. </w:t>
      </w:r>
    </w:p>
    <w:p w:rsidR="00F2262D" w:rsidRPr="00F2262D" w:rsidRDefault="00F2262D" w:rsidP="00977DA3">
      <w:pPr>
        <w:pStyle w:val="Bibliography"/>
        <w:spacing w:after="0"/>
      </w:pPr>
      <w:r w:rsidRPr="00F2262D">
        <w:t xml:space="preserve">3. </w:t>
      </w:r>
      <w:r w:rsidRPr="00F2262D">
        <w:tab/>
        <w:t xml:space="preserve">Radloff LS. The CES-D Scale: A Self-Report Depression Scale for Research in the General Population. Appl Psychol Meas. 1977 Jun 1;1(3):385–401. </w:t>
      </w:r>
    </w:p>
    <w:p w:rsidR="00F2262D" w:rsidRPr="00F2262D" w:rsidRDefault="00F2262D" w:rsidP="00977DA3">
      <w:pPr>
        <w:pStyle w:val="Bibliography"/>
        <w:spacing w:after="0"/>
      </w:pPr>
      <w:r w:rsidRPr="00F2262D">
        <w:t xml:space="preserve">4. </w:t>
      </w:r>
      <w:r w:rsidRPr="00F2262D">
        <w:tab/>
        <w:t xml:space="preserve">Turvey CL, Wallace RB, Herzog R. A revised CES-D measure of depressive symptoms and a DSM-based measure of major depressive episodes in the elderly. Int Psychogeriatr. 1999 Jun;11(2):139–48. </w:t>
      </w:r>
    </w:p>
    <w:p w:rsidR="00F2262D" w:rsidRPr="00F2262D" w:rsidRDefault="00F2262D" w:rsidP="00977DA3">
      <w:pPr>
        <w:pStyle w:val="Bibliography"/>
        <w:spacing w:after="0"/>
      </w:pPr>
      <w:r w:rsidRPr="00F2262D">
        <w:t xml:space="preserve">5. </w:t>
      </w:r>
      <w:r w:rsidRPr="00F2262D">
        <w:tab/>
        <w:t xml:space="preserve">Steffick DE. Documentation of affective functioning measures in the Health and Retirement Study. Ann Arbor MI HRS Health Work Group. 2000; </w:t>
      </w:r>
    </w:p>
    <w:p w:rsidR="00F2262D" w:rsidRPr="00F2262D" w:rsidRDefault="00F2262D" w:rsidP="00977DA3">
      <w:pPr>
        <w:pStyle w:val="Bibliography"/>
        <w:spacing w:after="0"/>
      </w:pPr>
      <w:r w:rsidRPr="00F2262D">
        <w:t xml:space="preserve">6. </w:t>
      </w:r>
      <w:r w:rsidRPr="00F2262D">
        <w:tab/>
        <w:t xml:space="preserve">Neulinger J. The psychology of leisure: Research approaches to the study of leisure. Springf I. 1974;11:295–306. </w:t>
      </w:r>
    </w:p>
    <w:p w:rsidR="00F2262D" w:rsidRPr="00F2262D" w:rsidRDefault="00F2262D" w:rsidP="00977DA3">
      <w:pPr>
        <w:pStyle w:val="Bibliography"/>
        <w:spacing w:after="0"/>
      </w:pPr>
      <w:r w:rsidRPr="00F2262D">
        <w:t xml:space="preserve">7. </w:t>
      </w:r>
      <w:r w:rsidRPr="00F2262D">
        <w:tab/>
        <w:t xml:space="preserve">Adams KB, Leibbrandt S, Moon H. A critical review of the literature on social and leisure activity and wellbeing in later life. Ageing Soc. 2011 May;31(4):683–712. </w:t>
      </w:r>
    </w:p>
    <w:p w:rsidR="00F2262D" w:rsidRPr="00F2262D" w:rsidRDefault="00F2262D" w:rsidP="00977DA3">
      <w:pPr>
        <w:pStyle w:val="Bibliography"/>
        <w:spacing w:after="0"/>
      </w:pPr>
      <w:r w:rsidRPr="00F2262D">
        <w:t xml:space="preserve">8. </w:t>
      </w:r>
      <w:r w:rsidRPr="00F2262D">
        <w:tab/>
        <w:t xml:space="preserve">Stebbins RA. Serious Leisure: A Conceptual Statement. Pac Sociol Rev. 1982 Apr;25(2):251–72. </w:t>
      </w:r>
    </w:p>
    <w:p w:rsidR="00F2262D" w:rsidRPr="00F2262D" w:rsidRDefault="00F2262D" w:rsidP="00977DA3">
      <w:pPr>
        <w:pStyle w:val="Bibliography"/>
        <w:spacing w:after="0"/>
      </w:pPr>
      <w:r w:rsidRPr="00F2262D">
        <w:t xml:space="preserve">9. </w:t>
      </w:r>
      <w:r w:rsidRPr="00F2262D">
        <w:tab/>
        <w:t xml:space="preserve">Gelber SM. Hobbies: Leisure and the culture of work in America. Columbia University Press; 1999. </w:t>
      </w:r>
    </w:p>
    <w:p w:rsidR="00F2262D" w:rsidRPr="00F2262D" w:rsidRDefault="00F2262D" w:rsidP="00977DA3">
      <w:pPr>
        <w:pStyle w:val="Bibliography"/>
        <w:spacing w:after="0"/>
      </w:pPr>
      <w:r w:rsidRPr="00F2262D">
        <w:t xml:space="preserve">10. </w:t>
      </w:r>
      <w:r w:rsidRPr="00F2262D">
        <w:tab/>
        <w:t xml:space="preserve">Daily LZ. Towards a definition of “hobby”: An empirical test of a proposed operational definition of the word hobby. J Occup Sci. 2018 Jul 3;25(3):368–82. </w:t>
      </w:r>
    </w:p>
    <w:p w:rsidR="00F2262D" w:rsidRPr="00F2262D" w:rsidRDefault="00F2262D" w:rsidP="00977DA3">
      <w:pPr>
        <w:pStyle w:val="Bibliography"/>
        <w:spacing w:after="0"/>
      </w:pPr>
      <w:r w:rsidRPr="00F2262D">
        <w:t xml:space="preserve">11. </w:t>
      </w:r>
      <w:r w:rsidRPr="00F2262D">
        <w:tab/>
        <w:t xml:space="preserve">Stebbins RA. The liberal arts hobbies: A neglected subtype of serious leisure. Loisir SociétéSociety Leis. 1994;17(1):173–186. </w:t>
      </w:r>
    </w:p>
    <w:p w:rsidR="00F2262D" w:rsidRPr="00F2262D" w:rsidRDefault="00F2262D" w:rsidP="00977DA3">
      <w:pPr>
        <w:pStyle w:val="Bibliography"/>
        <w:spacing w:after="0"/>
      </w:pPr>
      <w:r w:rsidRPr="00F2262D">
        <w:t xml:space="preserve">12. </w:t>
      </w:r>
      <w:r w:rsidRPr="00F2262D">
        <w:tab/>
        <w:t xml:space="preserve">Banks J, Karlsen S, Oldfield Z. Socio-economic position. In: Marmot M, Banks J, Blundell R, Lessof C, Nazroo J, editors. Health, Wealth and Lifestyles of the Older Population in England. Institute for Fiscal Studies, London; 2003. p. 71–125. </w:t>
      </w:r>
    </w:p>
    <w:p w:rsidR="00F2262D" w:rsidRPr="00F2262D" w:rsidRDefault="00F2262D" w:rsidP="00977DA3">
      <w:pPr>
        <w:pStyle w:val="Bibliography"/>
        <w:spacing w:after="0"/>
      </w:pPr>
      <w:r w:rsidRPr="00F2262D">
        <w:t xml:space="preserve">13. </w:t>
      </w:r>
      <w:r w:rsidRPr="00F2262D">
        <w:tab/>
        <w:t xml:space="preserve">Allison PD. Fixed effects regression models. Vol. 160. SAGE publications; 2009. </w:t>
      </w:r>
    </w:p>
    <w:p w:rsidR="00F2262D" w:rsidRPr="00F2262D" w:rsidRDefault="00F2262D" w:rsidP="00977DA3">
      <w:pPr>
        <w:pStyle w:val="Bibliography"/>
        <w:spacing w:after="0"/>
      </w:pPr>
      <w:r w:rsidRPr="00F2262D">
        <w:t xml:space="preserve">14. </w:t>
      </w:r>
      <w:r w:rsidRPr="00F2262D">
        <w:tab/>
        <w:t xml:space="preserve">Shrier I, Platt RW. Reducing bias through directed acyclic graphs. BMC Med Res Methodol. 2008 Oct 30;8:70. </w:t>
      </w:r>
    </w:p>
    <w:p w:rsidR="00F2262D" w:rsidRPr="00F2262D" w:rsidRDefault="00F2262D" w:rsidP="00977DA3">
      <w:pPr>
        <w:pStyle w:val="Bibliography"/>
        <w:spacing w:after="0"/>
      </w:pPr>
      <w:r w:rsidRPr="00F2262D">
        <w:t xml:space="preserve">15. </w:t>
      </w:r>
      <w:r w:rsidRPr="00F2262D">
        <w:tab/>
        <w:t xml:space="preserve">Gunasekara FI, Richardson K, Carter K, Blakely T. Fixed effects analysis of repeated measures data. Int J Epidemiol. 2014 Feb 1;43(1):264–9. </w:t>
      </w:r>
    </w:p>
    <w:p w:rsidR="000D1F8D" w:rsidRPr="001E624C" w:rsidRDefault="000D1F8D" w:rsidP="00977DA3">
      <w:pPr>
        <w:spacing w:after="0" w:line="240" w:lineRule="auto"/>
        <w:jc w:val="both"/>
        <w:rPr>
          <w:rFonts w:eastAsia="Times New Roman" w:cs="Cambria"/>
          <w:b/>
        </w:rPr>
      </w:pPr>
      <w:r>
        <w:rPr>
          <w:rFonts w:eastAsia="Times New Roman" w:cs="Cambria"/>
          <w:b/>
        </w:rPr>
        <w:fldChar w:fldCharType="end"/>
      </w:r>
    </w:p>
    <w:p w:rsidR="001E624C" w:rsidRPr="001E624C" w:rsidRDefault="001E624C" w:rsidP="00312DB1">
      <w:pPr>
        <w:spacing w:after="0" w:line="240" w:lineRule="auto"/>
        <w:rPr>
          <w:b/>
        </w:rPr>
      </w:pPr>
    </w:p>
    <w:sectPr w:rsidR="001E624C" w:rsidRPr="001E624C" w:rsidSect="00312D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4C"/>
    <w:rsid w:val="00022F48"/>
    <w:rsid w:val="000D1F8D"/>
    <w:rsid w:val="001E624C"/>
    <w:rsid w:val="00207D52"/>
    <w:rsid w:val="00312DB1"/>
    <w:rsid w:val="00632F49"/>
    <w:rsid w:val="006625E1"/>
    <w:rsid w:val="00977DA3"/>
    <w:rsid w:val="00A27488"/>
    <w:rsid w:val="00C04125"/>
    <w:rsid w:val="00DE1CE2"/>
    <w:rsid w:val="00F17FB0"/>
    <w:rsid w:val="00F2262D"/>
    <w:rsid w:val="00FC5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A374"/>
  <w15:chartTrackingRefBased/>
  <w15:docId w15:val="{037C9E81-8737-4070-894C-8F155FF9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4C"/>
    <w:pPr>
      <w:spacing w:after="200" w:line="276" w:lineRule="auto"/>
    </w:pPr>
    <w:rPr>
      <w:rFonts w:ascii="Calibri" w:eastAsia="Calibri" w:hAnsi="Calibri" w:cs="Times New Roman"/>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D1F8D"/>
    <w:pPr>
      <w:tabs>
        <w:tab w:val="left" w:pos="504"/>
      </w:tabs>
      <w:spacing w:after="240" w:line="240" w:lineRule="auto"/>
      <w:ind w:left="504" w:hanging="504"/>
    </w:pPr>
  </w:style>
  <w:style w:type="table" w:customStyle="1" w:styleId="PlainTable21">
    <w:name w:val="Plain Table 21"/>
    <w:basedOn w:val="TableNormal"/>
    <w:uiPriority w:val="42"/>
    <w:rsid w:val="000D1F8D"/>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itle">
    <w:name w:val="Title"/>
    <w:basedOn w:val="Normal"/>
    <w:next w:val="Normal"/>
    <w:link w:val="TitleChar"/>
    <w:uiPriority w:val="10"/>
    <w:qFormat/>
    <w:rsid w:val="00312D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2DB1"/>
    <w:rPr>
      <w:rFonts w:asciiTheme="majorHAnsi" w:eastAsiaTheme="majorEastAsia" w:hAnsiTheme="majorHAnsi" w:cstheme="majorBidi"/>
      <w:spacing w:val="-10"/>
      <w:kern w:val="28"/>
      <w:sz w:val="56"/>
      <w:szCs w:val="5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8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5157</Words>
  <Characters>29397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Fancourt</dc:creator>
  <cp:keywords/>
  <dc:description/>
  <cp:lastModifiedBy>Daisy Fancourt</cp:lastModifiedBy>
  <cp:revision>5</cp:revision>
  <dcterms:created xsi:type="dcterms:W3CDTF">2019-08-20T13:38:00Z</dcterms:created>
  <dcterms:modified xsi:type="dcterms:W3CDTF">2019-09-11T10:05:00Z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id="Z6gCiUxi"/&gt;&lt;style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