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066" w:rsidRPr="00D13986" w:rsidRDefault="00953066" w:rsidP="00953066">
      <w:pPr>
        <w:spacing w:line="480" w:lineRule="auto"/>
        <w:contextualSpacing/>
        <w:jc w:val="center"/>
        <w:rPr>
          <w:rFonts w:ascii="Cambria Math" w:hAnsi="Cambria Math" w:cs="Times New Roman"/>
          <w:b/>
          <w:sz w:val="24"/>
          <w:lang w:val="en-US"/>
        </w:rPr>
      </w:pPr>
    </w:p>
    <w:p w:rsidR="00436611" w:rsidRPr="00D13986" w:rsidRDefault="00436611" w:rsidP="00436611">
      <w:pPr>
        <w:spacing w:line="480" w:lineRule="auto"/>
        <w:contextualSpacing/>
        <w:jc w:val="both"/>
        <w:rPr>
          <w:rFonts w:ascii="Cambria Math" w:hAnsi="Cambria Math" w:cs="Times New Roman"/>
          <w:b/>
          <w:lang w:val="en-US"/>
        </w:rPr>
      </w:pPr>
      <w:r w:rsidRPr="00D13986">
        <w:rPr>
          <w:rFonts w:ascii="Cambria Math" w:hAnsi="Cambria Math" w:cs="Times New Roman"/>
          <w:b/>
          <w:lang w:val="en-US"/>
        </w:rPr>
        <w:t>M</w:t>
      </w:r>
      <w:r w:rsidR="0019651C" w:rsidRPr="00D13986">
        <w:rPr>
          <w:rFonts w:ascii="Cambria Math" w:hAnsi="Cambria Math" w:cs="Times New Roman"/>
          <w:b/>
          <w:lang w:val="en-US"/>
        </w:rPr>
        <w:t>aterial and</w:t>
      </w:r>
      <w:r w:rsidRPr="00D13986">
        <w:rPr>
          <w:rFonts w:ascii="Cambria Math" w:hAnsi="Cambria Math" w:cs="Times New Roman"/>
          <w:b/>
          <w:lang w:val="en-US"/>
        </w:rPr>
        <w:t xml:space="preserve"> M</w:t>
      </w:r>
      <w:r w:rsidR="0019651C" w:rsidRPr="00D13986">
        <w:rPr>
          <w:rFonts w:ascii="Cambria Math" w:hAnsi="Cambria Math" w:cs="Times New Roman"/>
          <w:b/>
          <w:lang w:val="en-US"/>
        </w:rPr>
        <w:t>ethods</w:t>
      </w:r>
    </w:p>
    <w:p w:rsidR="0019651C" w:rsidRPr="00D13986" w:rsidRDefault="0019651C" w:rsidP="00436611">
      <w:pPr>
        <w:spacing w:line="480" w:lineRule="auto"/>
        <w:contextualSpacing/>
        <w:jc w:val="both"/>
        <w:rPr>
          <w:rFonts w:ascii="Cambria Math" w:hAnsi="Cambria Math" w:cs="Times New Roman"/>
          <w:b/>
          <w:lang w:val="en-US"/>
        </w:rPr>
      </w:pPr>
    </w:p>
    <w:p w:rsidR="00436611" w:rsidRPr="00D13986" w:rsidRDefault="00436611" w:rsidP="00436611">
      <w:pPr>
        <w:spacing w:line="480" w:lineRule="auto"/>
        <w:contextualSpacing/>
        <w:jc w:val="both"/>
        <w:rPr>
          <w:rFonts w:ascii="Cambria Math" w:hAnsi="Cambria Math" w:cs="Times New Roman"/>
          <w:i/>
          <w:lang w:val="en-US"/>
        </w:rPr>
      </w:pPr>
      <w:r w:rsidRPr="00D13986">
        <w:rPr>
          <w:rFonts w:ascii="Cambria Math" w:hAnsi="Cambria Math" w:cs="Times New Roman"/>
          <w:i/>
          <w:lang w:val="en-US"/>
        </w:rPr>
        <w:t>Sample</w:t>
      </w:r>
    </w:p>
    <w:p w:rsidR="00436611" w:rsidRPr="00D13986" w:rsidRDefault="00436611" w:rsidP="00436611">
      <w:pPr>
        <w:spacing w:line="480" w:lineRule="auto"/>
        <w:contextualSpacing/>
        <w:jc w:val="both"/>
        <w:rPr>
          <w:rFonts w:ascii="Cambria Math" w:hAnsi="Cambria Math" w:cs="Times New Roman"/>
          <w:lang w:val="en-US"/>
        </w:rPr>
      </w:pPr>
      <w:r w:rsidRPr="00D13986">
        <w:rPr>
          <w:rFonts w:ascii="Cambria Math" w:hAnsi="Cambria Math" w:cs="Times New Roman"/>
          <w:lang w:val="en-US"/>
        </w:rPr>
        <w:t xml:space="preserve">Consecutive outpatients with HS attending the </w:t>
      </w:r>
      <w:proofErr w:type="spellStart"/>
      <w:r w:rsidRPr="00D13986">
        <w:rPr>
          <w:rFonts w:ascii="Cambria Math" w:hAnsi="Cambria Math" w:cs="Times New Roman"/>
          <w:lang w:val="en-US"/>
        </w:rPr>
        <w:t>Istituto</w:t>
      </w:r>
      <w:proofErr w:type="spellEnd"/>
      <w:r w:rsidRPr="00D13986">
        <w:rPr>
          <w:rFonts w:ascii="Cambria Math" w:hAnsi="Cambria Math" w:cs="Times New Roman"/>
          <w:lang w:val="en-US"/>
        </w:rPr>
        <w:t xml:space="preserve"> </w:t>
      </w:r>
      <w:proofErr w:type="spellStart"/>
      <w:r w:rsidRPr="00D13986">
        <w:rPr>
          <w:rFonts w:ascii="Cambria Math" w:hAnsi="Cambria Math" w:cs="Times New Roman"/>
          <w:lang w:val="en-US"/>
        </w:rPr>
        <w:t>Dermopatico</w:t>
      </w:r>
      <w:proofErr w:type="spellEnd"/>
      <w:r w:rsidRPr="00D13986">
        <w:rPr>
          <w:rFonts w:ascii="Cambria Math" w:hAnsi="Cambria Math" w:cs="Times New Roman"/>
          <w:lang w:val="en-US"/>
        </w:rPr>
        <w:t xml:space="preserve"> </w:t>
      </w:r>
      <w:proofErr w:type="spellStart"/>
      <w:r w:rsidRPr="00D13986">
        <w:rPr>
          <w:rFonts w:ascii="Cambria Math" w:hAnsi="Cambria Math" w:cs="Times New Roman"/>
          <w:lang w:val="en-US"/>
        </w:rPr>
        <w:t>dell’Immacolata</w:t>
      </w:r>
      <w:proofErr w:type="spellEnd"/>
      <w:r w:rsidRPr="00D13986">
        <w:rPr>
          <w:rFonts w:ascii="Cambria Math" w:hAnsi="Cambria Math" w:cs="Times New Roman"/>
          <w:lang w:val="en-US"/>
        </w:rPr>
        <w:t xml:space="preserve"> (IDI-IRCCS, Italy) between December 2017 and October 2018 were included in the study. Inclusion criteria were: (1) age 18 years or more; (2) a new diagnosis of HS or presenting for the first time to the hospital with HS; (3) history of at least </w:t>
      </w:r>
      <w:r w:rsidR="0019651C" w:rsidRPr="00D13986">
        <w:rPr>
          <w:rFonts w:ascii="Cambria Math" w:hAnsi="Cambria Math" w:cs="Times New Roman"/>
          <w:lang w:val="en-US"/>
        </w:rPr>
        <w:t>6</w:t>
      </w:r>
      <w:r w:rsidRPr="00D13986">
        <w:rPr>
          <w:rFonts w:ascii="Cambria Math" w:hAnsi="Cambria Math" w:cs="Times New Roman"/>
          <w:lang w:val="en-US"/>
        </w:rPr>
        <w:t xml:space="preserve"> months of nodules, abscesses, fistulae, and secondary retracting scars, affecting intertriginous sites, including </w:t>
      </w:r>
      <w:r w:rsidR="0019651C" w:rsidRPr="00D13986">
        <w:rPr>
          <w:rFonts w:ascii="Cambria Math" w:hAnsi="Cambria Math" w:cs="Times New Roman"/>
          <w:lang w:val="en-US"/>
        </w:rPr>
        <w:t xml:space="preserve">the </w:t>
      </w:r>
      <w:r w:rsidRPr="00D13986">
        <w:rPr>
          <w:rFonts w:ascii="Cambria Math" w:hAnsi="Cambria Math" w:cs="Times New Roman"/>
          <w:lang w:val="en-US"/>
        </w:rPr>
        <w:t xml:space="preserve">axillae, breasts, groin, buttocks, and perineum; (4) signed, written, informed consent. Exclusion criteria were: (1) presence of lesions associated with HS (nodular acne associated with </w:t>
      </w:r>
      <w:proofErr w:type="spellStart"/>
      <w:r w:rsidRPr="00D13986">
        <w:rPr>
          <w:rFonts w:ascii="Cambria Math" w:hAnsi="Cambria Math" w:cs="Times New Roman"/>
          <w:lang w:val="en-US"/>
        </w:rPr>
        <w:t>macrocomedones</w:t>
      </w:r>
      <w:proofErr w:type="spellEnd"/>
      <w:r w:rsidRPr="00D13986">
        <w:rPr>
          <w:rFonts w:ascii="Cambria Math" w:hAnsi="Cambria Math" w:cs="Times New Roman"/>
          <w:lang w:val="en-US"/>
        </w:rPr>
        <w:t xml:space="preserve">, single pilonidal cysts, recurrent necrotic folliculitis of the scalp) in </w:t>
      </w:r>
      <w:r w:rsidR="0019651C" w:rsidRPr="00D13986">
        <w:rPr>
          <w:rFonts w:ascii="Cambria Math" w:hAnsi="Cambria Math" w:cs="Times New Roman"/>
          <w:lang w:val="en-US"/>
        </w:rPr>
        <w:t xml:space="preserve">the </w:t>
      </w:r>
      <w:r w:rsidRPr="00D13986">
        <w:rPr>
          <w:rFonts w:ascii="Cambria Math" w:hAnsi="Cambria Math" w:cs="Times New Roman"/>
          <w:lang w:val="en-US"/>
        </w:rPr>
        <w:t>absence of other criteria to fulfil</w:t>
      </w:r>
      <w:r w:rsidR="0019651C" w:rsidRPr="00D13986">
        <w:rPr>
          <w:rFonts w:ascii="Cambria Math" w:hAnsi="Cambria Math" w:cs="Times New Roman"/>
          <w:lang w:val="en-US"/>
        </w:rPr>
        <w:t>l</w:t>
      </w:r>
      <w:r w:rsidRPr="00D13986">
        <w:rPr>
          <w:rFonts w:ascii="Cambria Math" w:hAnsi="Cambria Math" w:cs="Times New Roman"/>
          <w:lang w:val="en-US"/>
        </w:rPr>
        <w:t xml:space="preserve"> the diagnosis of HS; (2) presence of major diseases of the central nervous system (e.g., dementia or Parkinson</w:t>
      </w:r>
      <w:r w:rsidR="0019651C" w:rsidRPr="00D13986">
        <w:rPr>
          <w:rFonts w:ascii="Cambria Math" w:hAnsi="Cambria Math" w:cs="Times New Roman"/>
          <w:lang w:val="en-US"/>
        </w:rPr>
        <w:t>’s</w:t>
      </w:r>
      <w:r w:rsidRPr="00D13986">
        <w:rPr>
          <w:rFonts w:ascii="Cambria Math" w:hAnsi="Cambria Math" w:cs="Times New Roman"/>
          <w:lang w:val="en-US"/>
        </w:rPr>
        <w:t xml:space="preserve"> disease); (3) presence of speciﬁc medical conditions, such as hypertension, diabetes mellitus, dyslipidemia, or other immune-mediated diseases (e.g., Crohn’s disease, multiple sclerosis, psoriatic arthritis, or rheumatoid arthritis); (4) current major psychiatric disorders (e.g., schizophrenia or bipolar disorder) or hallucinatory and delusional phenomena; (5) inability to complete the assessment (e.g., denial of informed consent). The study was approved by the local Ethics Committee (</w:t>
      </w:r>
      <w:r w:rsidR="0019651C" w:rsidRPr="00D13986">
        <w:rPr>
          <w:rFonts w:ascii="Cambria Math" w:hAnsi="Cambria Math" w:cs="Times New Roman"/>
          <w:lang w:val="en-US"/>
        </w:rPr>
        <w:t>No.</w:t>
      </w:r>
      <w:r w:rsidRPr="00D13986">
        <w:rPr>
          <w:rFonts w:ascii="Cambria Math" w:hAnsi="Cambria Math" w:cs="Times New Roman"/>
          <w:lang w:val="en-US"/>
        </w:rPr>
        <w:t xml:space="preserve"> 459/1) and was carried out in accordance with the 1964 Helsinki Declaration.</w:t>
      </w:r>
    </w:p>
    <w:p w:rsidR="0019651C" w:rsidRPr="00D13986" w:rsidRDefault="0019651C" w:rsidP="00436611">
      <w:pPr>
        <w:spacing w:line="480" w:lineRule="auto"/>
        <w:contextualSpacing/>
        <w:jc w:val="both"/>
        <w:rPr>
          <w:rFonts w:ascii="Cambria Math" w:hAnsi="Cambria Math" w:cs="Times New Roman"/>
          <w:lang w:val="en-US"/>
        </w:rPr>
      </w:pPr>
    </w:p>
    <w:p w:rsidR="00436611" w:rsidRPr="00D13986" w:rsidRDefault="00436611" w:rsidP="00436611">
      <w:pPr>
        <w:spacing w:line="480" w:lineRule="auto"/>
        <w:contextualSpacing/>
        <w:jc w:val="both"/>
        <w:rPr>
          <w:rFonts w:ascii="Cambria Math" w:hAnsi="Cambria Math" w:cs="Times New Roman"/>
          <w:i/>
          <w:lang w:val="en-US"/>
        </w:rPr>
      </w:pPr>
      <w:r w:rsidRPr="00D13986">
        <w:rPr>
          <w:rFonts w:ascii="Cambria Math" w:hAnsi="Cambria Math" w:cs="Times New Roman"/>
          <w:i/>
          <w:lang w:val="en-US"/>
        </w:rPr>
        <w:t xml:space="preserve">Study </w:t>
      </w:r>
      <w:r w:rsidR="0019651C" w:rsidRPr="00D13986">
        <w:rPr>
          <w:rFonts w:ascii="Cambria Math" w:hAnsi="Cambria Math" w:cs="Times New Roman"/>
          <w:i/>
          <w:lang w:val="en-US"/>
        </w:rPr>
        <w:t>Design</w:t>
      </w:r>
    </w:p>
    <w:p w:rsidR="00436611" w:rsidRPr="00D13986" w:rsidRDefault="00436611" w:rsidP="00436611">
      <w:pPr>
        <w:spacing w:line="480" w:lineRule="auto"/>
        <w:contextualSpacing/>
        <w:jc w:val="both"/>
        <w:rPr>
          <w:rFonts w:ascii="Cambria Math" w:hAnsi="Cambria Math" w:cs="Times New Roman"/>
          <w:lang w:val="en-US"/>
        </w:rPr>
      </w:pPr>
      <w:r w:rsidRPr="00D13986">
        <w:rPr>
          <w:rFonts w:ascii="Cambria Math" w:hAnsi="Cambria Math" w:cs="Times New Roman"/>
          <w:lang w:val="en-US"/>
        </w:rPr>
        <w:t>This is a cross-sectional, observational study on patients with HS.</w:t>
      </w:r>
    </w:p>
    <w:p w:rsidR="0019651C" w:rsidRPr="00D13986" w:rsidRDefault="0019651C" w:rsidP="00436611">
      <w:pPr>
        <w:spacing w:line="480" w:lineRule="auto"/>
        <w:contextualSpacing/>
        <w:jc w:val="both"/>
        <w:rPr>
          <w:rFonts w:ascii="Cambria Math" w:hAnsi="Cambria Math" w:cs="Times New Roman"/>
          <w:lang w:val="en-US"/>
        </w:rPr>
      </w:pPr>
    </w:p>
    <w:p w:rsidR="00436611" w:rsidRPr="00D13986" w:rsidRDefault="00436611" w:rsidP="00436611">
      <w:pPr>
        <w:spacing w:line="480" w:lineRule="auto"/>
        <w:contextualSpacing/>
        <w:jc w:val="both"/>
        <w:rPr>
          <w:rFonts w:ascii="Cambria Math" w:hAnsi="Cambria Math" w:cs="Times New Roman"/>
          <w:i/>
          <w:lang w:val="en-US"/>
        </w:rPr>
      </w:pPr>
      <w:r w:rsidRPr="00D13986">
        <w:rPr>
          <w:rFonts w:ascii="Cambria Math" w:hAnsi="Cambria Math" w:cs="Times New Roman"/>
          <w:i/>
          <w:lang w:val="en-US"/>
        </w:rPr>
        <w:t xml:space="preserve">Setting and </w:t>
      </w:r>
      <w:r w:rsidR="0019651C" w:rsidRPr="00D13986">
        <w:rPr>
          <w:rFonts w:ascii="Cambria Math" w:hAnsi="Cambria Math" w:cs="Times New Roman"/>
          <w:i/>
          <w:lang w:val="en-US"/>
        </w:rPr>
        <w:t>Data Coll</w:t>
      </w:r>
      <w:r w:rsidRPr="00D13986">
        <w:rPr>
          <w:rFonts w:ascii="Cambria Math" w:hAnsi="Cambria Math" w:cs="Times New Roman"/>
          <w:i/>
          <w:lang w:val="en-US"/>
        </w:rPr>
        <w:t>ection</w:t>
      </w:r>
    </w:p>
    <w:p w:rsidR="00436611" w:rsidRPr="00D13986" w:rsidRDefault="00436611" w:rsidP="00436611">
      <w:pPr>
        <w:spacing w:line="480" w:lineRule="auto"/>
        <w:contextualSpacing/>
        <w:jc w:val="both"/>
        <w:rPr>
          <w:rFonts w:ascii="Cambria Math" w:hAnsi="Cambria Math" w:cs="Times New Roman"/>
          <w:lang w:val="en-US"/>
        </w:rPr>
      </w:pPr>
      <w:r w:rsidRPr="00D13986">
        <w:rPr>
          <w:rFonts w:ascii="Cambria Math" w:hAnsi="Cambria Math" w:cs="Times New Roman"/>
          <w:lang w:val="en-US"/>
        </w:rPr>
        <w:lastRenderedPageBreak/>
        <w:t xml:space="preserve">Study participants were enrolled at the dedicated HS </w:t>
      </w:r>
      <w:proofErr w:type="gramStart"/>
      <w:r w:rsidRPr="00D13986">
        <w:rPr>
          <w:rFonts w:ascii="Cambria Math" w:hAnsi="Cambria Math" w:cs="Times New Roman"/>
          <w:lang w:val="en-US"/>
        </w:rPr>
        <w:t>outpatients</w:t>
      </w:r>
      <w:proofErr w:type="gramEnd"/>
      <w:r w:rsidRPr="00D13986">
        <w:rPr>
          <w:rFonts w:ascii="Cambria Math" w:hAnsi="Cambria Math" w:cs="Times New Roman"/>
          <w:lang w:val="en-US"/>
        </w:rPr>
        <w:t xml:space="preserve"> clinic of IDI-IRCCS. </w:t>
      </w:r>
    </w:p>
    <w:p w:rsidR="00436611" w:rsidRPr="00D13986" w:rsidRDefault="00436611" w:rsidP="00436611">
      <w:pPr>
        <w:spacing w:line="480" w:lineRule="auto"/>
        <w:contextualSpacing/>
        <w:jc w:val="both"/>
        <w:rPr>
          <w:rFonts w:ascii="Cambria Math" w:hAnsi="Cambria Math" w:cs="Times New Roman"/>
          <w:lang w:val="en-US"/>
        </w:rPr>
      </w:pPr>
      <w:r w:rsidRPr="00D13986">
        <w:rPr>
          <w:rFonts w:ascii="Cambria Math" w:hAnsi="Cambria Math" w:cs="Times New Roman"/>
          <w:lang w:val="en-US"/>
        </w:rPr>
        <w:t>Using standardized data collection forms</w:t>
      </w:r>
      <w:r w:rsidR="0019651C" w:rsidRPr="00D13986">
        <w:rPr>
          <w:rFonts w:ascii="Cambria Math" w:hAnsi="Cambria Math" w:cs="Times New Roman"/>
          <w:lang w:val="en-US"/>
        </w:rPr>
        <w:t>,</w:t>
      </w:r>
      <w:r w:rsidRPr="00D13986">
        <w:rPr>
          <w:rFonts w:ascii="Cambria Math" w:hAnsi="Cambria Math" w:cs="Times New Roman"/>
          <w:lang w:val="en-US"/>
        </w:rPr>
        <w:t xml:space="preserve"> we gathered information on sex, age, marital status, education, </w:t>
      </w:r>
      <w:r w:rsidR="0019651C" w:rsidRPr="00D13986">
        <w:rPr>
          <w:rFonts w:ascii="Cambria Math" w:hAnsi="Cambria Math" w:cs="Times New Roman"/>
          <w:lang w:val="en-US"/>
        </w:rPr>
        <w:t>body mass index</w:t>
      </w:r>
      <w:r w:rsidRPr="00D13986">
        <w:rPr>
          <w:rFonts w:ascii="Cambria Math" w:hAnsi="Cambria Math" w:cs="Times New Roman"/>
          <w:lang w:val="en-US"/>
        </w:rPr>
        <w:t xml:space="preserve">, cigarette smoking, pain, and disease duration. Pain was assessed with </w:t>
      </w:r>
      <w:r w:rsidR="0019651C" w:rsidRPr="00D13986">
        <w:rPr>
          <w:rFonts w:ascii="Cambria Math" w:hAnsi="Cambria Math" w:cs="Times New Roman"/>
          <w:lang w:val="en-US"/>
        </w:rPr>
        <w:t>a</w:t>
      </w:r>
      <w:r w:rsidRPr="00D13986">
        <w:rPr>
          <w:rFonts w:ascii="Cambria Math" w:hAnsi="Cambria Math" w:cs="Times New Roman"/>
          <w:lang w:val="en-US"/>
        </w:rPr>
        <w:t xml:space="preserve"> </w:t>
      </w:r>
      <w:r w:rsidR="0019651C" w:rsidRPr="00D13986">
        <w:rPr>
          <w:rFonts w:ascii="Cambria Math" w:hAnsi="Cambria Math" w:cs="Times New Roman"/>
          <w:lang w:val="en-US"/>
        </w:rPr>
        <w:t>visual analogue s</w:t>
      </w:r>
      <w:r w:rsidRPr="00D13986">
        <w:rPr>
          <w:rFonts w:ascii="Cambria Math" w:hAnsi="Cambria Math" w:cs="Times New Roman"/>
          <w:lang w:val="en-US"/>
        </w:rPr>
        <w:t>cale (0</w:t>
      </w:r>
      <w:r w:rsidR="0019651C" w:rsidRPr="00D13986">
        <w:rPr>
          <w:rFonts w:ascii="Cambria Math" w:hAnsi="Cambria Math" w:cs="Times New Roman"/>
          <w:lang w:val="en-US"/>
        </w:rPr>
        <w:t>–</w:t>
      </w:r>
      <w:r w:rsidRPr="00D13986">
        <w:rPr>
          <w:rFonts w:ascii="Cambria Math" w:hAnsi="Cambria Math" w:cs="Times New Roman"/>
          <w:lang w:val="en-US"/>
        </w:rPr>
        <w:t xml:space="preserve">10) [20], while disease severity </w:t>
      </w:r>
      <w:r w:rsidR="0019651C" w:rsidRPr="00D13986">
        <w:rPr>
          <w:rFonts w:ascii="Cambria Math" w:hAnsi="Cambria Math" w:cs="Times New Roman"/>
          <w:lang w:val="en-US"/>
        </w:rPr>
        <w:t xml:space="preserve">was determined </w:t>
      </w:r>
      <w:r w:rsidRPr="00D13986">
        <w:rPr>
          <w:rFonts w:ascii="Cambria Math" w:hAnsi="Cambria Math" w:cs="Times New Roman"/>
          <w:lang w:val="en-US"/>
        </w:rPr>
        <w:t xml:space="preserve">using the Hurley </w:t>
      </w:r>
      <w:r w:rsidR="0019651C" w:rsidRPr="00D13986">
        <w:rPr>
          <w:rFonts w:ascii="Cambria Math" w:hAnsi="Cambria Math" w:cs="Times New Roman"/>
          <w:lang w:val="en-US"/>
        </w:rPr>
        <w:t>Staging Sy</w:t>
      </w:r>
      <w:r w:rsidRPr="00D13986">
        <w:rPr>
          <w:rFonts w:ascii="Cambria Math" w:hAnsi="Cambria Math" w:cs="Times New Roman"/>
          <w:lang w:val="en-US"/>
        </w:rPr>
        <w:t>stem [21], the Sartorius score [22], and the more recent International HS Severity Scoring System [23]. Two dermatologists, L</w:t>
      </w:r>
      <w:r w:rsidR="00A36895" w:rsidRPr="00D13986">
        <w:rPr>
          <w:rFonts w:ascii="Cambria Math" w:hAnsi="Cambria Math" w:cs="Times New Roman"/>
          <w:lang w:val="en-US"/>
        </w:rPr>
        <w:t>.</w:t>
      </w:r>
      <w:r w:rsidRPr="00D13986">
        <w:rPr>
          <w:rFonts w:ascii="Cambria Math" w:hAnsi="Cambria Math" w:cs="Times New Roman"/>
          <w:lang w:val="en-US"/>
        </w:rPr>
        <w:t>F</w:t>
      </w:r>
      <w:r w:rsidR="00A36895" w:rsidRPr="00D13986">
        <w:rPr>
          <w:rFonts w:ascii="Cambria Math" w:hAnsi="Cambria Math" w:cs="Times New Roman"/>
          <w:lang w:val="en-US"/>
        </w:rPr>
        <w:t>.</w:t>
      </w:r>
      <w:r w:rsidRPr="00D13986">
        <w:rPr>
          <w:rFonts w:ascii="Cambria Math" w:hAnsi="Cambria Math" w:cs="Times New Roman"/>
          <w:lang w:val="en-US"/>
        </w:rPr>
        <w:t xml:space="preserve"> and D</w:t>
      </w:r>
      <w:r w:rsidR="00A36895" w:rsidRPr="00D13986">
        <w:rPr>
          <w:rFonts w:ascii="Cambria Math" w:hAnsi="Cambria Math" w:cs="Times New Roman"/>
          <w:lang w:val="en-US"/>
        </w:rPr>
        <w:t>.</w:t>
      </w:r>
      <w:r w:rsidRPr="00D13986">
        <w:rPr>
          <w:rFonts w:ascii="Cambria Math" w:hAnsi="Cambria Math" w:cs="Times New Roman"/>
          <w:lang w:val="en-US"/>
        </w:rPr>
        <w:t>C</w:t>
      </w:r>
      <w:r w:rsidR="00A36895" w:rsidRPr="00D13986">
        <w:rPr>
          <w:rFonts w:ascii="Cambria Math" w:hAnsi="Cambria Math" w:cs="Times New Roman"/>
          <w:lang w:val="en-US"/>
        </w:rPr>
        <w:t>.</w:t>
      </w:r>
      <w:r w:rsidRPr="00D13986">
        <w:rPr>
          <w:rFonts w:ascii="Cambria Math" w:hAnsi="Cambria Math" w:cs="Times New Roman"/>
          <w:lang w:val="en-US"/>
        </w:rPr>
        <w:t>, collected clinical data.</w:t>
      </w:r>
    </w:p>
    <w:p w:rsidR="00A36895" w:rsidRPr="00D13986" w:rsidRDefault="00A36895" w:rsidP="00436611">
      <w:pPr>
        <w:spacing w:line="480" w:lineRule="auto"/>
        <w:contextualSpacing/>
        <w:jc w:val="both"/>
        <w:rPr>
          <w:rFonts w:ascii="Cambria Math" w:hAnsi="Cambria Math" w:cs="Times New Roman"/>
          <w:lang w:val="en-US"/>
        </w:rPr>
      </w:pPr>
    </w:p>
    <w:p w:rsidR="00436611" w:rsidRPr="00D13986" w:rsidRDefault="00436611" w:rsidP="00436611">
      <w:pPr>
        <w:spacing w:after="0" w:line="480" w:lineRule="auto"/>
        <w:contextualSpacing/>
        <w:jc w:val="both"/>
        <w:rPr>
          <w:rFonts w:ascii="Cambria Math" w:hAnsi="Cambria Math" w:cs="Times New Roman"/>
          <w:i/>
          <w:lang w:val="en-US"/>
        </w:rPr>
      </w:pPr>
      <w:r w:rsidRPr="00D13986">
        <w:rPr>
          <w:rFonts w:ascii="Cambria Math" w:hAnsi="Cambria Math" w:cs="Times New Roman"/>
          <w:i/>
          <w:lang w:val="en-US"/>
        </w:rPr>
        <w:t xml:space="preserve">Outcome </w:t>
      </w:r>
      <w:r w:rsidR="00A36895" w:rsidRPr="00D13986">
        <w:rPr>
          <w:rFonts w:ascii="Cambria Math" w:hAnsi="Cambria Math" w:cs="Times New Roman"/>
          <w:i/>
          <w:lang w:val="en-US"/>
        </w:rPr>
        <w:t xml:space="preserve">Measures </w:t>
      </w:r>
      <w:r w:rsidRPr="00D13986">
        <w:rPr>
          <w:rFonts w:ascii="Cambria Math" w:hAnsi="Cambria Math" w:cs="Times New Roman"/>
          <w:i/>
          <w:lang w:val="en-US"/>
        </w:rPr>
        <w:t xml:space="preserve">and </w:t>
      </w:r>
      <w:r w:rsidR="00A36895" w:rsidRPr="00D13986">
        <w:rPr>
          <w:rFonts w:ascii="Cambria Math" w:hAnsi="Cambria Math" w:cs="Times New Roman"/>
          <w:i/>
          <w:lang w:val="en-US"/>
        </w:rPr>
        <w:t>Other Self-Reported M</w:t>
      </w:r>
      <w:r w:rsidRPr="00D13986">
        <w:rPr>
          <w:rFonts w:ascii="Cambria Math" w:hAnsi="Cambria Math" w:cs="Times New Roman"/>
          <w:i/>
          <w:lang w:val="en-US"/>
        </w:rPr>
        <w:t>easurements</w:t>
      </w:r>
    </w:p>
    <w:p w:rsidR="00436611" w:rsidRPr="00D13986" w:rsidRDefault="00436611" w:rsidP="00436611">
      <w:pPr>
        <w:spacing w:after="0" w:line="480" w:lineRule="auto"/>
        <w:ind w:firstLine="567"/>
        <w:contextualSpacing/>
        <w:jc w:val="both"/>
        <w:rPr>
          <w:rFonts w:ascii="Cambria Math" w:hAnsi="Cambria Math" w:cs="Times New Roman"/>
          <w:lang w:val="en-US"/>
        </w:rPr>
      </w:pPr>
      <w:r w:rsidRPr="00D13986">
        <w:rPr>
          <w:rFonts w:ascii="Cambria Math" w:hAnsi="Cambria Math" w:cs="Times New Roman"/>
          <w:lang w:val="en-US"/>
        </w:rPr>
        <w:t xml:space="preserve">Alexithymia was the primary outcome measure of this study. It was assessed using the 20-item Toronto Alexithymia Scale (TAS-20), a reliable and valid instrument composed of 20 items rated on a </w:t>
      </w:r>
      <w:r w:rsidR="003E5D85" w:rsidRPr="00D13986">
        <w:rPr>
          <w:rFonts w:ascii="Cambria Math" w:hAnsi="Cambria Math" w:cs="Times New Roman"/>
          <w:lang w:val="en-US"/>
        </w:rPr>
        <w:t>5</w:t>
      </w:r>
      <w:r w:rsidRPr="00D13986">
        <w:rPr>
          <w:rFonts w:ascii="Cambria Math" w:hAnsi="Cambria Math" w:cs="Times New Roman"/>
          <w:lang w:val="en-US"/>
        </w:rPr>
        <w:t xml:space="preserve">-point Likert-type scale (from 1, </w:t>
      </w:r>
      <w:r w:rsidRPr="00D13986">
        <w:rPr>
          <w:rFonts w:ascii="Cambria Math" w:hAnsi="Cambria Math" w:cs="Times New Roman"/>
          <w:i/>
          <w:lang w:val="en-US"/>
        </w:rPr>
        <w:t>strongly disagree,</w:t>
      </w:r>
      <w:r w:rsidRPr="00D13986">
        <w:rPr>
          <w:rFonts w:ascii="Cambria Math" w:hAnsi="Cambria Math" w:cs="Times New Roman"/>
          <w:lang w:val="en-US"/>
        </w:rPr>
        <w:t xml:space="preserve"> to 5, </w:t>
      </w:r>
      <w:r w:rsidRPr="00D13986">
        <w:rPr>
          <w:rFonts w:ascii="Cambria Math" w:hAnsi="Cambria Math" w:cs="Times New Roman"/>
          <w:i/>
          <w:lang w:val="en-US"/>
        </w:rPr>
        <w:t>strongly agree</w:t>
      </w:r>
      <w:r w:rsidRPr="00D13986">
        <w:rPr>
          <w:rFonts w:ascii="Cambria Math" w:hAnsi="Cambria Math" w:cs="Times New Roman"/>
          <w:lang w:val="en-US"/>
        </w:rPr>
        <w:t xml:space="preserve">). The TAS-20 measures </w:t>
      </w:r>
      <w:r w:rsidR="003E5D85" w:rsidRPr="00D13986">
        <w:rPr>
          <w:rFonts w:ascii="Cambria Math" w:hAnsi="Cambria Math" w:cs="Times New Roman"/>
          <w:lang w:val="en-US"/>
        </w:rPr>
        <w:t>3</w:t>
      </w:r>
      <w:r w:rsidRPr="00D13986">
        <w:rPr>
          <w:rFonts w:ascii="Cambria Math" w:hAnsi="Cambria Math" w:cs="Times New Roman"/>
          <w:lang w:val="en-US"/>
        </w:rPr>
        <w:t xml:space="preserve"> dimensions of alexithymia: (1) diﬃculty identifying feelings; (2) diﬃculty communicating feelings; (3) externally oriented thinking. According to the accepted standard, a total score equal to or greater than 61 indicates alexithymia, a total score from 52 to 60 suggests intermediate/borderline alexithymia, and a score equal to or less than 51 indicates absence of alexithymia [24] </w:t>
      </w:r>
    </w:p>
    <w:p w:rsidR="00436611" w:rsidRPr="00D13986" w:rsidRDefault="00436611" w:rsidP="00436611">
      <w:pPr>
        <w:spacing w:after="0" w:line="480" w:lineRule="auto"/>
        <w:ind w:firstLine="567"/>
        <w:contextualSpacing/>
        <w:jc w:val="both"/>
        <w:rPr>
          <w:rFonts w:ascii="Cambria Math" w:hAnsi="Cambria Math" w:cs="Times New Roman"/>
          <w:lang w:val="en-US"/>
        </w:rPr>
      </w:pPr>
      <w:r w:rsidRPr="00D13986">
        <w:rPr>
          <w:rFonts w:ascii="Cambria Math" w:hAnsi="Cambria Math" w:cs="Times New Roman"/>
          <w:lang w:val="en-US"/>
        </w:rPr>
        <w:t xml:space="preserve">Dermatology-specific </w:t>
      </w:r>
      <w:proofErr w:type="spellStart"/>
      <w:r w:rsidRPr="00D13986">
        <w:rPr>
          <w:rFonts w:ascii="Cambria Math" w:hAnsi="Cambria Math" w:cs="Times New Roman"/>
          <w:lang w:val="en-US"/>
        </w:rPr>
        <w:t>HRQoL</w:t>
      </w:r>
      <w:proofErr w:type="spellEnd"/>
      <w:r w:rsidRPr="00D13986">
        <w:rPr>
          <w:rFonts w:ascii="Cambria Math" w:hAnsi="Cambria Math" w:cs="Times New Roman"/>
          <w:lang w:val="en-US"/>
        </w:rPr>
        <w:t xml:space="preserve"> was assessed using the Dermatology Life Quality Index. It consists of 10 questions with answers ranging from 0 (</w:t>
      </w:r>
      <w:r w:rsidRPr="00D13986">
        <w:rPr>
          <w:rFonts w:ascii="Cambria Math" w:hAnsi="Cambria Math" w:cs="Times New Roman"/>
          <w:i/>
          <w:lang w:val="en-US"/>
        </w:rPr>
        <w:t>not at all</w:t>
      </w:r>
      <w:r w:rsidRPr="00D13986">
        <w:rPr>
          <w:rFonts w:ascii="Cambria Math" w:hAnsi="Cambria Math" w:cs="Times New Roman"/>
          <w:lang w:val="en-US"/>
        </w:rPr>
        <w:t>) to 3 (</w:t>
      </w:r>
      <w:r w:rsidRPr="00D13986">
        <w:rPr>
          <w:rFonts w:ascii="Cambria Math" w:hAnsi="Cambria Math" w:cs="Times New Roman"/>
          <w:i/>
          <w:lang w:val="en-US"/>
        </w:rPr>
        <w:t>very much</w:t>
      </w:r>
      <w:r w:rsidRPr="00D13986">
        <w:rPr>
          <w:rFonts w:ascii="Cambria Math" w:hAnsi="Cambria Math" w:cs="Times New Roman"/>
          <w:lang w:val="en-US"/>
        </w:rPr>
        <w:t xml:space="preserve">). The total score is obtained by adding the score of each item. Higher scores indicate worse </w:t>
      </w:r>
      <w:proofErr w:type="spellStart"/>
      <w:r w:rsidRPr="00D13986">
        <w:rPr>
          <w:rFonts w:ascii="Cambria Math" w:hAnsi="Cambria Math" w:cs="Times New Roman"/>
          <w:lang w:val="en-US"/>
        </w:rPr>
        <w:t>HRQoL</w:t>
      </w:r>
      <w:proofErr w:type="spellEnd"/>
      <w:r w:rsidRPr="00D13986">
        <w:rPr>
          <w:rFonts w:ascii="Cambria Math" w:hAnsi="Cambria Math" w:cs="Times New Roman"/>
          <w:lang w:val="en-US"/>
        </w:rPr>
        <w:t xml:space="preserve"> [25]. Dermatology-specific </w:t>
      </w:r>
      <w:proofErr w:type="spellStart"/>
      <w:r w:rsidRPr="00D13986">
        <w:rPr>
          <w:rFonts w:ascii="Cambria Math" w:hAnsi="Cambria Math" w:cs="Times New Roman"/>
          <w:lang w:val="en-US"/>
        </w:rPr>
        <w:t>HRQoL</w:t>
      </w:r>
      <w:proofErr w:type="spellEnd"/>
      <w:r w:rsidRPr="00D13986">
        <w:rPr>
          <w:rFonts w:ascii="Cambria Math" w:hAnsi="Cambria Math" w:cs="Times New Roman"/>
          <w:lang w:val="en-US"/>
        </w:rPr>
        <w:t xml:space="preserve"> was also assessed with the Skindex-17 questionnaire [26], which measures symptoms and psychosocial aspects. Answers are given on a </w:t>
      </w:r>
      <w:r w:rsidR="003E5D85" w:rsidRPr="00D13986">
        <w:rPr>
          <w:rFonts w:ascii="Cambria Math" w:hAnsi="Cambria Math" w:cs="Times New Roman"/>
          <w:lang w:val="en-US"/>
        </w:rPr>
        <w:t>3</w:t>
      </w:r>
      <w:r w:rsidRPr="00D13986">
        <w:rPr>
          <w:rFonts w:ascii="Cambria Math" w:hAnsi="Cambria Math" w:cs="Times New Roman"/>
          <w:lang w:val="en-US"/>
        </w:rPr>
        <w:t xml:space="preserve">-point scale (0: </w:t>
      </w:r>
      <w:r w:rsidRPr="00D13986">
        <w:rPr>
          <w:rFonts w:ascii="Cambria Math" w:hAnsi="Cambria Math" w:cs="Times New Roman"/>
          <w:i/>
          <w:lang w:val="en-US"/>
        </w:rPr>
        <w:t>never</w:t>
      </w:r>
      <w:r w:rsidRPr="00D13986">
        <w:rPr>
          <w:rFonts w:ascii="Cambria Math" w:hAnsi="Cambria Math" w:cs="Times New Roman"/>
          <w:lang w:val="en-US"/>
        </w:rPr>
        <w:t xml:space="preserve">; 1: </w:t>
      </w:r>
      <w:r w:rsidRPr="00D13986">
        <w:rPr>
          <w:rFonts w:ascii="Cambria Math" w:hAnsi="Cambria Math" w:cs="Times New Roman"/>
          <w:i/>
          <w:lang w:val="en-US"/>
        </w:rPr>
        <w:t>rarely/sometimes</w:t>
      </w:r>
      <w:r w:rsidRPr="00D13986">
        <w:rPr>
          <w:rFonts w:ascii="Cambria Math" w:hAnsi="Cambria Math" w:cs="Times New Roman"/>
          <w:lang w:val="en-US"/>
        </w:rPr>
        <w:t xml:space="preserve">; 2: </w:t>
      </w:r>
      <w:r w:rsidRPr="00D13986">
        <w:rPr>
          <w:rFonts w:ascii="Cambria Math" w:hAnsi="Cambria Math" w:cs="Times New Roman"/>
          <w:i/>
          <w:lang w:val="en-US"/>
        </w:rPr>
        <w:t>often/always</w:t>
      </w:r>
      <w:r w:rsidRPr="00D13986">
        <w:rPr>
          <w:rFonts w:ascii="Cambria Math" w:hAnsi="Cambria Math" w:cs="Times New Roman"/>
          <w:lang w:val="en-US"/>
        </w:rPr>
        <w:t xml:space="preserve">), with higher scores indicating a higher effect of skin disease on quality of life. </w:t>
      </w:r>
    </w:p>
    <w:p w:rsidR="00436611" w:rsidRPr="00D13986" w:rsidRDefault="00436611" w:rsidP="00436611">
      <w:pPr>
        <w:spacing w:after="0" w:line="480" w:lineRule="auto"/>
        <w:ind w:firstLine="567"/>
        <w:contextualSpacing/>
        <w:jc w:val="both"/>
        <w:rPr>
          <w:rFonts w:ascii="Cambria Math" w:hAnsi="Cambria Math" w:cs="Times New Roman"/>
          <w:lang w:val="en-US"/>
        </w:rPr>
      </w:pPr>
      <w:r w:rsidRPr="00D13986">
        <w:rPr>
          <w:rFonts w:ascii="Cambria Math" w:hAnsi="Cambria Math" w:cs="Times New Roman"/>
          <w:lang w:val="en-US"/>
        </w:rPr>
        <w:t xml:space="preserve">General health status was measured with the </w:t>
      </w:r>
      <w:r w:rsidR="003E5D85" w:rsidRPr="00D13986">
        <w:rPr>
          <w:rFonts w:ascii="Cambria Math" w:hAnsi="Cambria Math" w:cs="Times New Roman"/>
          <w:lang w:val="en-US"/>
        </w:rPr>
        <w:t>36-item Short-Form Health Survey</w:t>
      </w:r>
      <w:r w:rsidRPr="00D13986">
        <w:rPr>
          <w:rFonts w:ascii="Cambria Math" w:hAnsi="Cambria Math" w:cs="Times New Roman"/>
          <w:lang w:val="en-US"/>
        </w:rPr>
        <w:t xml:space="preserve"> [27]. It includes </w:t>
      </w:r>
      <w:r w:rsidR="003E5D85" w:rsidRPr="00D13986">
        <w:rPr>
          <w:rFonts w:ascii="Cambria Math" w:hAnsi="Cambria Math" w:cs="Times New Roman"/>
          <w:lang w:val="en-US"/>
        </w:rPr>
        <w:t>8</w:t>
      </w:r>
      <w:r w:rsidRPr="00D13986">
        <w:rPr>
          <w:rFonts w:ascii="Cambria Math" w:hAnsi="Cambria Math" w:cs="Times New Roman"/>
          <w:lang w:val="en-US"/>
        </w:rPr>
        <w:t xml:space="preserve"> dimensions related to physical functioning, role</w:t>
      </w:r>
      <w:r w:rsidR="003E5D85" w:rsidRPr="00D13986">
        <w:rPr>
          <w:rFonts w:ascii="Cambria Math" w:hAnsi="Cambria Math" w:cs="Times New Roman"/>
          <w:lang w:val="en-US"/>
        </w:rPr>
        <w:t xml:space="preserve"> </w:t>
      </w:r>
      <w:r w:rsidRPr="00D13986">
        <w:rPr>
          <w:rFonts w:ascii="Cambria Math" w:hAnsi="Cambria Math" w:cs="Times New Roman"/>
          <w:lang w:val="en-US"/>
        </w:rPr>
        <w:t xml:space="preserve">limitations due to physical </w:t>
      </w:r>
      <w:r w:rsidRPr="00D13986">
        <w:rPr>
          <w:rFonts w:ascii="Cambria Math" w:hAnsi="Cambria Math" w:cs="Times New Roman"/>
          <w:lang w:val="en-US"/>
        </w:rPr>
        <w:lastRenderedPageBreak/>
        <w:t>health problems, bodily pain, general health perception, vitality, social functioning, role</w:t>
      </w:r>
      <w:r w:rsidR="003E5D85" w:rsidRPr="00D13986">
        <w:rPr>
          <w:rFonts w:ascii="Cambria Math" w:hAnsi="Cambria Math" w:cs="Times New Roman"/>
          <w:lang w:val="en-US"/>
        </w:rPr>
        <w:t xml:space="preserve"> </w:t>
      </w:r>
      <w:r w:rsidRPr="00D13986">
        <w:rPr>
          <w:rFonts w:ascii="Cambria Math" w:hAnsi="Cambria Math" w:cs="Times New Roman"/>
          <w:lang w:val="en-US"/>
        </w:rPr>
        <w:t xml:space="preserve">limitations due to emotional problems, and mental health. The first </w:t>
      </w:r>
      <w:r w:rsidR="0068544C" w:rsidRPr="00D13986">
        <w:rPr>
          <w:rFonts w:ascii="Cambria Math" w:hAnsi="Cambria Math" w:cs="Times New Roman"/>
          <w:lang w:val="en-US"/>
        </w:rPr>
        <w:t>4</w:t>
      </w:r>
      <w:r w:rsidRPr="00D13986">
        <w:rPr>
          <w:rFonts w:ascii="Cambria Math" w:hAnsi="Cambria Math" w:cs="Times New Roman"/>
          <w:lang w:val="en-US"/>
        </w:rPr>
        <w:t xml:space="preserve"> dimensions are combined to give a </w:t>
      </w:r>
      <w:r w:rsidR="0068544C" w:rsidRPr="00D13986">
        <w:rPr>
          <w:rFonts w:ascii="Cambria Math" w:hAnsi="Cambria Math" w:cs="Times New Roman"/>
          <w:lang w:val="en-US"/>
        </w:rPr>
        <w:t>physical component s</w:t>
      </w:r>
      <w:r w:rsidRPr="00D13986">
        <w:rPr>
          <w:rFonts w:ascii="Cambria Math" w:hAnsi="Cambria Math" w:cs="Times New Roman"/>
          <w:lang w:val="en-US"/>
        </w:rPr>
        <w:t xml:space="preserve">ummary, and the remaining </w:t>
      </w:r>
      <w:r w:rsidR="0068544C" w:rsidRPr="00D13986">
        <w:rPr>
          <w:rFonts w:ascii="Cambria Math" w:hAnsi="Cambria Math" w:cs="Times New Roman"/>
          <w:lang w:val="en-US"/>
        </w:rPr>
        <w:t>4</w:t>
      </w:r>
      <w:r w:rsidRPr="00D13986">
        <w:rPr>
          <w:rFonts w:ascii="Cambria Math" w:hAnsi="Cambria Math" w:cs="Times New Roman"/>
          <w:lang w:val="en-US"/>
        </w:rPr>
        <w:t xml:space="preserve"> dimensions are combined to provide a </w:t>
      </w:r>
      <w:r w:rsidR="0068544C" w:rsidRPr="00D13986">
        <w:rPr>
          <w:rFonts w:ascii="Cambria Math" w:hAnsi="Cambria Math" w:cs="Times New Roman"/>
          <w:lang w:val="en-US"/>
        </w:rPr>
        <w:t>mental component s</w:t>
      </w:r>
      <w:r w:rsidRPr="00D13986">
        <w:rPr>
          <w:rFonts w:ascii="Cambria Math" w:hAnsi="Cambria Math" w:cs="Times New Roman"/>
          <w:lang w:val="en-US"/>
        </w:rPr>
        <w:t xml:space="preserve">ummary. Scores for each domain range from 0 to 100, with higher scores indicating better status. </w:t>
      </w:r>
    </w:p>
    <w:p w:rsidR="00436611" w:rsidRPr="00D13986" w:rsidRDefault="00436611" w:rsidP="00436611">
      <w:pPr>
        <w:spacing w:line="480" w:lineRule="auto"/>
        <w:ind w:firstLine="567"/>
        <w:contextualSpacing/>
        <w:jc w:val="both"/>
        <w:rPr>
          <w:rFonts w:ascii="Cambria Math" w:hAnsi="Cambria Math" w:cs="Times New Roman"/>
          <w:lang w:val="en-US"/>
        </w:rPr>
      </w:pPr>
      <w:r w:rsidRPr="00D13986">
        <w:rPr>
          <w:rFonts w:ascii="Cambria Math" w:hAnsi="Cambria Math" w:cs="Times New Roman"/>
          <w:lang w:val="en-US"/>
        </w:rPr>
        <w:t xml:space="preserve">The 12-item General Health Questionnaire (GHQ-12) was used to assess psychological distress. The GHQ-12 is a self-administered instrument designed to detect nonpsychotic and minor psychiatric disorders. Answers are given on a </w:t>
      </w:r>
      <w:r w:rsidR="0068544C" w:rsidRPr="00D13986">
        <w:rPr>
          <w:rFonts w:ascii="Cambria Math" w:hAnsi="Cambria Math" w:cs="Times New Roman"/>
          <w:lang w:val="en-US"/>
        </w:rPr>
        <w:t>4</w:t>
      </w:r>
      <w:r w:rsidRPr="00D13986">
        <w:rPr>
          <w:rFonts w:ascii="Cambria Math" w:hAnsi="Cambria Math" w:cs="Times New Roman"/>
          <w:lang w:val="en-US"/>
        </w:rPr>
        <w:t>-point scale. People scoring 4 or more with the dichotomous scoring system (0-0-1-1) were defined as GHQ</w:t>
      </w:r>
      <w:r w:rsidR="0068544C" w:rsidRPr="00D13986">
        <w:rPr>
          <w:rFonts w:ascii="Cambria Math" w:hAnsi="Cambria Math" w:cs="Times New Roman"/>
          <w:lang w:val="en-US"/>
        </w:rPr>
        <w:t xml:space="preserve"> </w:t>
      </w:r>
      <w:r w:rsidRPr="00D13986">
        <w:rPr>
          <w:rFonts w:ascii="Cambria Math" w:hAnsi="Cambria Math" w:cs="Times New Roman"/>
          <w:lang w:val="en-US"/>
        </w:rPr>
        <w:t>cases [28].</w:t>
      </w:r>
    </w:p>
    <w:p w:rsidR="0068544C" w:rsidRPr="00D13986" w:rsidRDefault="0068544C" w:rsidP="00436611">
      <w:pPr>
        <w:spacing w:line="480" w:lineRule="auto"/>
        <w:ind w:firstLine="567"/>
        <w:contextualSpacing/>
        <w:jc w:val="both"/>
        <w:rPr>
          <w:rFonts w:ascii="Cambria Math" w:hAnsi="Cambria Math" w:cs="Times New Roman"/>
          <w:lang w:val="en-US"/>
        </w:rPr>
      </w:pPr>
    </w:p>
    <w:p w:rsidR="00436611" w:rsidRPr="00D13986" w:rsidRDefault="00436611" w:rsidP="00436611">
      <w:pPr>
        <w:spacing w:line="480" w:lineRule="auto"/>
        <w:contextualSpacing/>
        <w:jc w:val="both"/>
        <w:rPr>
          <w:rFonts w:ascii="Cambria Math" w:hAnsi="Cambria Math" w:cs="Times New Roman"/>
          <w:i/>
          <w:lang w:val="en-US"/>
        </w:rPr>
      </w:pPr>
      <w:r w:rsidRPr="00D13986">
        <w:rPr>
          <w:rFonts w:ascii="Cambria Math" w:hAnsi="Cambria Math" w:cs="Times New Roman"/>
          <w:i/>
          <w:lang w:val="en-US"/>
        </w:rPr>
        <w:t xml:space="preserve">Statistical </w:t>
      </w:r>
      <w:r w:rsidR="0068544C" w:rsidRPr="00D13986">
        <w:rPr>
          <w:rFonts w:ascii="Cambria Math" w:hAnsi="Cambria Math" w:cs="Times New Roman"/>
          <w:i/>
          <w:lang w:val="en-US"/>
        </w:rPr>
        <w:t>Analysis</w:t>
      </w:r>
    </w:p>
    <w:p w:rsidR="00436611" w:rsidRPr="00D13986" w:rsidRDefault="00436611" w:rsidP="00436611">
      <w:pPr>
        <w:spacing w:line="480" w:lineRule="auto"/>
        <w:contextualSpacing/>
        <w:jc w:val="both"/>
        <w:rPr>
          <w:rFonts w:ascii="Cambria" w:hAnsi="Cambria" w:cs="Times New Roman"/>
          <w:lang w:val="en-US"/>
        </w:rPr>
      </w:pPr>
      <w:r w:rsidRPr="00D13986">
        <w:rPr>
          <w:rFonts w:ascii="Cambria" w:hAnsi="Cambria" w:cs="Times New Roman"/>
          <w:lang w:val="en-US"/>
        </w:rPr>
        <w:t xml:space="preserve">Categorical variables were described as counts and percentages, and continuous variables as mean and standard deviation. Categorical variables were compared using the </w:t>
      </w:r>
      <w:r w:rsidR="0068544C" w:rsidRPr="00D13986">
        <w:rPr>
          <w:rFonts w:ascii="Cambria" w:hAnsi="Cambria" w:cs="Times New Roman"/>
          <w:lang w:val="en-US"/>
        </w:rPr>
        <w:t>χ</w:t>
      </w:r>
      <w:r w:rsidR="0068544C" w:rsidRPr="00D13986">
        <w:rPr>
          <w:rFonts w:ascii="Cambria" w:hAnsi="Cambria" w:cs="Times New Roman"/>
          <w:vertAlign w:val="superscript"/>
          <w:lang w:val="en-US"/>
        </w:rPr>
        <w:t>2</w:t>
      </w:r>
      <w:r w:rsidRPr="00D13986">
        <w:rPr>
          <w:rFonts w:ascii="Cambria" w:hAnsi="Cambria" w:cs="Times New Roman"/>
          <w:lang w:val="en-US"/>
        </w:rPr>
        <w:t xml:space="preserve"> test and continuous variables using</w:t>
      </w:r>
      <w:r w:rsidR="0068544C" w:rsidRPr="00D13986">
        <w:rPr>
          <w:rFonts w:ascii="Cambria" w:hAnsi="Cambria" w:cs="Times New Roman"/>
          <w:lang w:val="en-US"/>
        </w:rPr>
        <w:t xml:space="preserve"> the</w:t>
      </w:r>
      <w:r w:rsidRPr="00D13986">
        <w:rPr>
          <w:rFonts w:ascii="Cambria" w:hAnsi="Cambria" w:cs="Times New Roman"/>
          <w:lang w:val="en-US"/>
        </w:rPr>
        <w:t xml:space="preserve"> </w:t>
      </w:r>
      <w:r w:rsidRPr="00D13986">
        <w:rPr>
          <w:rFonts w:ascii="Cambria" w:hAnsi="Cambria" w:cs="Times New Roman"/>
          <w:i/>
          <w:lang w:val="en-US"/>
        </w:rPr>
        <w:t>t</w:t>
      </w:r>
      <w:r w:rsidR="0068544C" w:rsidRPr="00D13986">
        <w:rPr>
          <w:rFonts w:ascii="Cambria" w:hAnsi="Cambria" w:cs="Times New Roman"/>
          <w:lang w:val="en-US"/>
        </w:rPr>
        <w:t xml:space="preserve"> </w:t>
      </w:r>
      <w:r w:rsidRPr="00D13986">
        <w:rPr>
          <w:rFonts w:ascii="Cambria" w:hAnsi="Cambria" w:cs="Times New Roman"/>
          <w:lang w:val="en-US"/>
        </w:rPr>
        <w:t xml:space="preserve">test or ANOVA. </w:t>
      </w:r>
      <w:r w:rsidR="0068544C" w:rsidRPr="00D13986">
        <w:rPr>
          <w:rFonts w:ascii="Cambria" w:hAnsi="Cambria" w:cs="Times New Roman"/>
          <w:lang w:val="en-US"/>
        </w:rPr>
        <w:t xml:space="preserve">The </w:t>
      </w:r>
      <w:r w:rsidRPr="00D13986">
        <w:rPr>
          <w:rFonts w:ascii="Cambria" w:hAnsi="Cambria" w:cs="Times New Roman"/>
          <w:lang w:val="en-US"/>
        </w:rPr>
        <w:t xml:space="preserve">Mann-Whitney U </w:t>
      </w:r>
      <w:r w:rsidR="0068544C" w:rsidRPr="00D13986">
        <w:rPr>
          <w:rFonts w:ascii="Cambria" w:hAnsi="Cambria" w:cs="Times New Roman"/>
          <w:lang w:val="en-US"/>
        </w:rPr>
        <w:t>te</w:t>
      </w:r>
      <w:r w:rsidRPr="00D13986">
        <w:rPr>
          <w:rFonts w:ascii="Cambria" w:hAnsi="Cambria" w:cs="Times New Roman"/>
          <w:lang w:val="en-US"/>
        </w:rPr>
        <w:t xml:space="preserve">st was used to compare two subgroups of patients. In all cases, a </w:t>
      </w:r>
      <w:r w:rsidRPr="00D13986">
        <w:rPr>
          <w:rFonts w:ascii="Cambria" w:hAnsi="Cambria" w:cs="Times New Roman"/>
          <w:i/>
          <w:lang w:val="en-US"/>
        </w:rPr>
        <w:t>p</w:t>
      </w:r>
      <w:r w:rsidR="0068544C" w:rsidRPr="00D13986">
        <w:rPr>
          <w:rFonts w:ascii="Cambria" w:hAnsi="Cambria" w:cs="Times New Roman"/>
          <w:i/>
          <w:lang w:val="en-US"/>
        </w:rPr>
        <w:t xml:space="preserve"> </w:t>
      </w:r>
      <w:r w:rsidRPr="00D13986">
        <w:rPr>
          <w:rFonts w:ascii="Cambria" w:hAnsi="Cambria" w:cs="Times New Roman"/>
          <w:lang w:val="en-US"/>
        </w:rPr>
        <w:t>value &lt;</w:t>
      </w:r>
      <w:r w:rsidR="00916460" w:rsidRPr="00D13986">
        <w:rPr>
          <w:rFonts w:ascii="Cambria" w:hAnsi="Cambria" w:cs="Times New Roman"/>
          <w:lang w:val="en-US"/>
        </w:rPr>
        <w:t>0</w:t>
      </w:r>
      <w:r w:rsidRPr="00D13986">
        <w:rPr>
          <w:rFonts w:ascii="Cambria" w:hAnsi="Cambria" w:cs="Times New Roman"/>
          <w:lang w:val="en-US"/>
        </w:rPr>
        <w:t>.05 was considered statistically significant. All analyses were performed using the S</w:t>
      </w:r>
      <w:bookmarkStart w:id="0" w:name="_GoBack"/>
      <w:bookmarkEnd w:id="0"/>
      <w:r w:rsidRPr="00D13986">
        <w:rPr>
          <w:rFonts w:ascii="Cambria" w:hAnsi="Cambria" w:cs="Times New Roman"/>
          <w:lang w:val="en-US"/>
        </w:rPr>
        <w:t>tatistical Package for the Social Sciences (SPSS), version 19.0 (IBM Corp., Armonk, NY, USA).</w:t>
      </w:r>
    </w:p>
    <w:p w:rsidR="00EE73B3" w:rsidRPr="00D13986" w:rsidRDefault="00EE73B3">
      <w:pPr>
        <w:rPr>
          <w:lang w:val="en-US"/>
        </w:rPr>
      </w:pPr>
    </w:p>
    <w:sectPr w:rsidR="00EE73B3" w:rsidRPr="00D13986" w:rsidSect="0043661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9BB"/>
    <w:rsid w:val="000303C5"/>
    <w:rsid w:val="0019651C"/>
    <w:rsid w:val="003E5D85"/>
    <w:rsid w:val="00436611"/>
    <w:rsid w:val="0068544C"/>
    <w:rsid w:val="006B3DAD"/>
    <w:rsid w:val="009019BB"/>
    <w:rsid w:val="00916460"/>
    <w:rsid w:val="00953066"/>
    <w:rsid w:val="00A36895"/>
    <w:rsid w:val="00D13986"/>
    <w:rsid w:val="00E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DECC8"/>
  <w15:chartTrackingRefBased/>
  <w15:docId w15:val="{63B411EA-2C91-46A2-BA8C-88CFFF5F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6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Mattea Quinto</dc:creator>
  <cp:keywords/>
  <dc:description/>
  <cp:lastModifiedBy>Elisabeth Stöcklin</cp:lastModifiedBy>
  <cp:revision>11</cp:revision>
  <dcterms:created xsi:type="dcterms:W3CDTF">2019-09-05T15:48:00Z</dcterms:created>
  <dcterms:modified xsi:type="dcterms:W3CDTF">2019-10-21T09:14:00Z</dcterms:modified>
</cp:coreProperties>
</file>